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040" w:right="22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43"/>
          <w:szCs w:val="43"/>
          <w:b w:val="1"/>
          <w:bCs w:val="1"/>
          <w:color w:val="auto"/>
        </w:rPr>
        <w:t>EHANG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EHang Future City (Group Headquarters)</w:t>
      </w:r>
    </w:p>
    <w:p>
      <w:pPr>
        <w:spacing w:after="0" w:line="3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 118 Dongjiang Avenue, Huangpu District,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Guangzhou, 510730</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20"/>
          </w:cols>
          <w:pgMar w:left="440" w:top="376"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report on Form 6-K/A is being furnished by EHang Holdings Limited (the “Company”) to amend the reports on Form 6-Ks furnished with the Securities and Exchange Commission (the “Commission”) on August 26, 2025, November 26, 2025 and March 12, 2026 (collectively, the “Prior Form 6-Ks”), by providing corrected unaudited interim financial information for the second quarter, third quarter, and fourth quarter and full fiscal year ended December 31, 2025.</w:t>
      </w:r>
    </w:p>
    <w:p>
      <w:pPr>
        <w:spacing w:after="0" w:line="1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for the year ended December 31, 2025, the Company discovered errors in revenue recognition in previously announced unaudited financial information for the three and six months ended June 30, 2025, the three and nine months ended September 30, 2025 and the three months and year ended December 31, 2025. Corrections to the 2025 interim and annual periods have been made to the revenues and accounts receivable, net, and the corresponding financial statement line items, including contract liabilities, accrued expenses and other liabilities, cost of revenues and prepayments and other current assets, the expected credit losses on accounts receivable, warranty costs and related balance, and relevant accounts for value-added tax and income tax. The quarterly and full-year financial information set forth below has been corrected accordingly to reflect such adjustments. Investors should not rely on the information set forth in the Prior Form 6-Ks, including but not limited to the operational and financial highlights, unaudited financial results (including revenues, costs of revenues, gross profit and gross margin, operating expenses, operating loss, net loss, net loss per ordinary share and per ADS, and balance sheet data), non-GAAP financial measures and reconciliations, management remarks and recent developments, and all related unaudited condensed consolidated financial statements and accompanying notes.</w:t>
      </w:r>
    </w:p>
    <w:p>
      <w:pPr>
        <w:spacing w:after="0" w:line="1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Certain information in the Prior Form 6-Ks furnished to the Commission on August 26, 2025 and November 26, 2025 was incorporated by reference into the Company’s Registration Statement on Form F-3ASR (the “Form F-3ASR”), which was filed with the Commission and became automatically effective on April 19, 2024. This Form 6-K/A (excluding financial information as of December 31, 2025 and for the three months and for the year ended December 31, 2025) is hereby incorporated by reference into the Form F-3ASR to supersede the corresponding Prior Form 6-Ks in its entirety. The Company has not made any offers or sales of securities pursuant to the Form F-3ASR (including pursuant to any prospectus supplement thereto) on or after August 26, 2025. In connection with the filing of the Company’s annual report on Form 20-F for the fiscal year ended December 31, 2025, the Company has determined that it no longer qualifies as a well-known seasoned issuer, and as a result, it is unable to use its registration statement on Form F-3ASR to offer and sell securities unless and until it files a post-effective amendment and such amendment is declared effective by the Commission.</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EHANG HOLDINGS LIMITED</w:t>
      </w:r>
    </w:p>
    <w:p>
      <w:pPr>
        <w:spacing w:after="0" w:line="31" w:lineRule="exact"/>
        <w:rPr>
          <w:sz w:val="20"/>
          <w:szCs w:val="20"/>
          <w:color w:val="auto"/>
        </w:rPr>
      </w:pPr>
    </w:p>
    <w:p>
      <w:pPr>
        <w:ind w:right="4060"/>
        <w:spacing w:after="0" w:line="260" w:lineRule="auto"/>
        <w:rPr>
          <w:sz w:val="20"/>
          <w:szCs w:val="20"/>
          <w:color w:val="auto"/>
        </w:rPr>
      </w:pPr>
      <w:r>
        <w:rPr>
          <w:rFonts w:ascii="Times New Roman" w:cs="Times New Roman" w:eastAsia="Times New Roman" w:hAnsi="Times New Roman"/>
          <w:sz w:val="18"/>
          <w:szCs w:val="18"/>
          <w:b w:val="1"/>
          <w:bCs w:val="1"/>
          <w:color w:val="auto"/>
        </w:rPr>
        <w:t>SELECTED UNAUDITED CONDENSED CONSOLIDATED BALANCE SHEETS DATA (Amounts in thousands of Renminbi (“RMB”))</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tables present the aggregated impact of the corrections of errors to the financial information for the presented periods.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2880" w:type="dxa"/>
            <w:vAlign w:val="bottom"/>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92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92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Correction #</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8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9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Corrections</w:t>
            </w:r>
          </w:p>
        </w:tc>
        <w:tc>
          <w:tcPr>
            <w:tcW w:w="10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As corrected</w:t>
            </w:r>
          </w:p>
        </w:tc>
        <w:tc>
          <w:tcPr>
            <w:tcW w:w="102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Corrections</w:t>
            </w:r>
          </w:p>
        </w:tc>
        <w:tc>
          <w:tcPr>
            <w:tcW w:w="10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As corrected</w:t>
            </w:r>
          </w:p>
        </w:tc>
        <w:tc>
          <w:tcPr>
            <w:tcW w:w="102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Corrections</w:t>
            </w:r>
          </w:p>
        </w:tc>
        <w:tc>
          <w:tcPr>
            <w:tcW w:w="10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As corrected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Reported</w:t>
            </w:r>
          </w:p>
        </w:tc>
        <w:tc>
          <w:tcPr>
            <w:tcW w:w="9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Reported</w:t>
            </w:r>
          </w:p>
        </w:tc>
        <w:tc>
          <w:tcPr>
            <w:tcW w:w="8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Reported</w:t>
            </w:r>
          </w:p>
        </w:tc>
        <w:tc>
          <w:tcPr>
            <w:tcW w:w="8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net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121,124</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(36,600)</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84,524</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164,344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139,611</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210,412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(98,742)</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111,670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1&gt;, 3&gt;</w:t>
            </w: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Prepayments and</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68,974</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14,471</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83,445</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144,375</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11,239</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155,614</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104,219</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36,703</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140,922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2&gt;, 4&gt;</w:t>
            </w: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1,446,886</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(22,129)</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1,424,757</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1,543,125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1,529,631</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1,545,552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(62,039)</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1,483,513</w:t>
            </w: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3,305</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3,664</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6,969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4&gt;</w:t>
            </w: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328,688</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328,688</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384,375</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384,375</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504,356</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3,664</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508,020</w:t>
            </w: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1,775,574</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(22,129)</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1,753,445</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1,927,500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1,914,006</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2,049,908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(58,375)</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1,991,533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61,952</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61,952</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72,017</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72,017</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66,607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60,839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1&gt;</w:t>
            </w: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other</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176,769</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217</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176,986</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189,367</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747</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190,114</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268,353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263,439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1&gt;, 3&gt;, 4&gt;</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9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3,100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4&gt;</w:t>
            </w:r>
          </w:p>
        </w:tc>
        <w:tc>
          <w:tcPr>
            <w:tcW w:w="0" w:type="dxa"/>
            <w:vAlign w:val="bottom"/>
          </w:tcPr>
          <w:p>
            <w:pPr>
              <w:spacing w:after="0"/>
              <w:rPr>
                <w:sz w:val="1"/>
                <w:szCs w:val="1"/>
                <w:color w:val="auto"/>
              </w:rPr>
            </w:pPr>
          </w:p>
        </w:tc>
      </w:tr>
      <w:tr>
        <w:trPr>
          <w:trHeight w:val="194"/>
        </w:trPr>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578,032</w:t>
            </w: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217</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578,249</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662,692</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747</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663,439</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727,759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715,797</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non-current</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3,893</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3,493</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3,309</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5,651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3&gt;</w:t>
            </w:r>
          </w:p>
        </w:tc>
        <w:tc>
          <w:tcPr>
            <w:tcW w:w="0" w:type="dxa"/>
            <w:vAlign w:val="bottom"/>
          </w:tcPr>
          <w:p>
            <w:pPr>
              <w:spacing w:after="0"/>
              <w:rPr>
                <w:sz w:val="1"/>
                <w:szCs w:val="1"/>
                <w:color w:val="auto"/>
              </w:rPr>
            </w:pPr>
          </w:p>
        </w:tc>
      </w:tr>
      <w:tr>
        <w:trPr>
          <w:trHeight w:val="194"/>
        </w:trPr>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187,812</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187,412</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212,659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212,459</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208,369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207,394</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765,844</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765,661</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875,351</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547</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875,898</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936,128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923,191</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Accumulated</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(2,143,728)</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(2,165,674)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(2,239,925)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(2,262,358)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All</w:t>
            </w: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EHang</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1,010,015</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(21,946)</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988,069</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1,052,782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1,038,741</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1,114,365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1,068,927</w:t>
            </w: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1,009,730</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(21,946)</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987,784</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1,052,149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1,038,108</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1,113,780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1,068,342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1,775,574</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(22,129)</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1,753,445</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1,927,500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1,914,006</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2,049,908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(58,375)</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1,991,533</w:t>
            </w: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ind w:right="2040"/>
        <w:spacing w:after="0" w:line="260" w:lineRule="auto"/>
        <w:rPr>
          <w:sz w:val="20"/>
          <w:szCs w:val="20"/>
          <w:color w:val="auto"/>
        </w:rPr>
      </w:pPr>
      <w:r>
        <w:rPr>
          <w:rFonts w:ascii="Times New Roman" w:cs="Times New Roman" w:eastAsia="Times New Roman" w:hAnsi="Times New Roman"/>
          <w:sz w:val="18"/>
          <w:szCs w:val="18"/>
          <w:b w:val="1"/>
          <w:bCs w:val="1"/>
          <w:color w:val="auto"/>
        </w:rPr>
        <w:t>SELECTED UNAUDITED CONDENSED CONSOLIDATED STATEMENTS OF COMPREHENSIVE LOSS DATA (Amounts in thousands of Renminbi (“RMB”) except for number of shares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80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780" w:type="dxa"/>
            <w:vAlign w:val="bottom"/>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8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Correction #</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2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Corrections</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As corrected</w:t>
            </w:r>
          </w:p>
        </w:tc>
        <w:tc>
          <w:tcPr>
            <w:tcW w:w="100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Corrections</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As corrected</w:t>
            </w:r>
          </w:p>
        </w:tc>
        <w:tc>
          <w:tcPr>
            <w:tcW w:w="102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Corrections</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As corrected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Reported</w:t>
            </w: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Reported</w:t>
            </w: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Reported</w:t>
            </w: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147,162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113,321</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92,472</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8,460</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100,932</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243,778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w:t>
            </w:r>
          </w:p>
        </w:tc>
        <w:tc>
          <w:tcPr>
            <w:tcW w:w="9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177,636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1&gt;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(55,090)</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(92,424)</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24,162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2&gt;, 3&gt;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92,072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69,681</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56,209</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5,597</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61,806</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151,354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9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109,374</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(74,210)</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(69,767)</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(72,720)</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3&gt;</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operating</w:t>
            </w: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(172,921)</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(150,789)</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(160,075)</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(154,435)</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(91,718)</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income</w:t>
            </w: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 and income</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equity</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method investment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(73,023)</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(expenses)</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4,943</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4&gt;</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income</w:t>
            </w: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equity</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method investment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(80,927)</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(73,022)</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11,388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(82,112)</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(74,207)</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10,542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All</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w:t>
            </w: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ordinary</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(82,156)</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(74,251)</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10,494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w:t>
            </w: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(89,218)</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(81,313)</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EHang Holdings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(89,262)</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(81,357)</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EHANG HOLDINGS LIMITED</w:t>
      </w:r>
    </w:p>
    <w:p>
      <w:pPr>
        <w:spacing w:after="0" w:line="31" w:lineRule="exact"/>
        <w:rPr>
          <w:sz w:val="20"/>
          <w:szCs w:val="20"/>
          <w:color w:val="auto"/>
        </w:rPr>
      </w:pPr>
    </w:p>
    <w:p>
      <w:pPr>
        <w:ind w:right="2040"/>
        <w:spacing w:after="0" w:line="290" w:lineRule="auto"/>
        <w:rPr>
          <w:sz w:val="20"/>
          <w:szCs w:val="20"/>
          <w:color w:val="auto"/>
        </w:rPr>
      </w:pPr>
      <w:r>
        <w:rPr>
          <w:rFonts w:ascii="Times New Roman" w:cs="Times New Roman" w:eastAsia="Times New Roman" w:hAnsi="Times New Roman"/>
          <w:sz w:val="17"/>
          <w:szCs w:val="17"/>
          <w:b w:val="1"/>
          <w:bCs w:val="1"/>
          <w:color w:val="auto"/>
        </w:rPr>
        <w:t>SELECTED UNAUDITED CONDENSED CONSOLIDATED STATEMENTS OF COMPREHENSIVE LOSS DATA (Amounts in thousands of Renminbi (“RMB”) except for number of shares and per share data)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78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8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820" w:type="dxa"/>
            <w:vAlign w:val="bottom"/>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Correction #</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Corrections</w:t>
            </w: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As corrected</w:t>
            </w:r>
          </w:p>
        </w:tc>
        <w:tc>
          <w:tcPr>
            <w:tcW w:w="100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Corrections</w:t>
            </w: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As corrected</w:t>
            </w:r>
          </w:p>
        </w:tc>
        <w:tc>
          <w:tcPr>
            <w:tcW w:w="102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As Previously</w:t>
            </w: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Corrections</w:t>
            </w:r>
          </w:p>
        </w:tc>
        <w:tc>
          <w:tcPr>
            <w:tcW w:w="9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As corrected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Reported</w:t>
            </w: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Reported</w:t>
            </w: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Reported</w:t>
            </w: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173,254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139,413</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265,726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240,345</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509,504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(91,523)</w:t>
            </w:r>
          </w:p>
        </w:tc>
        <w:tc>
          <w:tcPr>
            <w:tcW w:w="9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417,981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1&gt;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(101,152)</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8,587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(193,576)</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2&gt;, 3&gt;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108,365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85,974</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164,574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147,780</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315,928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(58,774)</w:t>
            </w:r>
          </w:p>
        </w:tc>
        <w:tc>
          <w:tcPr>
            <w:tcW w:w="9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257,154</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(135,554)</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(205,321)</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2,753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(278,041)</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(269,648)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3&gt;</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operating</w:t>
            </w: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(283,778)</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(434,567)</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2,753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(594,642)</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8,393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(586,249)</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(259,711)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income</w:t>
            </w: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 and income</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equity</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method investment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(275,572)</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4,943</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4&gt;</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income</w:t>
            </w: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from equity</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method investment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(271,163)</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All</w:t>
            </w: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w:t>
            </w: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ordinary</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(275,977)</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EHang Holdings</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(186,831)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(298,911)</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1&gt;</w:t>
        <w:tab/>
        <w:t>Corrections of revenues and accounts receivable, net</w:t>
      </w:r>
    </w:p>
    <w:p>
      <w:pPr>
        <w:spacing w:after="0" w:line="117"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The Company has concluded, based on its review of its revenue recognition, that it is not probable to collect substantially all of the consideration for certain orders from customers, and any consideration received from such customers will be recognized as a liability by the Company until the criterion set forth in ASC 606-10-25-7 is met. As a result, the Company has corrected the revenues and accounts receivable, net in presented periods, with corresponding adjustments to contract liabilities and accrued expenses and other liabilities.</w:t>
      </w:r>
    </w:p>
    <w:p>
      <w:pPr>
        <w:spacing w:after="0" w:line="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2&gt;</w:t>
        <w:tab/>
        <w:t>Corrections of costs of revenues and prepayments and other current assets</w:t>
      </w:r>
    </w:p>
    <w:p>
      <w:pPr>
        <w:spacing w:after="0" w:line="117" w:lineRule="exact"/>
        <w:rPr>
          <w:sz w:val="20"/>
          <w:szCs w:val="20"/>
          <w:color w:val="auto"/>
        </w:rPr>
      </w:pPr>
    </w:p>
    <w:p>
      <w:pPr>
        <w:jc w:val="both"/>
        <w:ind w:left="440" w:right="80"/>
        <w:spacing w:after="0" w:line="266" w:lineRule="auto"/>
        <w:rPr>
          <w:sz w:val="20"/>
          <w:szCs w:val="20"/>
          <w:color w:val="auto"/>
        </w:rPr>
      </w:pPr>
      <w:r>
        <w:rPr>
          <w:rFonts w:ascii="Times New Roman" w:cs="Times New Roman" w:eastAsia="Times New Roman" w:hAnsi="Times New Roman"/>
          <w:sz w:val="18"/>
          <w:szCs w:val="18"/>
          <w:color w:val="auto"/>
        </w:rPr>
        <w:t>Following the correction of revenues and accounts receivable, net as discussed above, the Company correspondingly reversed the related costs of revenues and recorded the right to recover the transferred inventories in prepayments and other current assets, as stipulated in the contracts or by relevant laws.</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3&gt;</w:t>
        <w:tab/>
        <w:t>Corrections of warranty provisions and expected credit losses on accounts receivable</w:t>
      </w:r>
    </w:p>
    <w:p>
      <w:pPr>
        <w:spacing w:after="0" w:line="11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The corrections related to the aforementioned sales transactions resulted in corresponding corrections to warranty costs, expected credit losses, resulting in adjustments on costs of revenues, general and administrative expenses, accrued expenses and other liabilities, and accounts receivable, net.</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4&gt;</w:t>
        <w:tab/>
        <w:t>Corrections of relevant accounts for value-added tax and income tax</w:t>
      </w:r>
    </w:p>
    <w:p>
      <w:pPr>
        <w:spacing w:after="0" w:line="117" w:lineRule="exact"/>
        <w:rPr>
          <w:sz w:val="20"/>
          <w:szCs w:val="20"/>
          <w:color w:val="auto"/>
        </w:rPr>
      </w:pPr>
    </w:p>
    <w:p>
      <w:pPr>
        <w:jc w:val="both"/>
        <w:ind w:left="440" w:right="140"/>
        <w:spacing w:after="0" w:line="266" w:lineRule="auto"/>
        <w:rPr>
          <w:sz w:val="20"/>
          <w:szCs w:val="20"/>
          <w:color w:val="auto"/>
        </w:rPr>
      </w:pPr>
      <w:r>
        <w:rPr>
          <w:rFonts w:ascii="Times New Roman" w:cs="Times New Roman" w:eastAsia="Times New Roman" w:hAnsi="Times New Roman"/>
          <w:sz w:val="18"/>
          <w:szCs w:val="18"/>
          <w:color w:val="auto"/>
        </w:rPr>
        <w:t>The corrections related to the aforementioned sales transactions resulted in changes in timing and amount of the Company’s value-added tax and income tax liabilities. Consequently, relevant financial statement line items, including prepayments and other current assets, deferred tax assets, accrued expenses and other liabilities, income taxes payable and income tax expenses, have been correspondingly adjusted.</w:t>
      </w:r>
    </w:p>
    <w:p>
      <w:pPr>
        <w:sectPr>
          <w:pgSz w:w="11900" w:h="16838" w:orient="portrait"/>
          <w:cols w:equalWidth="0" w:num="1">
            <w:col w:w="10980"/>
          </w:cols>
          <w:pgMar w:left="440" w:top="270"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EHang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Conor Chia-hung Yang</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Conor Chia-hung Yang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2026-05-15T15:09:36Z</dcterms:created>
  <dcterms:modified xsi:type="dcterms:W3CDTF">2026-05-15T15:09:36Z</dcterms:modified>
</cp:coreProperties>
</file>