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SEC FILE NUMBER: 001-39151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CUSIP NUMBER: 26853E 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NOTIFICATION OF LATE FILING</w:t>
      </w:r>
    </w:p>
    <w:p>
      <w:pPr>
        <w:sectPr>
          <w:pgSz w:w="11900" w:h="16838" w:orient="portrait"/>
          <w:cols w:equalWidth="0" w:num="1">
            <w:col w:w="11024"/>
          </w:cols>
          <w:pgMar w:left="436" w:top="229" w:right="439" w:bottom="159" w:gutter="0" w:footer="0" w:header="0"/>
        </w:sectPr>
      </w:pPr>
    </w:p>
    <w:p>
      <w:pPr>
        <w:spacing w:after="0" w:line="246" w:lineRule="exact"/>
        <w:rPr>
          <w:sz w:val="24"/>
          <w:szCs w:val="24"/>
          <w:color w:val="auto"/>
        </w:rPr>
      </w:pPr>
    </w:p>
    <w:p>
      <w:pPr>
        <w:ind w:left="2104"/>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N-CEN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right"/>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365" w:lineRule="exact"/>
        <w:rPr>
          <w:sz w:val="24"/>
          <w:szCs w:val="24"/>
          <w:color w:val="auto"/>
        </w:rPr>
      </w:pPr>
    </w:p>
    <w:p>
      <w:pPr>
        <w:sectPr>
          <w:pgSz w:w="11900" w:h="16838" w:orient="portrait"/>
          <w:cols w:equalWidth="0" w:num="4">
            <w:col w:w="3024" w:space="280"/>
            <w:col w:w="2520" w:space="20"/>
            <w:col w:w="1440" w:space="80"/>
            <w:col w:w="3660"/>
          </w:cols>
          <w:pgMar w:left="436" w:top="229" w:right="439" w:bottom="159" w:gutter="0" w:footer="0" w:header="0"/>
          <w:type w:val="continuous"/>
        </w:sectPr>
      </w:pPr>
    </w:p>
    <w:p>
      <w:pPr>
        <w:ind w:left="3304"/>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b w:val="1"/>
          <w:bCs w:val="1"/>
          <w:color w:val="auto"/>
        </w:rPr>
        <w:t>December 31, 2020</w:t>
      </w:r>
    </w:p>
    <w:p>
      <w:pPr>
        <w:spacing w:after="0" w:line="121" w:lineRule="exact"/>
        <w:rPr>
          <w:sz w:val="24"/>
          <w:szCs w:val="24"/>
          <w:color w:val="auto"/>
        </w:rPr>
      </w:pPr>
    </w:p>
    <w:p>
      <w:pPr>
        <w:ind w:left="3564" w:hanging="257"/>
        <w:spacing w:after="0"/>
        <w:tabs>
          <w:tab w:leader="none" w:pos="35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43" w:lineRule="exact"/>
        <w:rPr>
          <w:rFonts w:ascii="MS PGothic" w:cs="MS PGothic" w:eastAsia="MS PGothic" w:hAnsi="MS PGothic"/>
          <w:sz w:val="18"/>
          <w:szCs w:val="18"/>
          <w:color w:val="auto"/>
        </w:rPr>
      </w:pPr>
    </w:p>
    <w:p>
      <w:pPr>
        <w:ind w:left="3564" w:hanging="257"/>
        <w:spacing w:after="0"/>
        <w:tabs>
          <w:tab w:leader="none" w:pos="35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564" w:hanging="257"/>
        <w:spacing w:after="0"/>
        <w:tabs>
          <w:tab w:leader="none" w:pos="35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564" w:hanging="257"/>
        <w:spacing w:after="0"/>
        <w:tabs>
          <w:tab w:leader="none" w:pos="35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110" w:lineRule="exact"/>
        <w:rPr>
          <w:sz w:val="24"/>
          <w:szCs w:val="24"/>
          <w:color w:val="auto"/>
        </w:rPr>
      </w:pPr>
    </w:p>
    <w:p>
      <w:pPr>
        <w:ind w:left="3304"/>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00341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342900"/>
                    </a:xfrm>
                    <a:prstGeom prst="rect">
                      <a:avLst/>
                    </a:prstGeom>
                    <a:noFill/>
                  </pic:spPr>
                </pic:pic>
              </a:graphicData>
            </a:graphic>
          </wp:anchor>
        </w:drawing>
      </w:r>
    </w:p>
    <w:p>
      <w:pPr>
        <w:spacing w:after="0" w:line="286" w:lineRule="exact"/>
        <w:rPr>
          <w:sz w:val="24"/>
          <w:szCs w:val="24"/>
          <w:color w:val="auto"/>
        </w:rPr>
      </w:pPr>
    </w:p>
    <w:p>
      <w:pPr>
        <w:jc w:val="center"/>
        <w:ind w:right="-103"/>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65" w:lineRule="exact"/>
        <w:rPr>
          <w:sz w:val="24"/>
          <w:szCs w:val="24"/>
          <w:color w:val="auto"/>
        </w:rPr>
      </w:pPr>
    </w:p>
    <w:p>
      <w:pPr>
        <w:ind w:left="4"/>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314960</wp:posOffset>
            </wp:positionV>
            <wp:extent cx="699516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PART I — REGISTRANT INFORMATION</w:t>
      </w:r>
    </w:p>
    <w:p>
      <w:pPr>
        <w:spacing w:after="0" w:line="196" w:lineRule="exact"/>
        <w:rPr>
          <w:sz w:val="24"/>
          <w:szCs w:val="24"/>
          <w:color w:val="auto"/>
        </w:rPr>
      </w:pPr>
    </w:p>
    <w:p>
      <w:pPr>
        <w:jc w:val="center"/>
        <w:ind w:right="16"/>
        <w:spacing w:after="0"/>
        <w:rPr>
          <w:sz w:val="20"/>
          <w:szCs w:val="20"/>
          <w:color w:val="auto"/>
        </w:rPr>
      </w:pPr>
      <w:r>
        <w:rPr>
          <w:rFonts w:ascii="Arial" w:cs="Arial" w:eastAsia="Arial" w:hAnsi="Arial"/>
          <w:sz w:val="40"/>
          <w:szCs w:val="40"/>
          <w:b w:val="1"/>
          <w:bCs w:val="1"/>
          <w:color w:val="auto"/>
        </w:rPr>
        <w:t>EHang Holdings Limited</w:t>
      </w:r>
    </w:p>
    <w:p>
      <w:pPr>
        <w:spacing w:after="0" w:line="35" w:lineRule="exact"/>
        <w:rPr>
          <w:sz w:val="24"/>
          <w:szCs w:val="24"/>
          <w:color w:val="auto"/>
        </w:rPr>
      </w:pPr>
    </w:p>
    <w:p>
      <w:pPr>
        <w:jc w:val="center"/>
        <w:ind w:right="16"/>
        <w:spacing w:after="0"/>
        <w:rPr>
          <w:sz w:val="20"/>
          <w:szCs w:val="20"/>
          <w:color w:val="auto"/>
        </w:rPr>
      </w:pPr>
      <w:r>
        <w:rPr>
          <w:rFonts w:ascii="Arial" w:cs="Arial" w:eastAsia="Arial" w:hAnsi="Arial"/>
          <w:sz w:val="18"/>
          <w:szCs w:val="18"/>
          <w:color w:val="auto"/>
        </w:rPr>
        <w:t>Full Name of Registrant</w:t>
      </w:r>
    </w:p>
    <w:p>
      <w:pPr>
        <w:spacing w:after="0" w:line="232" w:lineRule="exact"/>
        <w:rPr>
          <w:sz w:val="24"/>
          <w:szCs w:val="24"/>
          <w:color w:val="auto"/>
        </w:rPr>
      </w:pPr>
    </w:p>
    <w:p>
      <w:pPr>
        <w:jc w:val="center"/>
        <w:ind w:right="16"/>
        <w:spacing w:after="0"/>
        <w:rPr>
          <w:sz w:val="20"/>
          <w:szCs w:val="20"/>
          <w:color w:val="auto"/>
        </w:rPr>
      </w:pPr>
      <w:r>
        <w:rPr>
          <w:rFonts w:ascii="Arial" w:cs="Arial" w:eastAsia="Arial" w:hAnsi="Arial"/>
          <w:sz w:val="14"/>
          <w:szCs w:val="14"/>
          <w:color w:val="auto"/>
        </w:rPr>
        <w:t>Former Name if Applicable</w:t>
      </w:r>
    </w:p>
    <w:p>
      <w:pPr>
        <w:spacing w:after="0" w:line="20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Building C, Yixiang Technology Park</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No.72 Nanxiang Second Road, Huangpu District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color w:val="auto"/>
        </w:rPr>
        <w:t xml:space="preserve">Address of Principal Executive Office </w:t>
      </w:r>
      <w:r>
        <w:rPr>
          <w:rFonts w:ascii="Arial" w:cs="Arial" w:eastAsia="Arial" w:hAnsi="Arial"/>
          <w:sz w:val="14"/>
          <w:szCs w:val="14"/>
          <w:b w:val="1"/>
          <w:bCs w:val="1"/>
          <w:i w:val="1"/>
          <w:iCs w:val="1"/>
          <w:color w:val="auto"/>
        </w:rPr>
        <w:t>(Street and Number)</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Guangzhou, 510700, People’s Republic of China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699516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left="4" w:right="24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7"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  The reason described in reasonable detail in Part III of this form could not be eliminated without unreasonable effort or expense;</w:t>
      </w:r>
    </w:p>
    <w:p>
      <w:pPr>
        <w:spacing w:after="0" w:line="117" w:lineRule="exact"/>
        <w:rPr>
          <w:rFonts w:ascii="MS PGothic" w:cs="MS PGothic" w:eastAsia="MS PGothic" w:hAnsi="MS PGothic"/>
          <w:sz w:val="18"/>
          <w:szCs w:val="18"/>
          <w:color w:val="auto"/>
        </w:rPr>
      </w:pPr>
    </w:p>
    <w:p>
      <w:pPr>
        <w:ind w:left="784" w:right="20" w:hanging="784"/>
        <w:spacing w:after="0" w:line="259"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78" w:lineRule="exact"/>
        <w:rPr>
          <w:rFonts w:ascii="MS PGothic" w:cs="MS PGothic" w:eastAsia="MS PGothic" w:hAnsi="MS PGothic"/>
          <w:sz w:val="18"/>
          <w:szCs w:val="18"/>
          <w:color w:val="auto"/>
        </w:rPr>
      </w:pPr>
    </w:p>
    <w:p>
      <w:pPr>
        <w:ind w:left="464" w:hanging="464"/>
        <w:spacing w:after="0"/>
        <w:tabs>
          <w:tab w:leader="none" w:pos="4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  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213995</wp:posOffset>
            </wp:positionH>
            <wp:positionV relativeFrom="paragraph">
              <wp:posOffset>-944880</wp:posOffset>
            </wp:positionV>
            <wp:extent cx="8255" cy="960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9601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306070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4"/>
          <w:szCs w:val="24"/>
          <w:color w:val="auto"/>
        </w:rPr>
      </w:pPr>
    </w:p>
    <w:p>
      <w:pPr>
        <w:ind w:left="4" w:right="40"/>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ectPr>
          <w:pgSz w:w="11900" w:h="16838" w:orient="portrait"/>
          <w:cols w:equalWidth="0" w:num="1">
            <w:col w:w="11024"/>
          </w:cols>
          <w:pgMar w:left="436" w:top="229" w:right="439" w:bottom="159" w:gutter="0" w:footer="0" w:header="0"/>
          <w:type w:val="continuous"/>
        </w:sectPr>
      </w:pPr>
    </w:p>
    <w:bookmarkStart w:id="1" w:name="page2"/>
    <w:bookmarkEnd w:id="1"/>
    <w:p>
      <w:pPr>
        <w:jc w:val="both"/>
        <w:ind w:left="4" w:right="100"/>
        <w:spacing w:after="0" w:line="259" w:lineRule="auto"/>
        <w:rPr>
          <w:sz w:val="20"/>
          <w:szCs w:val="20"/>
          <w:color w:val="auto"/>
        </w:rPr>
      </w:pPr>
      <w:r>
        <w:rPr>
          <w:rFonts w:ascii="Arial" w:cs="Arial" w:eastAsia="Arial" w:hAnsi="Arial"/>
          <w:sz w:val="18"/>
          <w:szCs w:val="18"/>
          <w:color w:val="auto"/>
        </w:rPr>
        <w:t>EHang Holdings Limited (the “Company”) has experienced a delay in preparing its annual report on Form 20-F for the fiscal year ended December 31, 2020 and the audited financial statements required in the Form 20-F (the “2020 Form 20-F”). The Company needs additional time to complete the 2020 Form 20-F and plans to file the 2020 Form 20-F on or before the extended deadline permitted under Rule 12b-25 under the Securities Exchange Act of 1934, as amended.</w:t>
      </w:r>
    </w:p>
    <w:p>
      <w:pPr>
        <w:spacing w:after="0" w:line="214" w:lineRule="exact"/>
        <w:rPr>
          <w:sz w:val="20"/>
          <w:szCs w:val="20"/>
          <w:color w:val="auto"/>
        </w:rPr>
      </w:pPr>
    </w:p>
    <w:p>
      <w:pPr>
        <w:ind w:left="1664" w:right="320" w:hanging="1659"/>
        <w:spacing w:after="0" w:line="277" w:lineRule="auto"/>
        <w:tabs>
          <w:tab w:leader="none" w:pos="1644" w:val="left"/>
        </w:tabs>
        <w:rPr>
          <w:sz w:val="20"/>
          <w:szCs w:val="20"/>
          <w:color w:val="auto"/>
        </w:rPr>
      </w:pPr>
      <w:r>
        <w:rPr>
          <w:rFonts w:ascii="Arial" w:cs="Arial" w:eastAsia="Arial" w:hAnsi="Arial"/>
          <w:sz w:val="18"/>
          <w:szCs w:val="18"/>
          <w:color w:val="auto"/>
        </w:rPr>
        <w:t>SEC 1344 (06-19)</w:t>
      </w:r>
      <w:r>
        <w:rPr>
          <w:sz w:val="20"/>
          <w:szCs w:val="20"/>
          <w:color w:val="auto"/>
        </w:rPr>
        <w:tab/>
      </w: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699516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IV — OTHER INFORMATION</w:t>
      </w:r>
    </w:p>
    <w:p>
      <w:pPr>
        <w:spacing w:after="0" w:line="256" w:lineRule="exact"/>
        <w:rPr>
          <w:sz w:val="20"/>
          <w:szCs w:val="20"/>
          <w:color w:val="auto"/>
        </w:rPr>
      </w:pPr>
    </w:p>
    <w:p>
      <w:pPr>
        <w:ind w:left="704" w:hanging="704"/>
        <w:spacing w:after="0"/>
        <w:tabs>
          <w:tab w:leader="none" w:pos="70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84" w:type="dxa"/>
        <w:tblCellMar>
          <w:top w:w="0" w:type="dxa"/>
          <w:left w:w="0" w:type="dxa"/>
          <w:bottom w:w="0" w:type="dxa"/>
          <w:right w:w="0" w:type="dxa"/>
        </w:tblCellMar>
      </w:tblPr>
      <w:tr>
        <w:trPr>
          <w:trHeight w:val="230"/>
        </w:trPr>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Richard Jian Liu</w:t>
            </w:r>
          </w:p>
        </w:tc>
        <w:tc>
          <w:tcPr>
            <w:tcW w:w="1540" w:type="dxa"/>
            <w:vAlign w:val="bottom"/>
          </w:tcPr>
          <w:p>
            <w:pPr>
              <w:jc w:val="right"/>
              <w:ind w:right="399"/>
              <w:spacing w:after="0"/>
              <w:rPr>
                <w:sz w:val="20"/>
                <w:szCs w:val="20"/>
                <w:color w:val="auto"/>
              </w:rPr>
            </w:pPr>
            <w:r>
              <w:rPr>
                <w:rFonts w:ascii="Arial" w:cs="Arial" w:eastAsia="Arial" w:hAnsi="Arial"/>
                <w:sz w:val="18"/>
                <w:szCs w:val="18"/>
                <w:color w:val="auto"/>
              </w:rPr>
              <w:t>(8620)</w:t>
            </w:r>
          </w:p>
        </w:tc>
        <w:tc>
          <w:tcPr>
            <w:tcW w:w="320" w:type="dxa"/>
            <w:vAlign w:val="bottom"/>
          </w:tcPr>
          <w:p>
            <w:pPr>
              <w:spacing w:after="0"/>
              <w:rPr>
                <w:sz w:val="20"/>
                <w:szCs w:val="20"/>
                <w:color w:val="auto"/>
              </w:rPr>
            </w:pPr>
          </w:p>
        </w:tc>
        <w:tc>
          <w:tcPr>
            <w:tcW w:w="4180" w:type="dxa"/>
            <w:vAlign w:val="bottom"/>
          </w:tcPr>
          <w:p>
            <w:pPr>
              <w:jc w:val="right"/>
              <w:ind w:right="1559"/>
              <w:spacing w:after="0"/>
              <w:rPr>
                <w:sz w:val="20"/>
                <w:szCs w:val="20"/>
                <w:color w:val="auto"/>
              </w:rPr>
            </w:pPr>
            <w:r>
              <w:rPr>
                <w:rFonts w:ascii="Arial" w:cs="Arial" w:eastAsia="Arial" w:hAnsi="Arial"/>
                <w:sz w:val="18"/>
                <w:szCs w:val="18"/>
                <w:color w:val="auto"/>
              </w:rPr>
              <w:t>2902-8899</w:t>
            </w:r>
          </w:p>
        </w:tc>
      </w:tr>
      <w:tr>
        <w:trPr>
          <w:trHeight w:val="176"/>
        </w:trPr>
        <w:tc>
          <w:tcPr>
            <w:tcW w:w="4080" w:type="dxa"/>
            <w:vAlign w:val="bottom"/>
            <w:tcBorders>
              <w:top w:val="single" w:sz="8" w:color="auto"/>
            </w:tcBorders>
          </w:tcPr>
          <w:p>
            <w:pPr>
              <w:jc w:val="center"/>
              <w:ind w:left="39"/>
              <w:spacing w:after="0"/>
              <w:rPr>
                <w:sz w:val="20"/>
                <w:szCs w:val="20"/>
                <w:color w:val="auto"/>
              </w:rPr>
            </w:pPr>
            <w:r>
              <w:rPr>
                <w:rFonts w:ascii="Arial" w:cs="Arial" w:eastAsia="Arial" w:hAnsi="Arial"/>
                <w:sz w:val="14"/>
                <w:szCs w:val="14"/>
                <w:color w:val="auto"/>
                <w:w w:val="94"/>
              </w:rPr>
              <w:t>(Name)</w:t>
            </w:r>
          </w:p>
        </w:tc>
        <w:tc>
          <w:tcPr>
            <w:tcW w:w="320" w:type="dxa"/>
            <w:vAlign w:val="bottom"/>
          </w:tcPr>
          <w:p>
            <w:pPr>
              <w:spacing w:after="0"/>
              <w:rPr>
                <w:sz w:val="15"/>
                <w:szCs w:val="15"/>
                <w:color w:val="auto"/>
              </w:rPr>
            </w:pPr>
          </w:p>
        </w:tc>
        <w:tc>
          <w:tcPr>
            <w:tcW w:w="154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color w:val="auto"/>
                <w:w w:val="94"/>
              </w:rPr>
              <w:t>(Area Code)</w:t>
            </w:r>
          </w:p>
        </w:tc>
        <w:tc>
          <w:tcPr>
            <w:tcW w:w="320" w:type="dxa"/>
            <w:vAlign w:val="bottom"/>
          </w:tcPr>
          <w:p>
            <w:pPr>
              <w:spacing w:after="0"/>
              <w:rPr>
                <w:sz w:val="15"/>
                <w:szCs w:val="15"/>
                <w:color w:val="auto"/>
              </w:rPr>
            </w:pPr>
          </w:p>
        </w:tc>
        <w:tc>
          <w:tcPr>
            <w:tcW w:w="418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color w:val="auto"/>
                <w:w w:val="92"/>
              </w:rPr>
              <w:t>(Telephone Number)</w:t>
            </w:r>
          </w:p>
        </w:tc>
      </w:tr>
    </w:tbl>
    <w:p>
      <w:pPr>
        <w:spacing w:after="0" w:line="60" w:lineRule="exact"/>
        <w:rPr>
          <w:sz w:val="20"/>
          <w:szCs w:val="20"/>
          <w:color w:val="auto"/>
        </w:rPr>
      </w:pPr>
    </w:p>
    <w:p>
      <w:pPr>
        <w:jc w:val="both"/>
        <w:ind w:left="704" w:right="340" w:hanging="704"/>
        <w:spacing w:after="0" w:line="287" w:lineRule="auto"/>
        <w:tabs>
          <w:tab w:leader="none" w:pos="704" w:val="left"/>
        </w:tabs>
        <w:numPr>
          <w:ilvl w:val="0"/>
          <w:numId w:val="4"/>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704"/>
        <w:spacing w:after="0" w:line="207" w:lineRule="exact"/>
        <w:tabs>
          <w:tab w:leader="none" w:pos="3724" w:val="left"/>
          <w:tab w:leader="none" w:pos="4424" w:val="left"/>
        </w:tabs>
        <w:rPr>
          <w:sz w:val="20"/>
          <w:szCs w:val="20"/>
          <w:color w:val="auto"/>
        </w:rPr>
      </w:pPr>
      <w:r>
        <w:rPr>
          <w:rFonts w:ascii="Arial" w:cs="Arial" w:eastAsia="Arial" w:hAnsi="Arial"/>
          <w:sz w:val="18"/>
          <w:szCs w:val="18"/>
          <w:color w:val="auto"/>
        </w:rPr>
        <w:t>filed? If answer is no, identify report(s).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283210</wp:posOffset>
            </wp:positionV>
            <wp:extent cx="6626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704" w:hanging="704"/>
        <w:spacing w:after="0"/>
        <w:tabs>
          <w:tab w:leader="none" w:pos="704" w:val="left"/>
        </w:tabs>
        <w:numPr>
          <w:ilvl w:val="0"/>
          <w:numId w:val="5"/>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w:t>
      </w:r>
    </w:p>
    <w:p>
      <w:pPr>
        <w:spacing w:after="0" w:line="41" w:lineRule="exact"/>
        <w:rPr>
          <w:sz w:val="20"/>
          <w:szCs w:val="20"/>
          <w:color w:val="auto"/>
        </w:rPr>
      </w:pPr>
    </w:p>
    <w:p>
      <w:pPr>
        <w:ind w:left="704"/>
        <w:spacing w:after="0" w:line="207" w:lineRule="exact"/>
        <w:tabs>
          <w:tab w:leader="none" w:pos="6464" w:val="left"/>
          <w:tab w:leader="none" w:pos="7164" w:val="left"/>
        </w:tabs>
        <w:rPr>
          <w:sz w:val="20"/>
          <w:szCs w:val="20"/>
          <w:color w:val="auto"/>
        </w:rPr>
      </w:pPr>
      <w:r>
        <w:rPr>
          <w:rFonts w:ascii="Arial" w:cs="Arial" w:eastAsia="Arial" w:hAnsi="Arial"/>
          <w:sz w:val="18"/>
          <w:szCs w:val="18"/>
          <w:color w:val="auto"/>
        </w:rPr>
        <w:t>the earnings statements to be included in the subject report or portion thereof?</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0"/>
          <w:szCs w:val="20"/>
          <w:color w:val="auto"/>
        </w:rPr>
      </w:pPr>
    </w:p>
    <w:p>
      <w:pPr>
        <w:ind w:left="704" w:right="80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62" w:lineRule="exact"/>
        <w:rPr>
          <w:sz w:val="20"/>
          <w:szCs w:val="20"/>
          <w:color w:val="auto"/>
        </w:rPr>
      </w:pPr>
    </w:p>
    <w:p>
      <w:pPr>
        <w:ind w:left="704" w:right="100"/>
        <w:spacing w:after="0" w:line="263" w:lineRule="auto"/>
        <w:rPr>
          <w:sz w:val="20"/>
          <w:szCs w:val="20"/>
          <w:color w:val="auto"/>
        </w:rPr>
      </w:pPr>
      <w:r>
        <w:rPr>
          <w:rFonts w:ascii="Arial" w:cs="Arial" w:eastAsia="Arial" w:hAnsi="Arial"/>
          <w:sz w:val="18"/>
          <w:szCs w:val="18"/>
          <w:color w:val="auto"/>
        </w:rPr>
        <w:t>Changes in the Company’s results of operations from the corresponding period for the last fiscal year are reflected in the Company’s April 16, 2021 press release announcing its financial results for the fiscal year ended December 31, 2020. This press release was furnished to the Commission on the Company’s Current Report on Form 6-K on April 19, 2021.</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left="704" w:right="60"/>
        <w:spacing w:after="0" w:line="288" w:lineRule="auto"/>
        <w:rPr>
          <w:sz w:val="20"/>
          <w:szCs w:val="20"/>
          <w:color w:val="auto"/>
        </w:rPr>
      </w:pPr>
      <w:r>
        <w:rPr>
          <w:rFonts w:ascii="Arial" w:cs="Arial" w:eastAsia="Arial" w:hAnsi="Arial"/>
          <w:sz w:val="16"/>
          <w:szCs w:val="16"/>
          <w:color w:val="auto"/>
        </w:rPr>
        <w:t>Except for historical financial information contained or referenced herein, the statements in this notification of late filing are forward-looking and made pursuant to the safe harbor provisions of the Private Securities Litigation Reform Act of 1995. In addition, this document may contain statements, estimates or projections that constitute “forward-looking” statements as defined in other U.S. securities laws. Forward-looking statements are statements that are not historical facts and can be identified by the use of forward-looking terminology such as “plans to,” “believes,” “may,” “expects,” “is expected to,” “will,” “will continue,” “should,” “seeks” or “anticipates” or similar expressions or the negative thereof or other comparable terminology, or by the forward-looking nature of discussions of strategy, plans or intentions. Actual results may differ materially from those projected or implied in the forward-looking statements. Such forward-looking information is based on certain key assumptions which we believe to be reasonable but forward-looking information by its nature involves risks and uncertainties, which are outside our control, that could significantly affect expected results. We undertake no obligation to release publicly the result of any revisions to these forward-looking statements which may be made to reflect events or circumstances after the date hereof.</w:t>
      </w:r>
    </w:p>
    <w:p>
      <w:pPr>
        <w:spacing w:after="0" w:line="168" w:lineRule="exact"/>
        <w:rPr>
          <w:sz w:val="20"/>
          <w:szCs w:val="20"/>
          <w:color w:val="auto"/>
        </w:rPr>
      </w:pPr>
    </w:p>
    <w:p>
      <w:pPr>
        <w:jc w:val="center"/>
        <w:ind w:right="16"/>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EHang Holdings Limtied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April 30, 2021</w:t>
            </w:r>
          </w:p>
        </w:tc>
        <w:tc>
          <w:tcPr>
            <w:tcW w:w="2740" w:type="dxa"/>
            <w:vAlign w:val="bottom"/>
          </w:tcPr>
          <w:p>
            <w:pPr>
              <w:ind w:left="208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Jian Liu</w:t>
            </w:r>
          </w:p>
        </w:tc>
      </w:tr>
      <w:tr>
        <w:trPr>
          <w:trHeight w:val="209"/>
        </w:trPr>
        <w:tc>
          <w:tcPr>
            <w:tcW w:w="3660" w:type="dxa"/>
            <w:vAlign w:val="bottom"/>
          </w:tcPr>
          <w:p>
            <w:pPr>
              <w:spacing w:after="0"/>
              <w:rPr>
                <w:sz w:val="18"/>
                <w:szCs w:val="18"/>
                <w:color w:val="auto"/>
              </w:rPr>
            </w:pPr>
          </w:p>
        </w:tc>
        <w:tc>
          <w:tcPr>
            <w:tcW w:w="2740" w:type="dxa"/>
            <w:vAlign w:val="bottom"/>
          </w:tcPr>
          <w:p>
            <w:pPr>
              <w:ind w:left="208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Richard Jian Liu</w:t>
            </w:r>
          </w:p>
        </w:tc>
      </w:tr>
      <w:tr>
        <w:trPr>
          <w:trHeight w:val="230"/>
        </w:trPr>
        <w:tc>
          <w:tcPr>
            <w:tcW w:w="3660" w:type="dxa"/>
            <w:vAlign w:val="bottom"/>
          </w:tcPr>
          <w:p>
            <w:pPr>
              <w:spacing w:after="0"/>
              <w:rPr>
                <w:sz w:val="20"/>
                <w:szCs w:val="20"/>
                <w:color w:val="auto"/>
              </w:rPr>
            </w:pPr>
          </w:p>
        </w:tc>
        <w:tc>
          <w:tcPr>
            <w:tcW w:w="2740" w:type="dxa"/>
            <w:vAlign w:val="bottom"/>
          </w:tcPr>
          <w:p>
            <w:pPr>
              <w:ind w:left="208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2021-04-30T15:32:03Z</dcterms:created>
  <dcterms:modified xsi:type="dcterms:W3CDTF">2021-04-30T15:32:03Z</dcterms:modified>
</cp:coreProperties>
</file>