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43"/>
          <w:szCs w:val="43"/>
          <w:b w:val="1"/>
          <w:bCs w:val="1"/>
          <w:color w:val="auto"/>
        </w:rPr>
        <w:t>EHANG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EHang Future City (Group Headquarters)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118 Dongjiang Avenue, Huangpu District,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Guangzhou, 510730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EHang Reports First Quarter 2026 Unaudited Financial Results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EHang Holdings Limited</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Conor Chia-hung Yang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Conor Chia-hung Yang</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EHang Reports First Quarter 2026 Unaudited Financial Results</w:t>
      </w:r>
    </w:p>
    <w:p>
      <w:pPr>
        <w:spacing w:after="0" w:line="22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Guangzhou, China, June 9, 2026 </w:t>
      </w:r>
      <w:r>
        <w:rPr>
          <w:rFonts w:ascii="Times New Roman" w:cs="Times New Roman" w:eastAsia="Times New Roman" w:hAnsi="Times New Roman"/>
          <w:sz w:val="18"/>
          <w:szCs w:val="18"/>
          <w:color w:val="auto"/>
        </w:rPr>
        <w:t>— EHang Holdings Limited (Nasdaq: EH) (“EHang” or the “Company”), the world’s leading advanced air mobility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(“AAM”) technology platform company, today announced its unaudited financial results for the first quarter ended March 31, 2026.</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Highlights for the First Quarter of 2026</w:t>
      </w:r>
    </w:p>
    <w:p>
      <w:pPr>
        <w:spacing w:after="0" w:line="131" w:lineRule="exact"/>
        <w:rPr>
          <w:sz w:val="20"/>
          <w:szCs w:val="20"/>
          <w:color w:val="auto"/>
        </w:rPr>
      </w:pPr>
    </w:p>
    <w:p>
      <w:pPr>
        <w:ind w:left="964" w:right="380" w:hanging="424"/>
        <w:spacing w:after="0" w:line="225" w:lineRule="auto"/>
        <w:tabs>
          <w:tab w:leader="none" w:pos="96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Sales and deliveries of electric vertical take-off and landing (“eVTOL”) aircraft </w:t>
      </w:r>
      <w:r>
        <w:rPr>
          <w:rFonts w:ascii="Times New Roman" w:cs="Times New Roman" w:eastAsia="Times New Roman" w:hAnsi="Times New Roman"/>
          <w:sz w:val="17"/>
          <w:szCs w:val="17"/>
          <w:color w:val="auto"/>
        </w:rPr>
        <w:t>were four units of EH216 series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compared with 11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units of EH216 series in the first quarter of 2025, and 61 units of EH216 series and five units of VT35 in the fourth quarter of 2025.</w:t>
      </w:r>
    </w:p>
    <w:p>
      <w:pPr>
        <w:spacing w:after="0" w:line="100" w:lineRule="exact"/>
        <w:rPr>
          <w:rFonts w:ascii="Times New Roman" w:cs="Times New Roman" w:eastAsia="Times New Roman" w:hAnsi="Times New Roman"/>
          <w:sz w:val="17"/>
          <w:szCs w:val="17"/>
          <w:color w:val="auto"/>
        </w:rPr>
      </w:pPr>
    </w:p>
    <w:p>
      <w:pPr>
        <w:ind w:left="964" w:right="1200" w:hanging="424"/>
        <w:spacing w:after="0" w:line="286"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revenues </w:t>
      </w:r>
      <w:r>
        <w:rPr>
          <w:rFonts w:ascii="Times New Roman" w:cs="Times New Roman" w:eastAsia="Times New Roman" w:hAnsi="Times New Roman"/>
          <w:sz w:val="18"/>
          <w:szCs w:val="18"/>
          <w:color w:val="auto"/>
        </w:rPr>
        <w:t>were RMB25.7 million (US$3.7 million), compared with RMB26.1 million in the first quarter of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RMB177.6 million in the fourth quarter of 2025.</w:t>
      </w:r>
    </w:p>
    <w:p>
      <w:pPr>
        <w:spacing w:after="0" w:line="6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was 62.5%, a slight increase from 62.4% in the first quarter of 2025 and 61.6% in the fourth quarter of 2025.</w:t>
      </w:r>
    </w:p>
    <w:p>
      <w:pPr>
        <w:spacing w:after="0" w:line="130" w:lineRule="exact"/>
        <w:rPr>
          <w:rFonts w:ascii="Times New Roman" w:cs="Times New Roman" w:eastAsia="Times New Roman" w:hAnsi="Times New Roman"/>
          <w:sz w:val="18"/>
          <w:szCs w:val="18"/>
          <w:color w:val="auto"/>
        </w:rPr>
      </w:pPr>
    </w:p>
    <w:p>
      <w:pPr>
        <w:ind w:left="964" w:right="1140" w:hanging="424"/>
        <w:spacing w:after="0" w:line="286"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loss </w:t>
      </w:r>
      <w:r>
        <w:rPr>
          <w:rFonts w:ascii="Times New Roman" w:cs="Times New Roman" w:eastAsia="Times New Roman" w:hAnsi="Times New Roman"/>
          <w:sz w:val="18"/>
          <w:szCs w:val="18"/>
          <w:color w:val="auto"/>
        </w:rPr>
        <w:t>was RMB127.9 million (US$18.5 million), compared with RMB89.9 million in the first quarter of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RMB43.0 million in the fourth quarter of 2025.</w:t>
      </w:r>
    </w:p>
    <w:p>
      <w:pPr>
        <w:spacing w:after="0" w:line="60" w:lineRule="exact"/>
        <w:rPr>
          <w:rFonts w:ascii="Times New Roman" w:cs="Times New Roman" w:eastAsia="Times New Roman" w:hAnsi="Times New Roman"/>
          <w:sz w:val="18"/>
          <w:szCs w:val="18"/>
          <w:color w:val="auto"/>
        </w:rPr>
      </w:pPr>
    </w:p>
    <w:p>
      <w:pPr>
        <w:ind w:left="964" w:right="120" w:hanging="424"/>
        <w:spacing w:after="0" w:line="286"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was RMB126.4 million (US$18.3 million), compared with RMB78.4 million in the first quarter of 2025 and RMB20.9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fourth quarter of 2025.</w:t>
      </w:r>
    </w:p>
    <w:p>
      <w:pPr>
        <w:spacing w:after="0" w:line="60" w:lineRule="exact"/>
        <w:rPr>
          <w:rFonts w:ascii="Times New Roman" w:cs="Times New Roman" w:eastAsia="Times New Roman" w:hAnsi="Times New Roman"/>
          <w:sz w:val="18"/>
          <w:szCs w:val="18"/>
          <w:color w:val="auto"/>
        </w:rPr>
      </w:pPr>
    </w:p>
    <w:p>
      <w:pPr>
        <w:ind w:left="964" w:right="240" w:hanging="424"/>
        <w:spacing w:after="0" w:line="231"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Adjusted operating loss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i w:val="1"/>
          <w:iCs w:val="1"/>
          <w:color w:val="auto"/>
        </w:rPr>
        <w:t xml:space="preserve"> (non-GAAP) </w:t>
      </w:r>
      <w:r>
        <w:rPr>
          <w:rFonts w:ascii="Times New Roman" w:cs="Times New Roman" w:eastAsia="Times New Roman" w:hAnsi="Times New Roman"/>
          <w:sz w:val="18"/>
          <w:szCs w:val="18"/>
          <w:color w:val="auto"/>
        </w:rPr>
        <w:t>was RMB77.1 million (US$11.2 million), compared with RMB42.6 million in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adjusted operating income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RMB17.9 million in the fourth quarter of 2025.</w:t>
      </w:r>
    </w:p>
    <w:p>
      <w:pPr>
        <w:spacing w:after="0" w:line="1" w:lineRule="exact"/>
        <w:rPr>
          <w:rFonts w:ascii="Times New Roman" w:cs="Times New Roman" w:eastAsia="Times New Roman" w:hAnsi="Times New Roman"/>
          <w:sz w:val="18"/>
          <w:szCs w:val="18"/>
          <w:color w:val="auto"/>
        </w:rPr>
      </w:pPr>
    </w:p>
    <w:p>
      <w:pPr>
        <w:ind w:left="964" w:right="260" w:hanging="424"/>
        <w:spacing w:after="0" w:line="22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Adjusted net loss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b w:val="1"/>
          <w:bCs w:val="1"/>
          <w:i w:val="1"/>
          <w:iCs w:val="1"/>
          <w:color w:val="auto"/>
        </w:rPr>
        <w:t xml:space="preserve"> (non-GAAP) </w:t>
      </w:r>
      <w:r>
        <w:rPr>
          <w:rFonts w:ascii="Times New Roman" w:cs="Times New Roman" w:eastAsia="Times New Roman" w:hAnsi="Times New Roman"/>
          <w:sz w:val="18"/>
          <w:szCs w:val="18"/>
          <w:color w:val="auto"/>
        </w:rPr>
        <w:t>was RMB75.6 million (US$11.0 million), compared with RMB31.1 million in the first quarter of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adjusted net income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RMB40.1 million in the fourth quarter of 2025.</w:t>
      </w:r>
    </w:p>
    <w:p>
      <w:pPr>
        <w:ind w:left="964" w:right="1140" w:hanging="424"/>
        <w:spacing w:after="0" w:line="258"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and cash equivalents, restricted short-term deposits, short-term investments and treasury investment balances </w:t>
      </w:r>
      <w:r>
        <w:rPr>
          <w:rFonts w:ascii="Times New Roman" w:cs="Times New Roman" w:eastAsia="Times New Roman" w:hAnsi="Times New Roman"/>
          <w:sz w:val="18"/>
          <w:szCs w:val="18"/>
          <w:color w:val="auto"/>
        </w:rPr>
        <w:t>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RMB1.03 billion (US$148.9 million) as of March 31, 2026.</w:t>
      </w:r>
    </w:p>
    <w:p>
      <w:pPr>
        <w:spacing w:after="0" w:line="287" w:lineRule="exact"/>
        <w:rPr>
          <w:sz w:val="20"/>
          <w:szCs w:val="20"/>
          <w:color w:val="auto"/>
        </w:rPr>
      </w:pPr>
    </w:p>
    <w:p>
      <w:pPr>
        <w:ind w:left="4" w:right="524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Business Highlights for the First Quarter of 2026 and Recent Developments </w:t>
      </w:r>
      <w:r>
        <w:rPr>
          <w:rFonts w:ascii="Times New Roman" w:cs="Times New Roman" w:eastAsia="Times New Roman" w:hAnsi="Times New Roman"/>
          <w:sz w:val="18"/>
          <w:szCs w:val="18"/>
          <w:b w:val="1"/>
          <w:bCs w:val="1"/>
          <w:i w:val="1"/>
          <w:iCs w:val="1"/>
          <w:color w:val="auto"/>
        </w:rPr>
        <w:t>Progress Toward EH216-S Commercial Operations in China</w:t>
      </w: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As China advances toward public eVTOL commercial operations, EHang and its operating partners have been working closely with the CAAC to meet additional operational and safety requirements ahead of the launch of public ticketed flight services. The two Air Operator Certificate (“OC”) holders, EHang General Aviation and Heyi Aviation, have continued refining operational procedures, ground support systems, personnel training programs and emergency response capabilities while conducting routine internal trial commercial operations. Since obtaining their OCs in March 2025, both operators have maintained a flawless safety record with zero accidents and zero violations, completing more than 3,000 safe flight missions. Meanwhile, EHang has established a comprehensive commercial operation framework covering ticket pricing, online and offline ticketing channels, customer service, public feedback management and standardized operating procedures. With over 40 eVTOL operation sites already established by customers and partners across China, some of which are in routine flights, the Company is continuing to expand operational capacity and further refine its scalable operating model for future commercial deployment.</w:t>
      </w:r>
    </w:p>
    <w:p>
      <w:pPr>
        <w:spacing w:after="0" w:line="215" w:lineRule="exact"/>
        <w:rPr>
          <w:sz w:val="20"/>
          <w:szCs w:val="20"/>
          <w:color w:val="auto"/>
        </w:rPr>
      </w:pPr>
    </w:p>
    <w:p>
      <w:pPr>
        <w:ind w:left="424" w:right="2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EH216 series include the EH216-S (standard model for passenger transportation), the EH216-F (specialized model for aerial firefighting), and the EH216-L (specialized model for aerial logistics).</w:t>
      </w:r>
    </w:p>
    <w:p>
      <w:pPr>
        <w:ind w:left="424" w:hanging="424"/>
        <w:spacing w:after="0" w:line="181" w:lineRule="auto"/>
        <w:tabs>
          <w:tab w:leader="none" w:pos="424"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Adjusted operating income (loss) is a non-GAAP financial measure, which is defined as operating income (loss) excluding share-based</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compensation expenses. See “Non-GAAP Financial Measures”.</w:t>
      </w:r>
    </w:p>
    <w:p>
      <w:pPr>
        <w:spacing w:after="0" w:line="7" w:lineRule="exact"/>
        <w:rPr>
          <w:sz w:val="20"/>
          <w:szCs w:val="20"/>
          <w:color w:val="auto"/>
        </w:rPr>
      </w:pPr>
    </w:p>
    <w:p>
      <w:pPr>
        <w:ind w:left="424" w:right="4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net income (loss) is a non-GAAP financial measure, which is defined as net income (loss) excluding share-based compensation expenses and certain non-operational expenses. See “Non-GAAP Financial Measures”.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preparation for the EH216-S crew training program, EHang assembled an experienced instructor team and secured all necessary resources, including training aircraft, facilities, and practice sites. In May 2026, the CAAC issued the Training Requirements for Remote Pilot of Large Civil Unmanned Aircraft System, providing a regulatory framework for standardized training of EH216-S ground operating crew. EHang’s early preparation efforts have also contributed practical insights to the development of this industry standard. The training program is ready for implementation and will be launched promptly upon receiving CAAC approval, laying a core talent foundation for future scaled commercial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EH216-S Upgrades to Enhance Operational Efficiency and Passenger Experience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EHang continued to optimize the EH216-S platform with a focus on improving operational efficiency and passenger comfort, particularly in high-temperature operating environments.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To enhance aircraft utilization, the Company developed a dedicated battery cooling vehicle that significantly shortens battery cooling time between flights, supporting higher operational frequency. In addition, EHang introduced an independent air-conditioning system for the EH216-S cabin. The upgraded system effectively reduces cabin temperature and improves passenger comfort without compromising flight safety and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 on VT35 Certification Process</w:t>
      </w:r>
    </w:p>
    <w:p>
      <w:pPr>
        <w:spacing w:after="0" w:line="12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EHang continued advancing the research, development, and airworthiness certification for the VT35 long-range lift-and-cruise eVTOL aircraft. The certification process is currently in the Certification Basis definition phase, with in-depth discussions with the CAAC regarding Special Conditions, safety objectives, and performance requirements. The Company also continued critical test flights to validate system functionality and performance, while detailed avionics design progressed in preparation for certification prototype manufacturing.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Aerial Media Business Continues to Gain Traction</w:t>
      </w:r>
    </w:p>
    <w:p>
      <w:pPr>
        <w:spacing w:after="0" w:line="121"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8"/>
          <w:szCs w:val="18"/>
          <w:color w:val="auto"/>
        </w:rPr>
        <w:t>Building on the successful performance of 16 EH216-S aircraft and 22,580 GD4.0 formation drones at the CMG 2026 China Spring Festival Gala in Hefei, which set a new Guinness World Records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title, EHang experienced increased market interest in its aerial media solutions.</w:t>
      </w:r>
    </w:p>
    <w:p>
      <w:pPr>
        <w:spacing w:after="0" w:line="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EHang delivered 22 aerial media shows and 1,000 units of GD 4.0 formation drones. Revenue contribution from aerial media solutions represented approximately 40% of total revenue for the quarter, reflecting growing customer adoption and a more diversified revenue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Thailand remains EHang’s strategic benchmark market overseas. Under the AAM Sandbox framework, the Company has continued advancing regulatory engagement, operational preparation and local capability building. Five vertiport locations have been identified and the survey of the first operational route has been completed. To support operations in Thailand’s hot and humid island environment, EHang has completed localized upgrades to key systems, including battery cooling and cabin air-conditioning solutions. The Company is now actively working with the Civil Aviation Authority of Thailand (“CAAT”) to advance the approval process for commercial operations, while leveraging the Thailand program as a model for future international market expansion.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5" w:name="page6"/>
    <w:bookmarkEnd w:id="5"/>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Mexico: </w:t>
      </w:r>
      <w:r>
        <w:rPr>
          <w:rFonts w:ascii="Times New Roman" w:cs="Times New Roman" w:eastAsia="Times New Roman" w:hAnsi="Times New Roman"/>
          <w:sz w:val="18"/>
          <w:szCs w:val="18"/>
          <w:color w:val="auto"/>
        </w:rPr>
        <w:t>In May 2026, EHang’s flagship EH216-S successfully completed the first human-carrying pilotless eVTOL flights in Mexico and Latin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during the FAMEX Tulum Air Show 2026. Executed in coordination with our local operator under the local regulatory framework, the milestone demonstrated the operational capability of the EH216-S in airport environments and marked an important step toward future deployment of pilotless eVTOL operations in the region.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8, 2026, the Company’s Board of Directors has approved a Share Repurchase Program, pursuant to which the Company may repurchase up to US$30 million of its American Depositary Shares (“ADSs”) or ordinary shares over the next 12 months.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federal securities laws, including Rule 10b5-1 and Rule 10b-18 of the Securities Exchange Act of 1934, as amended. The timing and amount of any share repurchases under the Share Repurchase Program will be determined by the Company’s management at its discretion based on ongoing assessments of price, trading volume and general market conditions, along with the Company’s working capital requirements, general business conditions and other factors. The Company expects to fund repurchases made under this program mainly from its existing cash balance.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Remarks</w:t>
      </w:r>
    </w:p>
    <w:p>
      <w:pPr>
        <w:spacing w:after="0" w:line="11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Mr. Huazhi Hu, Founder, Chairman and Chief Executive Officer of EHang</w:t>
      </w:r>
      <w:r>
        <w:rPr>
          <w:rFonts w:ascii="Times New Roman" w:cs="Times New Roman" w:eastAsia="Times New Roman" w:hAnsi="Times New Roman"/>
          <w:sz w:val="17"/>
          <w:szCs w:val="17"/>
          <w:color w:val="auto"/>
        </w:rPr>
        <w:t>: “The first quarter of 2026 marked an important transition period as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 advancing from airworthiness certification achievements toward commercial deployment. We remained focused on the four strategic priorities we outlined at the beginning of the year: advancing commercial operation readiness, expanding our global footprint, progressing the VT35 certification, and strengthening our integrated industrial capabilities. This quarter, we continued refining operational systems and procedures with regulators and partners, upgraded EH216-S for hot-weather conditions, advanced VT35 key certification activities and Thailand’s AAM sandbox program.</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industry level, China’s low-altitude economy is entering a new stage of development, supported by an increasingly comprehensive legal, regulatory, and standards framework that provides a solid foundation for sustainable growth. As the world’s first company to obtain the full suite of airworthiness and operational certifications for a pilotless human-carrying eVTOL aircraft, we believe our competitive advantage extends beyond certification and manufacturing. It lies in our ability to establish safe, scalable, and sustainable operational models. Looking ahead, we will continue to prioritize safety, compliance, and operational excellence while steadily advancing the commercialization of advanced air mobility.”</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Mr. Conor Yang, Chief Financial Officer of EHang</w:t>
      </w:r>
      <w:r>
        <w:rPr>
          <w:rFonts w:ascii="Times New Roman" w:cs="Times New Roman" w:eastAsia="Times New Roman" w:hAnsi="Times New Roman"/>
          <w:sz w:val="18"/>
          <w:szCs w:val="18"/>
          <w:color w:val="auto"/>
        </w:rPr>
        <w:t>: “Our first quarter financial performance reflected normal seasonal dynamics and aircraft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while our business fundamentals remain stable. We are maintaining our annual revenue guidance of RMB600 million, supported by the market demand, ongoing progress toward public commercial operations, expanding international opportunities and diversified revenue sources. Notably, the aerial media business gained solid traction and contributed approximately 40% of total revenues during the first quarter, reflecting further diversification of our revenue mix. We will continue balancing business expansion with disciplined cost management, while maintaining a healthy financial profile to support our long-term growth strategy.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the Board has approved a 12-month share repurchase program, authorizing the repurchase of up to US$30 million of ADSs or ordinary shares, demonstrating our confidence in the Company’s long-term value and future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Financial Results for the First Quarter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Total revenues were RMB25.7 million (US$3.7 million), compared with RMB26.1 million in the first quarter of 2025, and RMB177.6 million in the fourth quarter of 2025, primarily driven by decreased sales volume of eVTOL aircraft, partially offset by growth from non-human-carrying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Costs of revenues were RMB9.6 million (US$1.4 million), on par with RMB9.8 million in the first quarter of 2025 and RMB68.3 million in the fourth quarter of 2025. The quarter-over-quarter decrease was in line with the decrease in the sales volume of eVTOL aircraft.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was RMB16.0 million (US$2.3 million), compared with RMB16.3 million in the first quarter of 2025, and RMB109.4 million in the fourth quarter of 2025. The quarter-over-quarter decrease was primarily due to the decrease in the sales volume of eVTOL aircraft.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62.5%, a slight increase from 62.4% in the first quarter of 2025 and 61.6% in the fourth quarter of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180"/>
        <w:spacing w:after="0" w:line="282" w:lineRule="auto"/>
        <w:rPr>
          <w:sz w:val="20"/>
          <w:szCs w:val="20"/>
          <w:color w:val="auto"/>
        </w:rPr>
      </w:pPr>
      <w:r>
        <w:rPr>
          <w:rFonts w:ascii="Times New Roman" w:cs="Times New Roman" w:eastAsia="Times New Roman" w:hAnsi="Times New Roman"/>
          <w:sz w:val="18"/>
          <w:szCs w:val="18"/>
          <w:color w:val="auto"/>
        </w:rPr>
        <w:t>Total operating expenses were RMB151.7 million (US$22.0 million), compared with RMB110.9 million in the first quarter of 2025, and RMB154.4 million in the fourth quarter of 2025.</w:t>
      </w:r>
    </w:p>
    <w:p>
      <w:pPr>
        <w:spacing w:after="0" w:line="63" w:lineRule="exact"/>
        <w:rPr>
          <w:sz w:val="20"/>
          <w:szCs w:val="20"/>
          <w:color w:val="auto"/>
        </w:rPr>
      </w:pPr>
    </w:p>
    <w:p>
      <w:pPr>
        <w:ind w:left="960" w:right="40" w:hanging="424"/>
        <w:spacing w:after="0" w:line="25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were RMB23.9 million (US$3.5 million), compared with RMB12.2 million in the first quarter of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RMB38.3 million in the fourth quarter of 2025. The year-over-year increase was attributed to higher share-based compensation expenses due to new grant of share-based awards in second quarter of 2025, primarily subject to four-year vesting schedule, increased employee compensation driven by workforce expansion and increased marketing and promotional fees. The quarter-over-quarter decrease was attributed to lower share-based compensation expenses due to a certain portion of share-based awards fully vested in 2025 and decreased sales-related compensation driven by lower sales volume.</w:t>
      </w:r>
    </w:p>
    <w:p>
      <w:pPr>
        <w:spacing w:after="0" w:line="87" w:lineRule="exact"/>
        <w:rPr>
          <w:rFonts w:ascii="Times New Roman" w:cs="Times New Roman" w:eastAsia="Times New Roman" w:hAnsi="Times New Roman"/>
          <w:sz w:val="18"/>
          <w:szCs w:val="18"/>
          <w:color w:val="auto"/>
        </w:rPr>
      </w:pPr>
    </w:p>
    <w:p>
      <w:pPr>
        <w:ind w:left="960" w:hanging="424"/>
        <w:spacing w:after="0" w:line="26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were RMB67.7 million (US$9.8 million), compared with RMB61.3 million in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on par with RMB67.1 million in the fourth quarter of 2025. The year-over-year increase was mainly attributed to increased employee compensation driven by workforce expansion and increased depreciation and amortization of property and equipment as our new headquarter buildings were placed in service due to workforce expansion, partly offset by lower share-based compensation expenses.</w:t>
      </w:r>
    </w:p>
    <w:p>
      <w:pPr>
        <w:spacing w:after="0" w:line="81" w:lineRule="exact"/>
        <w:rPr>
          <w:rFonts w:ascii="Times New Roman" w:cs="Times New Roman" w:eastAsia="Times New Roman" w:hAnsi="Times New Roman"/>
          <w:sz w:val="18"/>
          <w:szCs w:val="18"/>
          <w:color w:val="auto"/>
        </w:rPr>
      </w:pPr>
    </w:p>
    <w:p>
      <w:pPr>
        <w:ind w:left="960" w:hanging="424"/>
        <w:spacing w:after="0" w:line="259"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were RMB60.1 million (US$8.7 million), compared with RMB37.3 million in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RMB49.1 million in the fourth quarter of 2025. The year-over-year increase was mainly attributed to increased employee compensation driven by workforce expansion and incremental expenditures on different models of eVTOL aircraft, including VT35 development and certification. The quarter-over-quarter increase was mainly attributable to continuous expenditures on development of the eVTOL aircraft.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loss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loss was RMB127.9 million (US$18.5 million), compared with RMB89.9 million in the first quarter of 2025 and RMB43.0 million in the fourth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loss was RMB126.4 million (US$18.3 million), compared with RMB78.4 million in the first quarter of 2025 and RMB20.9 million in the fourth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 and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 were both RMB0.83 (US$0.12).</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Basic and diluted net loss per American depositary share (“ADS”) were both RMB1.66 (US$0.24). Each ADS represents two of our Class A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restricted short-term deposits, short-term investments and treasury investment balances were RMB1.03 billion (US$148.9 million) as of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adjusted operating expenses, adjusted sales and marketing expenses, adjusted general and administrative expenses, adjusted research and development expenses, adjusted operating income (loss), adjusted net income (loss), adjusted net income (loss) attributable to ordinary shareholders, adjusted basic and diluted net earnings (loss) per ordinary share and adjusted basic and diluted net earnings (loss) per ADS (collectively, the “Non-GAAP Financial Measures”) in evaluating its operating results and for financial and operational decision-making purposes. There was no income tax impact on the Company’s non-GAAP adjustments because the non-GAAP adjustments are usually recorded in entities located in tax-free jurisdictions, such as the Cayman Islands, or such expenses were not deductible.</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believes that the Non-GAAP Financial Measures help identify underlying trends in its business that could otherwise be distorted by the effects of item of (i) share-based compensation expenses and (ii) certain non-operational expenses, such as provisions for legal proceedings, which are included in their comparable GAAP measures. The Company believes that the Non-GAAP Financial Measures provide useful information about its operating results, enhance the overall understanding of its past performance and future prospects, and allow for greater visibility with respect to key metrics used by its management in their financial and operational decision-making.</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One of the key limitations of using the Non-GAAP Financial Measures is that they do not reflect all items of expense that affect the Company’s operations. Share-based compensation expenses have been and may continue to be incurred in the business and are not reflected in the presentation of the Non-GAAP Financial Measures. Further, the Non-GAAP Financial Measures may differ from the non-GAAP information used by other companies, including peer companies, and therefore their comparability may be limited. The Company compensates for these limitations by reconciling the Non-GAAP Financial Measures to the nearest U.S. GAAP measures, all of which should be considered when evaluating the Company’s performance.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Non-GAAP Financial Measures should not be considered in isolation or construed as an alternative to its comparable GAAP measure or any other measure of performance or as an indicator of the Company’s operating performance or financial results. Investors are encouraged to review the Company’s most directly comparable GAAP measures in conjunction with the Non-GAAP Financial Measures. The Non-GAAP Financial Measures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its financial information in its entirety and not rely on a single financial measure.</w:t>
      </w:r>
    </w:p>
    <w:p>
      <w:pPr>
        <w:spacing w:after="0" w:line="187"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Reconciliations of GAAP and Non-GAAP Results” set forth at the end of this press release.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w:t>
      </w:r>
      <w:r>
        <w:rPr>
          <w:rFonts w:ascii="Times New Roman" w:cs="Times New Roman" w:eastAsia="Times New Roman" w:hAnsi="Times New Roman"/>
          <w:sz w:val="26"/>
          <w:szCs w:val="26"/>
          <w:b w:val="1"/>
          <w:bCs w:val="1"/>
          <w:i w:val="1"/>
          <w:iCs w:val="1"/>
          <w:color w:val="auto"/>
          <w:vertAlign w:val="superscript"/>
        </w:rPr>
        <w:t>4</w:t>
      </w:r>
      <w:r>
        <w:rPr>
          <w:rFonts w:ascii="Times New Roman" w:cs="Times New Roman" w:eastAsia="Times New Roman" w:hAnsi="Times New Roman"/>
          <w:sz w:val="18"/>
          <w:szCs w:val="18"/>
          <w:b w:val="1"/>
          <w:bCs w:val="1"/>
          <w:i w:val="1"/>
          <w:iCs w:val="1"/>
          <w:color w:val="auto"/>
        </w:rPr>
        <w:t xml:space="preserve"> (non-GAAP)</w:t>
      </w:r>
    </w:p>
    <w:p>
      <w:pPr>
        <w:ind w:left="4"/>
        <w:spacing w:after="0" w:line="212" w:lineRule="auto"/>
        <w:rPr>
          <w:sz w:val="20"/>
          <w:szCs w:val="20"/>
          <w:color w:val="auto"/>
        </w:rPr>
      </w:pPr>
      <w:r>
        <w:rPr>
          <w:rFonts w:ascii="Times New Roman" w:cs="Times New Roman" w:eastAsia="Times New Roman" w:hAnsi="Times New Roman"/>
          <w:sz w:val="18"/>
          <w:szCs w:val="18"/>
          <w:color w:val="auto"/>
        </w:rPr>
        <w:t>Adjusted operating expenses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were RMB101.1 million (US$14.7 million), compared to RMB63.6 million in the first quarter of 2025 and</w:t>
      </w:r>
    </w:p>
    <w:p>
      <w:pPr>
        <w:ind w:left="4"/>
        <w:spacing w:after="0" w:line="192" w:lineRule="auto"/>
        <w:rPr>
          <w:sz w:val="20"/>
          <w:szCs w:val="20"/>
          <w:color w:val="auto"/>
        </w:rPr>
      </w:pPr>
      <w:r>
        <w:rPr>
          <w:rFonts w:ascii="Times New Roman" w:cs="Times New Roman" w:eastAsia="Times New Roman" w:hAnsi="Times New Roman"/>
          <w:sz w:val="18"/>
          <w:szCs w:val="18"/>
          <w:color w:val="auto"/>
        </w:rPr>
        <w:t>RMB93.7 million in the fourth quarter of 2025. In the First Quarter of 2026, adjusted sales and marketing expenses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adjusted general and administrative expenses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and adjusted research and development expenses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were RMB18.6 million (US$2.7 million), RMB31.4 million (US$4.5 million), and RMB51.1 million (US$7.5 million), respectively.</w:t>
      </w:r>
    </w:p>
    <w:p>
      <w:pPr>
        <w:spacing w:after="0" w:line="3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w:t>
      </w:r>
      <w:r>
        <w:rPr>
          <w:rFonts w:ascii="Times New Roman" w:cs="Times New Roman" w:eastAsia="Times New Roman" w:hAnsi="Times New Roman"/>
          <w:sz w:val="26"/>
          <w:szCs w:val="26"/>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(non-GAAP)</w:t>
      </w:r>
    </w:p>
    <w:p>
      <w:pPr>
        <w:spacing w:after="0" w:line="49" w:lineRule="exact"/>
        <w:rPr>
          <w:sz w:val="20"/>
          <w:szCs w:val="20"/>
          <w:color w:val="auto"/>
        </w:rPr>
      </w:pPr>
    </w:p>
    <w:p>
      <w:pPr>
        <w:ind w:left="4" w:right="380"/>
        <w:spacing w:after="0" w:line="223" w:lineRule="auto"/>
        <w:rPr>
          <w:sz w:val="20"/>
          <w:szCs w:val="20"/>
          <w:color w:val="auto"/>
        </w:rPr>
      </w:pPr>
      <w:r>
        <w:rPr>
          <w:rFonts w:ascii="Times New Roman" w:cs="Times New Roman" w:eastAsia="Times New Roman" w:hAnsi="Times New Roman"/>
          <w:sz w:val="18"/>
          <w:szCs w:val="18"/>
          <w:color w:val="auto"/>
        </w:rPr>
        <w:t>Adjusted operating loss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was RMB77.1 million (US$11.2 million), compared with RMB42.6 million in the first quarter of 2025 and compared with adjusted operating income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RMB17.9 million in the fourth quarter of 2025.</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r>
        <w:rPr>
          <w:rFonts w:ascii="Times New Roman" w:cs="Times New Roman" w:eastAsia="Times New Roman" w:hAnsi="Times New Roman"/>
          <w:sz w:val="26"/>
          <w:szCs w:val="26"/>
          <w:b w:val="1"/>
          <w:bCs w:val="1"/>
          <w:i w:val="1"/>
          <w:iCs w:val="1"/>
          <w:color w:val="auto"/>
          <w:vertAlign w:val="superscript"/>
        </w:rPr>
        <w:t>3</w:t>
      </w:r>
      <w:r>
        <w:rPr>
          <w:rFonts w:ascii="Times New Roman" w:cs="Times New Roman" w:eastAsia="Times New Roman" w:hAnsi="Times New Roman"/>
          <w:sz w:val="18"/>
          <w:szCs w:val="18"/>
          <w:b w:val="1"/>
          <w:bCs w:val="1"/>
          <w:i w:val="1"/>
          <w:iCs w:val="1"/>
          <w:color w:val="auto"/>
        </w:rPr>
        <w:t xml:space="preserve"> (non-GAAP)</w:t>
      </w:r>
    </w:p>
    <w:p>
      <w:pPr>
        <w:spacing w:after="0" w:line="49" w:lineRule="exact"/>
        <w:rPr>
          <w:sz w:val="20"/>
          <w:szCs w:val="20"/>
          <w:color w:val="auto"/>
        </w:rPr>
      </w:pPr>
    </w:p>
    <w:p>
      <w:pPr>
        <w:ind w:left="4" w:right="220"/>
        <w:spacing w:after="0" w:line="204" w:lineRule="auto"/>
        <w:rPr>
          <w:sz w:val="20"/>
          <w:szCs w:val="20"/>
          <w:color w:val="auto"/>
        </w:rPr>
      </w:pPr>
      <w:r>
        <w:rPr>
          <w:rFonts w:ascii="Times New Roman" w:cs="Times New Roman" w:eastAsia="Times New Roman" w:hAnsi="Times New Roman"/>
          <w:sz w:val="18"/>
          <w:szCs w:val="18"/>
          <w:color w:val="auto"/>
        </w:rPr>
        <w:t>Adjusted net loss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was RMB75.6 million (US$11.0 million), compared with RMB31.1 million in the first quarter of 2025 and adjusted net income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RMB40.1 million in the fourth quarter of 2025.</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attributable to EHang’s ordinary shareholders</w:t>
      </w:r>
      <w:r>
        <w:rPr>
          <w:rFonts w:ascii="Times New Roman" w:cs="Times New Roman" w:eastAsia="Times New Roman" w:hAnsi="Times New Roman"/>
          <w:sz w:val="26"/>
          <w:szCs w:val="26"/>
          <w:b w:val="1"/>
          <w:bCs w:val="1"/>
          <w:i w:val="1"/>
          <w:iCs w:val="1"/>
          <w:color w:val="auto"/>
          <w:vertAlign w:val="superscript"/>
        </w:rPr>
        <w:t>5</w:t>
      </w:r>
      <w:r>
        <w:rPr>
          <w:rFonts w:ascii="Times New Roman" w:cs="Times New Roman" w:eastAsia="Times New Roman" w:hAnsi="Times New Roman"/>
          <w:sz w:val="18"/>
          <w:szCs w:val="18"/>
          <w:b w:val="1"/>
          <w:bCs w:val="1"/>
          <w:i w:val="1"/>
          <w:iCs w:val="1"/>
          <w:color w:val="auto"/>
        </w:rPr>
        <w:t xml:space="preserve"> (non-GAAP)</w:t>
      </w:r>
    </w:p>
    <w:p>
      <w:pPr>
        <w:spacing w:after="0" w:line="49" w:lineRule="exact"/>
        <w:rPr>
          <w:sz w:val="20"/>
          <w:szCs w:val="20"/>
          <w:color w:val="auto"/>
        </w:rPr>
      </w:pPr>
    </w:p>
    <w:p>
      <w:pPr>
        <w:ind w:left="4" w:right="80"/>
        <w:spacing w:after="0" w:line="223" w:lineRule="auto"/>
        <w:rPr>
          <w:sz w:val="20"/>
          <w:szCs w:val="20"/>
          <w:color w:val="auto"/>
        </w:rPr>
      </w:pPr>
      <w:r>
        <w:rPr>
          <w:rFonts w:ascii="Times New Roman" w:cs="Times New Roman" w:eastAsia="Times New Roman" w:hAnsi="Times New Roman"/>
          <w:sz w:val="18"/>
          <w:szCs w:val="18"/>
          <w:color w:val="auto"/>
        </w:rPr>
        <w:t>Adjusted net loss attributable to EHang’s ordinary shareholders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was RMB75.2 million (US$10.9 million), compared with RMB30.8 million in the first quarter of 2025 and adjusted net income attributable to EHang’s ordinary shareholders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of RMB40.0 million in the fourth quarter of 2025.</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per ordinary share</w:t>
      </w:r>
      <w:r>
        <w:rPr>
          <w:rFonts w:ascii="Times New Roman" w:cs="Times New Roman" w:eastAsia="Times New Roman" w:hAnsi="Times New Roman"/>
          <w:sz w:val="26"/>
          <w:szCs w:val="26"/>
          <w:b w:val="1"/>
          <w:bCs w:val="1"/>
          <w:i w:val="1"/>
          <w:iCs w:val="1"/>
          <w:color w:val="auto"/>
          <w:vertAlign w:val="superscript"/>
        </w:rPr>
        <w:t>6</w:t>
      </w:r>
      <w:r>
        <w:rPr>
          <w:rFonts w:ascii="Times New Roman" w:cs="Times New Roman" w:eastAsia="Times New Roman" w:hAnsi="Times New Roman"/>
          <w:sz w:val="18"/>
          <w:szCs w:val="18"/>
          <w:b w:val="1"/>
          <w:bCs w:val="1"/>
          <w:i w:val="1"/>
          <w:iCs w:val="1"/>
          <w:color w:val="auto"/>
        </w:rPr>
        <w:t xml:space="preserve"> and per ADS</w:t>
      </w:r>
      <w:r>
        <w:rPr>
          <w:rFonts w:ascii="Times New Roman" w:cs="Times New Roman" w:eastAsia="Times New Roman" w:hAnsi="Times New Roman"/>
          <w:sz w:val="26"/>
          <w:szCs w:val="26"/>
          <w:b w:val="1"/>
          <w:bCs w:val="1"/>
          <w:i w:val="1"/>
          <w:iCs w:val="1"/>
          <w:color w:val="auto"/>
          <w:vertAlign w:val="superscript"/>
        </w:rPr>
        <w:t>7</w:t>
      </w:r>
      <w:r>
        <w:rPr>
          <w:rFonts w:ascii="Times New Roman" w:cs="Times New Roman" w:eastAsia="Times New Roman" w:hAnsi="Times New Roman"/>
          <w:sz w:val="18"/>
          <w:szCs w:val="18"/>
          <w:b w:val="1"/>
          <w:bCs w:val="1"/>
          <w:i w:val="1"/>
          <w:iCs w:val="1"/>
          <w:color w:val="auto"/>
        </w:rPr>
        <w:t xml:space="preserve"> (non-GAAP)</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Adjusted basic and diluted net loss per ordinary share</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were RMB0.50 (US$0.07).</w:t>
      </w:r>
    </w:p>
    <w:p>
      <w:pPr>
        <w:spacing w:after="0" w:line="140" w:lineRule="exact"/>
        <w:rPr>
          <w:sz w:val="20"/>
          <w:szCs w:val="20"/>
          <w:color w:val="auto"/>
        </w:rPr>
      </w:pPr>
    </w:p>
    <w:p>
      <w:pPr>
        <w:ind w:left="424" w:right="60" w:hanging="424"/>
        <w:spacing w:after="0" w:line="208"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operating expenses is a non-GAAP financial measure, which is defined as operating expenses excluding share-based compensation expenses. Adjusted sales and marketing expenses, adjusted general and administrative expenses, and adjusted research and development expenses</w:t>
      </w:r>
    </w:p>
    <w:p>
      <w:pPr>
        <w:spacing w:after="0" w:line="2"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are non-GAAP financial measures. Each is defined as the respective expense—sales and marketing expenses, general and administrative expenses, and research and development expenses—excluding share-based compensation expenses.</w:t>
      </w:r>
    </w:p>
    <w:p>
      <w:pPr>
        <w:ind w:left="424" w:hanging="424"/>
        <w:spacing w:after="0" w:line="180" w:lineRule="auto"/>
        <w:tabs>
          <w:tab w:leader="none" w:pos="4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Adjusted net income (loss) attributable to EHang’s ordinary shareholders is a non-GAAP financial measure, which is defined as net income (loss)</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attributable to EHang’s ordinary shareholders excluding share-based compensation expenses and certain non-operational expenses.</w:t>
      </w:r>
    </w:p>
    <w:p>
      <w:pPr>
        <w:ind w:left="424" w:hanging="424"/>
        <w:spacing w:after="0" w:line="186" w:lineRule="auto"/>
        <w:tabs>
          <w:tab w:leader="none" w:pos="424"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Adjusted basic and diluted net earnings (loss) per ordinary share is a non-GAAP financial measure, which is defined as basic and diluted net</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earnings (loss) per ordinary share excluding share-based compensation expenses and certain non-operational expenses.</w:t>
      </w:r>
    </w:p>
    <w:p>
      <w:pPr>
        <w:spacing w:after="0" w:line="7" w:lineRule="exact"/>
        <w:rPr>
          <w:sz w:val="20"/>
          <w:szCs w:val="20"/>
          <w:color w:val="auto"/>
        </w:rPr>
      </w:pPr>
    </w:p>
    <w:p>
      <w:pPr>
        <w:ind w:left="424" w:right="20" w:hanging="424"/>
        <w:spacing w:after="0" w:line="200"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basic and diluted net earnings (loss) per ADS is a non-GAAP financial measure, which is defined as basic and diluted earnings (loss) per ADS excluding share-based compensation expenses and certain non-operational expenses.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basic and diluted net loss per ADS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were RMB1.00 (US$0.14).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2026, the Company currently maintains the annual revenue guidance of around RMB600 million.</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above outlook is based on information available as of the date of this press release and reflects the Company’s current and preliminary views regarding its business situation and market conditions, which are subject to change.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EHang’s management team will host an earnings conference call at 8:00 AM on Tuesday, June 9, 2026, U.S. Eastern Time (8:00 PM on Tuesday, June 9, 2026, Beijing/Hong Kong Time).</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Online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English line: </w:t>
      </w:r>
      <w:r>
        <w:rPr>
          <w:rFonts w:ascii="Times New Roman" w:cs="Times New Roman" w:eastAsia="Times New Roman" w:hAnsi="Times New Roman"/>
          <w:sz w:val="18"/>
          <w:szCs w:val="18"/>
          <w:u w:val="single" w:color="auto"/>
          <w:color w:val="auto"/>
        </w:rPr>
        <w:t>https://s1.c-conf.com/diamondpass/10055177-wdgnt0.html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Chinese line: </w:t>
      </w:r>
      <w:r>
        <w:rPr>
          <w:rFonts w:ascii="Times New Roman" w:cs="Times New Roman" w:eastAsia="Times New Roman" w:hAnsi="Times New Roman"/>
          <w:sz w:val="18"/>
          <w:szCs w:val="18"/>
          <w:u w:val="single" w:color="auto"/>
          <w:color w:val="auto"/>
        </w:rPr>
        <w:t>https://s1.c-conf.com/diamondpass/10055179-jzwcug.html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Investors Relations website at </w:t>
      </w:r>
      <w:r>
        <w:rPr>
          <w:rFonts w:ascii="Times New Roman" w:cs="Times New Roman" w:eastAsia="Times New Roman" w:hAnsi="Times New Roman"/>
          <w:sz w:val="18"/>
          <w:szCs w:val="18"/>
          <w:u w:val="single" w:color="auto"/>
          <w:color w:val="auto"/>
        </w:rPr>
        <w:t>http://ir.ehang.com/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EHang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EHang (Nasdaq: EH) is the world’s leading advanced air mobility (“AAM”) technology platform company, committed to making safe, autonomous, and eco-friendly air mobility accessible to everyone. The company develops and manufactures a diversified portfolio of pilotless electric vertical take-off and landing (“eVTOL”) aircraft for a wide range of use cases, including aerial tourism, intra-city transport, intercity travel, logistics and emergency firefighting. Its flagship model, EH216-S, has obtained the world’s first type certificate, production certificate and standard airworthiness certificate for pilotless eVTOL issued by the Civil Aviation Administration of China, and is now commercially operated under the country’s first Air Operator Certificates for human-carrying eVTOL services. Complementing this, EHang’s VT35 expands its reach into long-range and intercity scenarios, supporting the development of a multi-tiered low-altitude mobility network. By integrating advanced autonomous technologies with scalable operational infrastructure, EHang is redefining how people and goods move—across cities, regions, and natural barriers—shaping the future of air mobility. For more information, please visit </w:t>
      </w:r>
      <w:r>
        <w:rPr>
          <w:rFonts w:ascii="Times New Roman" w:cs="Times New Roman" w:eastAsia="Times New Roman" w:hAnsi="Times New Roman"/>
          <w:sz w:val="18"/>
          <w:szCs w:val="18"/>
          <w:u w:val="single" w:color="auto"/>
          <w:color w:val="auto"/>
        </w:rPr>
        <w:t>www.ehang.com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management’s beliefs and expectations, are forward-looking statements. Forward-looking statements involve inherent risks and uncertainties. A number of factors could cause actual results to differ materially from those contained in any forward-looking statement, including but not limited to those relating to certifications, our expectations regarding demand for, and market acceptance of, our products and solutions and the commercialization of AAM services, our relationships with strategic partners, and current litigation and potential litigation involving us.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EHang’s actual results, performance or achievements to differ materially from any future results, performance or achievements expressed or implied by these forward-looking statements.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contains translations of certain Renminbi (“RMB”) amounts into U.S. dollars (“USD”) at specified rates solely for the convenience of the reader. Unless otherwise stated, all translations from RMB to USD were made at the rate of RMB6.8980 to US$1.00, the noon buying rate in effect on March 31, 2026, in the H.10 statistical release of the Federal Reserve Board. The Company makes no representation that the RMB or USD amounts referred to in this press release could have been converted into USD or RMB, as the case may be, at any particular rate or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ir@ehang.com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u w:val="single" w:color="auto"/>
          <w:color w:val="auto"/>
        </w:rPr>
        <w:t>pr@ehang.com</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ind w:left="2804"/>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784"/>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80" w:type="dxa"/>
            <w:vAlign w:val="bottom"/>
          </w:tcPr>
          <w:p>
            <w:pPr>
              <w:spacing w:after="0"/>
              <w:rPr>
                <w:sz w:val="13"/>
                <w:szCs w:val="13"/>
                <w:color w:val="auto"/>
              </w:rPr>
            </w:pPr>
          </w:p>
        </w:tc>
        <w:tc>
          <w:tcPr>
            <w:tcW w:w="11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52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17"/>
        </w:trPr>
        <w:tc>
          <w:tcPr>
            <w:tcW w:w="75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752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256,400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160,204</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23,225</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843,232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809,934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117,415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4,165</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Accounts receivable, net</w:t>
            </w:r>
            <w:r>
              <w:rPr>
                <w:rFonts w:ascii="Times New Roman" w:cs="Times New Roman" w:eastAsia="Times New Roman" w:hAnsi="Times New Roman"/>
                <w:sz w:val="25"/>
                <w:szCs w:val="25"/>
                <w:color w:val="auto"/>
                <w:vertAlign w:val="superscript"/>
              </w:rPr>
              <w:t>8</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111,670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12,481</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101,634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120,769</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17,508</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Prepayments and other current assets</w:t>
            </w:r>
            <w:r>
              <w:rPr>
                <w:rFonts w:ascii="Times New Roman" w:cs="Times New Roman" w:eastAsia="Times New Roman" w:hAnsi="Times New Roman"/>
                <w:sz w:val="25"/>
                <w:szCs w:val="25"/>
                <w:color w:val="auto"/>
                <w:vertAlign w:val="superscript"/>
              </w:rPr>
              <w:t>9</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140,922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143,342</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20,780</w:t>
            </w:r>
          </w:p>
        </w:tc>
      </w:tr>
      <w:tr>
        <w:trPr>
          <w:trHeight w:val="27"/>
        </w:trPr>
        <w:tc>
          <w:tcPr>
            <w:tcW w:w="7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1,483,513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1,349,083</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195,574</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investment</w:t>
            </w: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258,050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276,719</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40,116</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116,468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131,238</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accounted for using equity method</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28,849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40,523</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45,330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6,571</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6,969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38,294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38,562</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5,590</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508,020</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581,282</w:t>
            </w: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84,269</w:t>
            </w:r>
          </w:p>
        </w:tc>
        <w:tc>
          <w:tcPr>
            <w:tcW w:w="6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1,991,533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1,930,365</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279,843</w:t>
            </w:r>
          </w:p>
        </w:tc>
      </w:tr>
      <w:tr>
        <w:trPr>
          <w:trHeight w:val="20"/>
        </w:trPr>
        <w:tc>
          <w:tcPr>
            <w:tcW w:w="7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80" w:hanging="424"/>
        <w:spacing w:after="0" w:line="208"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December 31, 2025 and March 31, 2026, amount due from related parties of RMB5,256 and RMB671 (US$97) was included in accounts receivable, net, respectively.</w:t>
      </w:r>
    </w:p>
    <w:p>
      <w:pPr>
        <w:spacing w:after="0" w:line="2" w:lineRule="exact"/>
        <w:rPr>
          <w:sz w:val="20"/>
          <w:szCs w:val="20"/>
          <w:color w:val="auto"/>
        </w:rPr>
      </w:pPr>
    </w:p>
    <w:p>
      <w:pPr>
        <w:ind w:left="424" w:right="400" w:hanging="424"/>
        <w:spacing w:after="0" w:line="200"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December 31, 2025 and March 31, 2026, amount due from a related party of RMB2,070 and nil was included in prepayments and other current assets, respectively.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6" w:right="43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750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17"/>
        </w:trPr>
        <w:tc>
          <w:tcPr>
            <w:tcW w:w="75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60" w:type="dxa"/>
            <w:vAlign w:val="bottom"/>
            <w:tcBorders>
              <w:top w:val="single" w:sz="8" w:color="auto"/>
            </w:tcBorders>
          </w:tcPr>
          <w:p>
            <w:pPr>
              <w:jc w:val="right"/>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75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229,611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300,993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43,635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132,509</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118,576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17,190</w:t>
            </w:r>
          </w:p>
        </w:tc>
      </w:tr>
      <w:tr>
        <w:trPr>
          <w:trHeight w:val="216"/>
        </w:trPr>
        <w:tc>
          <w:tcPr>
            <w:tcW w:w="7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Contract liabilities</w:t>
            </w:r>
            <w:r>
              <w:rPr>
                <w:rFonts w:ascii="Times New Roman" w:cs="Times New Roman" w:eastAsia="Times New Roman" w:hAnsi="Times New Roman"/>
                <w:sz w:val="25"/>
                <w:szCs w:val="25"/>
                <w:color w:val="auto"/>
                <w:vertAlign w:val="superscript"/>
              </w:rPr>
              <w:t>10</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60,839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59,336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8,602</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bank loans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263,439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202,659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29,379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16,278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24,574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817</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government subsidies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715,797</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722,668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104,765</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95,600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13,859</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114,246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123,286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17,873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r>
      <w:tr>
        <w:trPr>
          <w:trHeight w:val="27"/>
        </w:trPr>
        <w:tc>
          <w:tcPr>
            <w:tcW w:w="75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207,394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228,219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33,084</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923,191</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950,887</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137,849</w:t>
            </w:r>
          </w:p>
        </w:tc>
        <w:tc>
          <w:tcPr>
            <w:tcW w:w="1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3,335,371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3,386,145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490,888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(10,085)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(10,085)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(2,262,358)</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(2,388,319)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(346,234)</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(10,671)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(1,547)</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EHang Holdings Limited shareholders’ equity</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1,068,927</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980,464</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142,137</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1,068,342</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979,478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141,994</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1,991,533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1,930,365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279,843</w:t>
            </w:r>
          </w:p>
        </w:tc>
      </w:tr>
      <w:tr>
        <w:trPr>
          <w:trHeight w:val="20"/>
        </w:trPr>
        <w:tc>
          <w:tcPr>
            <w:tcW w:w="7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80" w:hanging="424"/>
        <w:spacing w:after="0" w:line="208"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December 31, 2025 and March 31, 2026, amount due to related parties of RMB2,307 and RMB2,305 (US$334) are included in contract liabilities, respectively.</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per share data and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6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960" w:type="dxa"/>
            <w:vAlign w:val="bottom"/>
            <w:gridSpan w:val="2"/>
          </w:tcPr>
          <w:p>
            <w:pPr>
              <w:jc w:val="center"/>
              <w:ind w:left="2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Borders>
              <w:top w:val="single" w:sz="8" w:color="auto"/>
            </w:tcBorders>
          </w:tcPr>
          <w:p>
            <w:pPr>
              <w:jc w:val="right"/>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26,092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177,636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25,660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3,720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2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(9,799)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(68,262)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109,374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16,039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(38,263)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(23,916)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(61,344)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(67,080)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(67,749)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(37,285)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(49,092)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(60,080)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(110,857)</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(154,435)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(151,745)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(89,878)</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(42,960)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(127,908)</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12,049</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expenses</w:t>
            </w:r>
          </w:p>
        </w:tc>
        <w:tc>
          <w:tcPr>
            <w:tcW w:w="3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(2,324)</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3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13,219</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18,428</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5,089</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and loss from equity method investment</w:t>
            </w:r>
          </w:p>
        </w:tc>
        <w:tc>
          <w:tcPr>
            <w:tcW w:w="2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(76,659)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(24,532)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(122,819)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(17,807)</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2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loss from equity method investment</w:t>
            </w:r>
          </w:p>
        </w:tc>
        <w:tc>
          <w:tcPr>
            <w:tcW w:w="2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(76,660)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(20,009)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(122,936)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(17,824)</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(78,390)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(20,855)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(126,362)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(18,321)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 (CONT’D)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per share data and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8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(78,390)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(20,855)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(126,362)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(78,084)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(20,903)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(125,961)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(18,263)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net loss per ordinary share computation (in thousands of shares):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143,886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149,338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150,994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150,994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143,886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149,338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150,994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150,994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ADS (2 ordinary shares equal to 1 ADS) Basic and diluted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(13,276)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(80,389)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(30,675)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(139,638)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(gain) attributable to non-controlling interests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(80,083)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(30,723)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(139,237)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(20,188)</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per share data and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60" w:type="dxa"/>
            <w:vAlign w:val="bottom"/>
            <w:gridSpan w:val="4"/>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3740" w:type="dxa"/>
            <w:vAlign w:val="bottom"/>
            <w:gridSpan w:val="2"/>
          </w:tcPr>
          <w:p>
            <w:pPr>
              <w:jc w:val="center"/>
              <w:ind w:left="28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2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Borders>
              <w:top w:val="single" w:sz="8" w:color="auto"/>
            </w:tcBorders>
          </w:tcPr>
          <w:p>
            <w:pPr>
              <w:jc w:val="right"/>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6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tc>
        <w:tc>
          <w:tcPr>
            <w:tcW w:w="3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(12,228)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(38,263)</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(23,916)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12,336</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5,294</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sales and marketing expenses</w:t>
            </w:r>
          </w:p>
        </w:tc>
        <w:tc>
          <w:tcPr>
            <w:tcW w:w="2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(10,267)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(25,927)</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(18,622)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(67,080)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39,173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38,480</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36,397</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Adjusted general and administrative expenses</w:t>
            </w:r>
          </w:p>
        </w:tc>
        <w:tc>
          <w:tcPr>
            <w:tcW w:w="29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(22,171)</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(31,352)</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3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(37,285)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(49,092)</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(60,080)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9,944</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8,960</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research and development expenses</w:t>
            </w:r>
          </w:p>
        </w:tc>
        <w:tc>
          <w:tcPr>
            <w:tcW w:w="2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(31,157)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(39,148)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(51,120)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(110,857)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(154,435)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(151,745)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60,760</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50,651</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29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(63,595)</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(93,675)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(89,878)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(42,960)</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(127,908)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47,262</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60,909</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50,774</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 income</w:t>
            </w:r>
          </w:p>
        </w:tc>
        <w:tc>
          <w:tcPr>
            <w:tcW w:w="2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(42,616)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17,949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(77,134)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80" w:type="dxa"/>
            <w:vAlign w:val="bottom"/>
            <w:vMerge w:val="restart"/>
          </w:tcPr>
          <w:p>
            <w:pPr>
              <w:jc w:val="right"/>
              <w:ind w:right="1653"/>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per share data and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8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(78,390)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(20,855)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(126,362)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60,909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50,774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(31,128)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40,054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(75,588)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(10,960)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(78,084)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(20,903)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(125,961)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60,909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income attributable to ordinary shareholders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(30,822)</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40,006</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(75,187)</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net (loss) earnings per ordinary share computation (in thousands of shares):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143,886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149,338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150,994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150,994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143,886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150,994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150,994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basic net (loss) earnings per ordinary share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net (loss) earnings per ordinary 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basic net (loss) earnings per ADS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net (loss) earnings per ADS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364"/>
        </w:trPr>
        <w:tc>
          <w:tcPr>
            <w:tcW w:w="73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8"/>
      <w:numFmt w:val="bullet"/>
      <w:start w:val="1"/>
    </w:lvl>
  </w:abstractNum>
  <w:abstractNum w:abstractNumId="10">
    <w:nsid w:val="1190CDE7"/>
    <w:multiLevelType w:val="hybridMultilevel"/>
    <w:lvl w:ilvl="0">
      <w:lvlJc w:val="left"/>
      <w:lvlText w:val="9"/>
      <w:numFmt w:val="bullet"/>
      <w:start w:val="1"/>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2026-06-09T05:11:27Z</dcterms:created>
  <dcterms:modified xsi:type="dcterms:W3CDTF">2026-06-09T05:11:27Z</dcterms:modified>
</cp:coreProperties>
</file>