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219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219190"/>
                    </a:xfrm>
                    <a:prstGeom prst="rect">
                      <a:avLst/>
                    </a:prstGeom>
                    <a:noFill/>
                  </pic:spPr>
                </pic:pic>
              </a:graphicData>
            </a:graphic>
          </wp:anchor>
        </w:drawing>
      </w:r>
    </w:p>
    <w:p>
      <w:pPr>
        <w:sectPr>
          <w:pgSz w:w="11900" w:h="16838" w:orient="portrait"/>
          <w:cols w:equalWidth="0" w:num="1">
            <w:col w:w="10940"/>
          </w:cols>
          <w:pgMar w:left="480" w:top="230" w:right="479" w:bottom="6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Feng Shuai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19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EHang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6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77"/>
        <w:spacing w:after="0" w:line="275" w:lineRule="auto"/>
        <w:rPr>
          <w:sz w:val="20"/>
          <w:szCs w:val="20"/>
          <w:color w:val="auto"/>
        </w:rPr>
      </w:pPr>
      <w:r>
        <w:rPr>
          <w:rFonts w:ascii="Times New Roman" w:cs="Times New Roman" w:eastAsia="Times New Roman" w:hAnsi="Times New Roman"/>
          <w:sz w:val="20"/>
          <w:szCs w:val="20"/>
          <w:color w:val="0000FF"/>
        </w:rPr>
        <w:t>C/O EHANG HOLDINGS LTD, EHANG FUTURE</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CITY, NO. 118 DONGJIANG</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AVENUE</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HUANGPU</w:t>
      </w:r>
    </w:p>
    <w:p>
      <w:pPr>
        <w:spacing w:after="0" w:line="24" w:lineRule="exact"/>
        <w:rPr>
          <w:sz w:val="24"/>
          <w:szCs w:val="24"/>
          <w:color w:val="auto"/>
        </w:rPr>
      </w:pPr>
    </w:p>
    <w:p>
      <w:pPr>
        <w:ind w:left="140" w:right="1397"/>
        <w:spacing w:after="0" w:line="261" w:lineRule="auto"/>
        <w:rPr>
          <w:sz w:val="20"/>
          <w:szCs w:val="20"/>
          <w:color w:val="auto"/>
        </w:rPr>
      </w:pPr>
      <w:r>
        <w:rPr>
          <w:rFonts w:ascii="Times New Roman" w:cs="Times New Roman" w:eastAsia="Times New Roman" w:hAnsi="Times New Roman"/>
          <w:sz w:val="20"/>
          <w:szCs w:val="20"/>
          <w:color w:val="0000FF"/>
        </w:rPr>
        <w:t>DISTRICT, F4 510730 GUANGZHOU</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6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633" w:lineRule="exact"/>
        <w:rPr>
          <w:sz w:val="24"/>
          <w:szCs w:val="24"/>
          <w:color w:val="auto"/>
        </w:rPr>
      </w:pPr>
    </w:p>
    <w:p>
      <w:pPr>
        <w:sectPr>
          <w:pgSz w:w="11900" w:h="16838" w:orient="portrait"/>
          <w:cols w:equalWidth="0" w:num="3">
            <w:col w:w="4277" w:space="720"/>
            <w:col w:w="3003" w:space="269"/>
            <w:col w:w="2671"/>
          </w:cols>
          <w:pgMar w:left="480" w:top="230" w:right="479" w:bottom="640" w:gutter="0" w:footer="0" w:header="0"/>
          <w:type w:val="continuous"/>
        </w:sectPr>
      </w:pPr>
    </w:p>
    <w:p>
      <w:pPr>
        <w:spacing w:after="0" w:line="1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jc w:val="center"/>
              <w:ind w:right="437"/>
              <w:spacing w:after="0"/>
              <w:rPr>
                <w:sz w:val="20"/>
                <w:szCs w:val="20"/>
                <w:color w:val="auto"/>
              </w:rPr>
            </w:pPr>
            <w:r>
              <w:rPr>
                <w:rFonts w:ascii="Times New Roman" w:cs="Times New Roman" w:eastAsia="Times New Roman" w:hAnsi="Times New Roman"/>
                <w:sz w:val="20"/>
                <w:szCs w:val="20"/>
                <w:color w:val="0000FF"/>
              </w:rPr>
              <w:t>652,500</w:t>
            </w:r>
            <w:r>
              <w:rPr>
                <w:rFonts w:ascii="Times New Roman" w:cs="Times New Roman" w:eastAsia="Times New Roman" w:hAnsi="Times New Roman"/>
                <w:sz w:val="25"/>
                <w:szCs w:val="25"/>
                <w:color w:val="008000"/>
                <w:vertAlign w:val="superscript"/>
              </w:rPr>
              <w:t>(2)</w:t>
            </w:r>
          </w:p>
        </w:tc>
        <w:tc>
          <w:tcPr>
            <w:tcW w:w="78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Shares, including portions held in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00" w:type="dxa"/>
            <w:vAlign w:val="bottom"/>
            <w:vMerge w:val="restart"/>
          </w:tcPr>
          <w:p>
            <w:pPr>
              <w:jc w:val="right"/>
              <w:ind w:right="597"/>
              <w:spacing w:after="0"/>
              <w:rPr>
                <w:sz w:val="20"/>
                <w:szCs w:val="20"/>
                <w:color w:val="auto"/>
              </w:rPr>
            </w:pPr>
            <w:r>
              <w:rPr>
                <w:rFonts w:ascii="Times New Roman" w:cs="Times New Roman" w:eastAsia="Times New Roman" w:hAnsi="Times New Roman"/>
                <w:sz w:val="20"/>
                <w:szCs w:val="20"/>
                <w:color w:val="0000FF"/>
              </w:rPr>
              <w:t>89,800</w:t>
            </w:r>
          </w:p>
        </w:tc>
        <w:tc>
          <w:tcPr>
            <w:tcW w:w="780" w:type="dxa"/>
            <w:vAlign w:val="bottom"/>
            <w:gridSpan w:val="2"/>
            <w:vMerge w:val="restart"/>
          </w:tcPr>
          <w:p>
            <w:pPr>
              <w:ind w:left="66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Pr>
          <w:p>
            <w:pPr>
              <w:spacing w:after="0"/>
              <w:rPr>
                <w:sz w:val="20"/>
                <w:szCs w:val="20"/>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the form of ADSs, are held by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0000FF"/>
              </w:rPr>
              <w:t>Smart Intelligence Holding</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7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Limited</w:t>
            </w: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620" w:type="dxa"/>
            <w:vAlign w:val="bottom"/>
            <w:tcBorders>
              <w:bottom w:val="single" w:sz="8" w:color="2C2C2C"/>
            </w:tcBorders>
            <w:gridSpan w:val="2"/>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06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6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0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14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6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w w:val="98"/>
              </w:rPr>
              <w:t>Price of</w:t>
            </w:r>
          </w:p>
        </w:tc>
        <w:tc>
          <w:tcPr>
            <w:tcW w:w="36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5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4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8"/>
              </w:rPr>
              <w:t>Expiration</w:t>
            </w:r>
          </w:p>
        </w:tc>
        <w:tc>
          <w:tcPr>
            <w:tcW w:w="190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2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4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r>
              <w:rPr>
                <w:rFonts w:ascii="Times New Roman" w:cs="Times New Roman" w:eastAsia="Times New Roman" w:hAnsi="Times New Roman"/>
                <w:sz w:val="25"/>
                <w:szCs w:val="25"/>
                <w:color w:val="008000"/>
                <w:vertAlign w:val="superscript"/>
              </w:rPr>
              <w:t>(3)</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12/31/2034</w:t>
            </w:r>
          </w:p>
        </w:tc>
        <w:tc>
          <w:tcPr>
            <w:tcW w:w="19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Class A Ordinary</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0000FF"/>
              </w:rPr>
              <w:t>75,000</w:t>
            </w:r>
          </w:p>
        </w:tc>
        <w:tc>
          <w:tcPr>
            <w:tcW w:w="40" w:type="dxa"/>
            <w:vAlign w:val="bottom"/>
          </w:tcPr>
          <w:p>
            <w:pPr>
              <w:spacing w:after="0"/>
              <w:rPr>
                <w:sz w:val="24"/>
                <w:szCs w:val="24"/>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20"/>
                <w:szCs w:val="20"/>
                <w:color w:val="0000FF"/>
              </w:rPr>
              <w:t>0.0001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90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0000FF"/>
              </w:rPr>
              <w:t>Shares</w:t>
            </w:r>
          </w:p>
        </w:tc>
        <w:tc>
          <w:tcPr>
            <w:tcW w:w="7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Class A Ordinary Shares of the Issuer may be represented by American Depositary Shares ("ADSs"). Each ADS represents two Class A Ordinary Shares.</w:t>
      </w:r>
    </w:p>
    <w:p>
      <w:pPr>
        <w:spacing w:after="0" w:line="52" w:lineRule="exact"/>
        <w:rPr>
          <w:rFonts w:ascii="Times New Roman" w:cs="Times New Roman" w:eastAsia="Times New Roman" w:hAnsi="Times New Roman"/>
          <w:sz w:val="15"/>
          <w:szCs w:val="15"/>
          <w:color w:val="008000"/>
        </w:rPr>
      </w:pPr>
    </w:p>
    <w:p>
      <w:pPr>
        <w:ind w:left="40" w:right="1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612,500 restricted share units (the "RSUs").Each RSU represents a contingent right to receive one Class A Ordinary Share of the Issuer upon settlement. 500,000 RSUs will vest in one year and 112,500 RSUs will vest in three years, in each case subject to the Reporting Person's continued service to the Issuer on each such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Options will vest in two years subject to Reporting Person's continued service to the Issuer on each vesting date.</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SHUAI FENG</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04/01/2026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6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1932" TargetMode="External"/><Relationship Id="rId11" Type="http://schemas.openxmlformats.org/officeDocument/2006/relationships/hyperlink" Target="http://www.sec.gov/cgi-bin/browse-edgar?action=getcompany&amp;CIK=00017597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2026-04-01T20:12:38Z</dcterms:created>
  <dcterms:modified xsi:type="dcterms:W3CDTF">2026-04-01T20:12:38Z</dcterms:modified>
</cp:coreProperties>
</file>