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7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left"/>
              <w:rPr/>
            </w:pPr>
            <w:r>
              <w:rPr/>
              <w:t xml:space="preserve">UNDER THE SECURITIES EXCHANGE ACT OF 1934 </w:t>
            </w:r>
          </w:p>
        </w:tc>
      </w:tr>
      <w:tr>
        <w:trPr/>
        <w:tc>
          <w:tcPr>
            <w:tcW w:w="5971"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center"/>
              <w:rPr>
                <w:b/>
                <w:color w:val="0000FF"/>
              </w:rPr>
            </w:pPr>
            <w:r>
              <w:rPr>
                <w:b/>
                <w:color w:val="0000FF"/>
              </w:rPr>
              <w:t>EHang Holdings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center"/>
              <w:rPr>
                <w:b/>
                <w:color w:val="0000FF"/>
              </w:rPr>
            </w:pPr>
            <w:r>
              <w:rPr>
                <w:b/>
                <w:color w:val="0000FF"/>
              </w:rPr>
              <w:t>Class A Ordinary Shares, US$0.0001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7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G1 Execution Services,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4,457,014.00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4,457,014.00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4,457,014.00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and 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Securities,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4,455,368.00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4,457,014.00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4,455,368.00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4,457,014.00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4,457,014.00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and 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EHang Holdings Limited</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EHang Future City, No. 118 Dongjiang Avenue, Huangpu District, Guangzhou, 510700,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listed below, who are collectively referred to herein as "Reporting Persons" with respect to the shares of Class A Ordinary Shares, US$0.0001 par value per share (the "Shares"), of EHang Holdings Limited (the "Company"). (i) G1 Execution Services, LLC (ii) Susquehanna Securities, LLC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G1 Execution Services, LLC is: 175 W. Jackson Blvd. Suite 1700 Chicago, IL 60604 The address of the principal business office of Susquehanna Securities, LLC is: 401 E. City Avenue Suite 220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US$0.0001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(g)</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(h)</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(j)</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(k)</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4(a) is set forth in Row 9 of the cover page for each Reporting Person hereto and is incorporated herein by reference for each such Reporting Person. The number of Shares reported as beneficially owned by G1 Execution Services, LLC consists of 823 American depositary shares ("ADSs"). The number of Shares reported as beneficially owned by Susquehanna Securities, LLC consists of (i) options to buy 498,600 ADSs, and (ii) 1,729,084 ADSs. Each American depositary share represents two (2) Shares. The Company's Annual Report on Form 20-F, filed on May 15, 2026, indicates that there were 111,215,614 Shares outstanding as of December 31, 2025.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4(c)(i) is set forth in Row 5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4(c)(ii) is set forth in Row 6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4(c)(iii) is set forth in Row 7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8.</w:t>
            </w:r>
          </w:p>
        </w:tc>
        <w:tc>
          <w:tcPr>
            <w:tcW w:w="89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9.</w:t>
            </w:r>
          </w:p>
        </w:tc>
        <w:tc>
          <w:tcPr>
            <w:tcW w:w="89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G1 Execution Services,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Susquehanna Securities,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DESCRIPTION ________ ________ 99 Joint Filing Agreement* *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1439</Words>
  <Characters>7513</Characters>
  <CharactersWithSpaces>8928</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