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1066800</wp:posOffset>
            </wp:positionH>
            <wp:positionV relativeFrom="paragraph">
              <wp:posOffset>161290</wp:posOffset>
            </wp:positionV>
            <wp:extent cx="503999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39995" cy="6350"/>
                    </a:xfrm>
                    <a:prstGeom prst="rect">
                      <a:avLst/>
                    </a:prstGeom>
                    <a:noFill/>
                  </pic:spPr>
                </pic:pic>
              </a:graphicData>
            </a:graphic>
          </wp:anchor>
        </w:drawing>
        <w:drawing>
          <wp:anchor simplePos="0" relativeHeight="251657728" behindDoc="1" locked="0" layoutInCell="0" allowOverlap="1">
            <wp:simplePos x="0" y="0"/>
            <wp:positionH relativeFrom="column">
              <wp:posOffset>1066800</wp:posOffset>
            </wp:positionH>
            <wp:positionV relativeFrom="paragraph">
              <wp:posOffset>192405</wp:posOffset>
            </wp:positionV>
            <wp:extent cx="503999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ind w:left="484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3055620</wp:posOffset>
            </wp:positionH>
            <wp:positionV relativeFrom="paragraph">
              <wp:posOffset>162560</wp:posOffset>
            </wp:positionV>
            <wp:extent cx="105600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6005" cy="6350"/>
                    </a:xfrm>
                    <a:prstGeom prst="rect">
                      <a:avLst/>
                    </a:prstGeom>
                    <a:noFill/>
                  </pic:spPr>
                </pic:pic>
              </a:graphicData>
            </a:graphic>
          </wp:anchor>
        </w:drawing>
      </w:r>
    </w:p>
    <w:p>
      <w:pPr>
        <w:spacing w:after="0" w:line="368"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23"/>
          <w:szCs w:val="23"/>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3055620</wp:posOffset>
            </wp:positionH>
            <wp:positionV relativeFrom="paragraph">
              <wp:posOffset>180975</wp:posOffset>
            </wp:positionV>
            <wp:extent cx="105600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6005" cy="635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8" w:lineRule="exact"/>
        <w:rPr>
          <w:sz w:val="24"/>
          <w:szCs w:val="24"/>
          <w:color w:val="auto"/>
        </w:rPr>
      </w:pPr>
    </w:p>
    <w:p>
      <w:pPr>
        <w:ind w:left="1980" w:right="679" w:hanging="304"/>
        <w:spacing w:after="0" w:line="234" w:lineRule="auto"/>
        <w:tabs>
          <w:tab w:leader="none" w:pos="19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REGISTRATION STATEMENT PURSUANT TO SECTION 12(b) OR (g) OF THE SECURITIES EXCHANGE ACT OF 1934</w:t>
      </w:r>
    </w:p>
    <w:p>
      <w:pPr>
        <w:spacing w:after="0" w:line="135" w:lineRule="exact"/>
        <w:rPr>
          <w:sz w:val="24"/>
          <w:szCs w:val="24"/>
          <w:color w:val="auto"/>
        </w:rPr>
      </w:pPr>
    </w:p>
    <w:p>
      <w:pPr>
        <w:ind w:left="5540"/>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174" w:lineRule="exact"/>
        <w:rPr>
          <w:sz w:val="24"/>
          <w:szCs w:val="24"/>
          <w:color w:val="auto"/>
        </w:rPr>
      </w:pPr>
    </w:p>
    <w:p>
      <w:pPr>
        <w:ind w:left="1980" w:hanging="304"/>
        <w:spacing w:after="0"/>
        <w:tabs>
          <w:tab w:leader="none" w:pos="19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8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For the fiscal year ended December 31, 2021</w:t>
      </w:r>
    </w:p>
    <w:p>
      <w:pPr>
        <w:spacing w:after="0" w:line="162" w:lineRule="exact"/>
        <w:rPr>
          <w:sz w:val="24"/>
          <w:szCs w:val="24"/>
          <w:color w:val="auto"/>
        </w:rPr>
      </w:pPr>
    </w:p>
    <w:p>
      <w:pPr>
        <w:ind w:left="5540"/>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174" w:lineRule="exact"/>
        <w:rPr>
          <w:sz w:val="24"/>
          <w:szCs w:val="24"/>
          <w:color w:val="auto"/>
        </w:rPr>
      </w:pPr>
    </w:p>
    <w:p>
      <w:pPr>
        <w:ind w:left="1980" w:right="599" w:hanging="304"/>
        <w:spacing w:after="0" w:line="255" w:lineRule="auto"/>
        <w:tabs>
          <w:tab w:leader="none" w:pos="198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22" w:lineRule="exact"/>
        <w:rPr>
          <w:sz w:val="24"/>
          <w:szCs w:val="24"/>
          <w:color w:val="auto"/>
        </w:rPr>
      </w:pPr>
    </w:p>
    <w:p>
      <w:pPr>
        <w:ind w:left="5540"/>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174" w:lineRule="exact"/>
        <w:rPr>
          <w:sz w:val="24"/>
          <w:szCs w:val="24"/>
          <w:color w:val="auto"/>
        </w:rPr>
      </w:pPr>
    </w:p>
    <w:p>
      <w:pPr>
        <w:ind w:left="1980" w:right="859" w:hanging="304"/>
        <w:spacing w:after="0" w:line="255" w:lineRule="auto"/>
        <w:tabs>
          <w:tab w:leader="none" w:pos="198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SHELL COMPANY REPORT PURSUANT TO SECTION 13 OR 15(d) OF THE SECURITIES EXCHANGE ACT OF 1934</w:t>
      </w:r>
    </w:p>
    <w:p>
      <w:pPr>
        <w:spacing w:after="0" w:line="122"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3"/>
          <w:szCs w:val="13"/>
          <w:b w:val="1"/>
          <w:bCs w:val="1"/>
          <w:color w:val="auto"/>
        </w:rPr>
        <w:t>Date of event requiring this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4293235</wp:posOffset>
            </wp:positionH>
            <wp:positionV relativeFrom="paragraph">
              <wp:posOffset>-4445</wp:posOffset>
            </wp:positionV>
            <wp:extent cx="32956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9565" cy="6350"/>
                    </a:xfrm>
                    <a:prstGeom prst="rect">
                      <a:avLst/>
                    </a:prstGeom>
                    <a:noFill/>
                  </pic:spPr>
                </pic:pic>
              </a:graphicData>
            </a:graphic>
          </wp:anchor>
        </w:drawing>
      </w:r>
    </w:p>
    <w:p>
      <w:pPr>
        <w:spacing w:after="0" w:line="142" w:lineRule="exact"/>
        <w:rPr>
          <w:sz w:val="24"/>
          <w:szCs w:val="24"/>
          <w:color w:val="auto"/>
        </w:rPr>
      </w:pPr>
    </w:p>
    <w:p>
      <w:pPr>
        <w:ind w:left="4220"/>
        <w:spacing w:after="0"/>
        <w:tabs>
          <w:tab w:leader="none" w:pos="6420"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3742055</wp:posOffset>
            </wp:positionH>
            <wp:positionV relativeFrom="paragraph">
              <wp:posOffset>-4445</wp:posOffset>
            </wp:positionV>
            <wp:extent cx="74739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47395" cy="6350"/>
                    </a:xfrm>
                    <a:prstGeom prst="rect">
                      <a:avLst/>
                    </a:prstGeom>
                    <a:noFill/>
                  </pic:spPr>
                </pic:pic>
              </a:graphicData>
            </a:graphic>
          </wp:anchor>
        </w:drawing>
      </w:r>
    </w:p>
    <w:p>
      <w:pPr>
        <w:spacing w:after="0" w:line="142"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3"/>
          <w:szCs w:val="13"/>
          <w:b w:val="1"/>
          <w:bCs w:val="1"/>
          <w:color w:val="auto"/>
        </w:rPr>
        <w:t>Commission file number 001-39151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3055620</wp:posOffset>
            </wp:positionH>
            <wp:positionV relativeFrom="paragraph">
              <wp:posOffset>173990</wp:posOffset>
            </wp:positionV>
            <wp:extent cx="105600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56005" cy="6350"/>
                    </a:xfrm>
                    <a:prstGeom prst="rect">
                      <a:avLst/>
                    </a:prstGeom>
                    <a:noFill/>
                  </pic:spPr>
                </pic:pic>
              </a:graphicData>
            </a:graphic>
          </wp:anchor>
        </w:drawing>
      </w: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1"/>
          <w:szCs w:val="31"/>
          <w:b w:val="1"/>
          <w:bCs w:val="1"/>
          <w:color w:val="auto"/>
        </w:rPr>
        <w:t>EHang Holdings Limited</w:t>
      </w:r>
    </w:p>
    <w:p>
      <w:pPr>
        <w:spacing w:after="0" w:line="4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3055620</wp:posOffset>
            </wp:positionH>
            <wp:positionV relativeFrom="paragraph">
              <wp:posOffset>170180</wp:posOffset>
            </wp:positionV>
            <wp:extent cx="105600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56005" cy="6350"/>
                    </a:xfrm>
                    <a:prstGeom prst="rect">
                      <a:avLst/>
                    </a:prstGeom>
                    <a:noFill/>
                  </pic:spPr>
                </pic:pic>
              </a:graphicData>
            </a:graphic>
          </wp:anchor>
        </w:drawing>
      </w:r>
    </w:p>
    <w:p>
      <w:pPr>
        <w:spacing w:after="0" w:line="39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N/A</w:t>
      </w:r>
    </w:p>
    <w:p>
      <w:pPr>
        <w:spacing w:after="0" w:line="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0"/>
          <w:szCs w:val="10"/>
          <w:b w:val="1"/>
          <w:bCs w:val="1"/>
          <w:color w:val="auto"/>
        </w:rPr>
        <w:t>(Translation of Registrant’s name into English)</w:t>
      </w:r>
    </w:p>
    <w:p>
      <w:pPr>
        <w:spacing w:after="0" w:line="1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Cayman Islands</w:t>
      </w:r>
    </w:p>
    <w:p>
      <w:pPr>
        <w:spacing w:after="0" w:line="16"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0"/>
          <w:szCs w:val="10"/>
          <w:b w:val="1"/>
          <w:bCs w:val="1"/>
          <w:color w:val="auto"/>
        </w:rPr>
        <w:t>(Jurisdiction of incorporation or organization)</w:t>
      </w:r>
    </w:p>
    <w:p>
      <w:pPr>
        <w:spacing w:after="0" w:line="1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Building C, Yixiang Technology Park</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No. 72 Nanxiang Second Road, Huangpu District</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Guangzhou, 510700</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People’s Republic of China</w:t>
      </w:r>
    </w:p>
    <w:p>
      <w:pPr>
        <w:spacing w:after="0" w:line="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1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Richard Jian Liu, Chief Financial Officer</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Telephone: +86 20 2902 8899</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Building C, Yixiang Technology Park</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No. 72 Nanxiang Second Road, Huangpu District</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Guangzhou, 510700</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People’s Republic of China</w:t>
      </w:r>
    </w:p>
    <w:p>
      <w:pPr>
        <w:spacing w:after="0" w:line="2"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0"/>
          <w:szCs w:val="10"/>
          <w:b w:val="1"/>
          <w:bCs w:val="1"/>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3055620</wp:posOffset>
            </wp:positionH>
            <wp:positionV relativeFrom="paragraph">
              <wp:posOffset>158750</wp:posOffset>
            </wp:positionV>
            <wp:extent cx="105600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56005" cy="6350"/>
                    </a:xfrm>
                    <a:prstGeom prst="rect">
                      <a:avLst/>
                    </a:prstGeom>
                    <a:noFill/>
                  </pic:spPr>
                </pic:pic>
              </a:graphicData>
            </a:graphic>
          </wp:anchor>
        </w:drawing>
      </w:r>
    </w:p>
    <w:p>
      <w:pPr>
        <w:spacing w:after="0" w:line="380"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3"/>
          <w:szCs w:val="13"/>
          <w:b w:val="1"/>
          <w:bCs w:val="1"/>
          <w:color w:val="auto"/>
        </w:rPr>
        <w:t>Securities registered or to be registered pursuant to Section 12(b) of the Act:</w:t>
      </w:r>
    </w:p>
    <w:p>
      <w:pPr>
        <w:spacing w:after="0" w:line="171" w:lineRule="exact"/>
        <w:rPr>
          <w:sz w:val="24"/>
          <w:szCs w:val="24"/>
          <w:color w:val="auto"/>
        </w:rPr>
      </w:pPr>
    </w:p>
    <w:tbl>
      <w:tblPr>
        <w:tblLayout w:type="fixed"/>
        <w:tblInd w:w="1680" w:type="dxa"/>
        <w:tblCellMar>
          <w:top w:w="0" w:type="dxa"/>
          <w:left w:w="0" w:type="dxa"/>
          <w:bottom w:w="0" w:type="dxa"/>
          <w:right w:w="0" w:type="dxa"/>
        </w:tblCellMar>
      </w:tblPr>
      <w:tr>
        <w:trPr>
          <w:trHeight w:val="115"/>
        </w:trPr>
        <w:tc>
          <w:tcPr>
            <w:tcW w:w="2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Title of each class</w:t>
            </w:r>
          </w:p>
        </w:tc>
        <w:tc>
          <w:tcPr>
            <w:tcW w:w="26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Trading</w:t>
            </w:r>
          </w:p>
        </w:tc>
        <w:tc>
          <w:tcPr>
            <w:tcW w:w="25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4"/>
        </w:trPr>
        <w:tc>
          <w:tcPr>
            <w:tcW w:w="2780" w:type="dxa"/>
            <w:vAlign w:val="bottom"/>
            <w:gridSpan w:val="2"/>
            <w:vMerge w:val="continue"/>
          </w:tcPr>
          <w:p>
            <w:pPr>
              <w:spacing w:after="0"/>
              <w:rPr>
                <w:sz w:val="11"/>
                <w:szCs w:val="11"/>
                <w:color w:val="auto"/>
              </w:rPr>
            </w:pPr>
          </w:p>
        </w:tc>
        <w:tc>
          <w:tcPr>
            <w:tcW w:w="26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5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31"/>
        </w:trPr>
        <w:tc>
          <w:tcPr>
            <w:tcW w:w="270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9"/>
              </w:rPr>
              <w:t>American depositary shares, each representing</w:t>
            </w:r>
          </w:p>
        </w:tc>
        <w:tc>
          <w:tcPr>
            <w:tcW w:w="80" w:type="dxa"/>
            <w:vAlign w:val="bottom"/>
          </w:tcPr>
          <w:p>
            <w:pPr>
              <w:spacing w:after="0"/>
              <w:rPr>
                <w:sz w:val="11"/>
                <w:szCs w:val="11"/>
                <w:color w:val="auto"/>
              </w:rPr>
            </w:pPr>
          </w:p>
        </w:tc>
        <w:tc>
          <w:tcPr>
            <w:tcW w:w="254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EH</w:t>
            </w:r>
          </w:p>
        </w:tc>
        <w:tc>
          <w:tcPr>
            <w:tcW w:w="80" w:type="dxa"/>
            <w:vAlign w:val="bottom"/>
          </w:tcPr>
          <w:p>
            <w:pPr>
              <w:spacing w:after="0"/>
              <w:rPr>
                <w:sz w:val="11"/>
                <w:szCs w:val="11"/>
                <w:color w:val="auto"/>
              </w:rPr>
            </w:pPr>
          </w:p>
        </w:tc>
        <w:tc>
          <w:tcPr>
            <w:tcW w:w="254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9"/>
              </w:rPr>
              <w:t>The Nasdaq Global Market</w:t>
            </w:r>
          </w:p>
        </w:tc>
        <w:tc>
          <w:tcPr>
            <w:tcW w:w="0" w:type="dxa"/>
            <w:vAlign w:val="bottom"/>
          </w:tcPr>
          <w:p>
            <w:pPr>
              <w:spacing w:after="0"/>
              <w:rPr>
                <w:sz w:val="1"/>
                <w:szCs w:val="1"/>
                <w:color w:val="auto"/>
              </w:rPr>
            </w:pPr>
          </w:p>
        </w:tc>
      </w:tr>
      <w:tr>
        <w:trPr>
          <w:trHeight w:val="156"/>
        </w:trPr>
        <w:tc>
          <w:tcPr>
            <w:tcW w:w="27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two Class A ordinary shares, par value</w:t>
            </w:r>
          </w:p>
        </w:tc>
        <w:tc>
          <w:tcPr>
            <w:tcW w:w="2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US$0.0001 per share</w:t>
            </w:r>
          </w:p>
        </w:tc>
        <w:tc>
          <w:tcPr>
            <w:tcW w:w="2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Class A ordinary shares, par value US$0.0001</w:t>
            </w:r>
          </w:p>
        </w:tc>
        <w:tc>
          <w:tcPr>
            <w:tcW w:w="2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The Nasdaq Global Market*</w:t>
            </w:r>
          </w:p>
        </w:tc>
        <w:tc>
          <w:tcPr>
            <w:tcW w:w="0" w:type="dxa"/>
            <w:vAlign w:val="bottom"/>
          </w:tcPr>
          <w:p>
            <w:pPr>
              <w:spacing w:after="0"/>
              <w:rPr>
                <w:sz w:val="1"/>
                <w:szCs w:val="1"/>
                <w:color w:val="auto"/>
              </w:rPr>
            </w:pPr>
          </w:p>
        </w:tc>
      </w:tr>
      <w:tr>
        <w:trPr>
          <w:trHeight w:val="170"/>
        </w:trPr>
        <w:tc>
          <w:tcPr>
            <w:tcW w:w="27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per share*</w:t>
            </w:r>
          </w:p>
        </w:tc>
        <w:tc>
          <w:tcPr>
            <w:tcW w:w="2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3" w:lineRule="exact"/>
        <w:rPr>
          <w:sz w:val="24"/>
          <w:szCs w:val="24"/>
          <w:color w:val="auto"/>
        </w:rPr>
      </w:pPr>
    </w:p>
    <w:p>
      <w:pPr>
        <w:ind w:left="1980" w:right="959" w:hanging="304"/>
        <w:spacing w:after="0" w:line="278" w:lineRule="auto"/>
        <w:tabs>
          <w:tab w:leader="none" w:pos="19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 for trading, but only in connection with the listing on the Nasdaq Global Market of American depository shares, each representing two Class A ordinary shares</w:t>
      </w:r>
    </w:p>
    <w:p>
      <w:pPr>
        <w:spacing w:after="0" w:line="11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Securities registered or to be registered pursuant to Section 12(g) of the Act:</w:t>
      </w:r>
    </w:p>
    <w:p>
      <w:pPr>
        <w:spacing w:after="0" w:line="1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None</w:t>
      </w:r>
    </w:p>
    <w:p>
      <w:pPr>
        <w:spacing w:after="0" w:line="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0"/>
          <w:szCs w:val="10"/>
          <w:b w:val="1"/>
          <w:bCs w:val="1"/>
          <w:color w:val="auto"/>
        </w:rPr>
        <w:t>(Title of Class)</w:t>
      </w:r>
    </w:p>
    <w:p>
      <w:pPr>
        <w:spacing w:after="0" w:line="1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Securities for which there is a reporting obligation pursuant to Section 15(d) of the Act:</w:t>
      </w:r>
    </w:p>
    <w:p>
      <w:pPr>
        <w:spacing w:after="0" w:line="1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None</w:t>
      </w:r>
    </w:p>
    <w:p>
      <w:pPr>
        <w:spacing w:after="0" w:line="16" w:lineRule="exact"/>
        <w:rPr>
          <w:sz w:val="24"/>
          <w:szCs w:val="24"/>
          <w:color w:val="auto"/>
        </w:rPr>
      </w:pPr>
    </w:p>
    <w:p>
      <w:pPr>
        <w:ind w:left="5320"/>
        <w:spacing w:after="0"/>
        <w:rPr>
          <w:sz w:val="20"/>
          <w:szCs w:val="20"/>
          <w:color w:val="auto"/>
        </w:rPr>
      </w:pPr>
      <w:r>
        <w:rPr>
          <w:rFonts w:ascii="Times New Roman" w:cs="Times New Roman" w:eastAsia="Times New Roman" w:hAnsi="Times New Roman"/>
          <w:sz w:val="10"/>
          <w:szCs w:val="10"/>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3055620</wp:posOffset>
            </wp:positionH>
            <wp:positionV relativeFrom="paragraph">
              <wp:posOffset>158750</wp:posOffset>
            </wp:positionV>
            <wp:extent cx="105600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56005" cy="6350"/>
                    </a:xfrm>
                    <a:prstGeom prst="rect">
                      <a:avLst/>
                    </a:prstGeom>
                    <a:noFill/>
                  </pic:spPr>
                </pic:pic>
              </a:graphicData>
            </a:graphic>
          </wp:anchor>
        </w:drawing>
      </w:r>
    </w:p>
    <w:p>
      <w:pPr>
        <w:spacing w:after="0" w:line="382" w:lineRule="exact"/>
        <w:rPr>
          <w:sz w:val="24"/>
          <w:szCs w:val="24"/>
          <w:color w:val="auto"/>
        </w:rPr>
      </w:pPr>
    </w:p>
    <w:p>
      <w:pPr>
        <w:ind w:left="1680" w:right="659"/>
        <w:spacing w:after="0" w:line="278" w:lineRule="auto"/>
        <w:rPr>
          <w:sz w:val="20"/>
          <w:szCs w:val="20"/>
          <w:color w:val="auto"/>
        </w:rPr>
      </w:pPr>
      <w:r>
        <w:rPr>
          <w:rFonts w:ascii="Times New Roman" w:cs="Times New Roman" w:eastAsia="Times New Roman" w:hAnsi="Times New Roman"/>
          <w:sz w:val="13"/>
          <w:szCs w:val="13"/>
          <w:color w:val="auto"/>
        </w:rPr>
        <w:t>Indicate the number of outstanding shares of each of the issuer’s classes of capital or common stock as of the close of the period covered by the annual report.</w:t>
      </w:r>
    </w:p>
    <w:p>
      <w:pPr>
        <w:spacing w:after="0" w:line="121" w:lineRule="exact"/>
        <w:rPr>
          <w:sz w:val="24"/>
          <w:szCs w:val="24"/>
          <w:color w:val="auto"/>
        </w:rPr>
      </w:pPr>
    </w:p>
    <w:p>
      <w:pPr>
        <w:ind w:left="1680" w:right="559"/>
        <w:spacing w:after="0" w:line="259" w:lineRule="auto"/>
        <w:rPr>
          <w:sz w:val="20"/>
          <w:szCs w:val="20"/>
          <w:color w:val="auto"/>
        </w:rPr>
      </w:pPr>
      <w:r>
        <w:rPr>
          <w:rFonts w:ascii="Times New Roman" w:cs="Times New Roman" w:eastAsia="Times New Roman" w:hAnsi="Times New Roman"/>
          <w:sz w:val="13"/>
          <w:szCs w:val="13"/>
          <w:color w:val="auto"/>
        </w:rPr>
        <w:t>As of December 31, 2021, there were 113,860,197 ordinary shares outstanding, comprised of (i) 73,723,637 Class A ordinary shares (excluding Class A ordinary shares issued to the depositary bank for bulk issuance of ADSs reserved for future issuances upon the exercise or vesting of awards granted under our share incentive plans), par value of US$0.0001 per share, and (ii) 40,136,560 Class B ordinary shares outstanding, par value of US$0.0001 per share.</w:t>
      </w:r>
    </w:p>
    <w:p>
      <w:pPr>
        <w:spacing w:after="0" w:line="112" w:lineRule="exact"/>
        <w:rPr>
          <w:sz w:val="24"/>
          <w:szCs w:val="24"/>
          <w:color w:val="auto"/>
        </w:rPr>
      </w:pPr>
    </w:p>
    <w:p>
      <w:pPr>
        <w:ind w:left="1680"/>
        <w:spacing w:after="0" w:line="150" w:lineRule="exact"/>
        <w:tabs>
          <w:tab w:leader="none" w:pos="7860" w:val="left"/>
          <w:tab w:leader="none" w:pos="8360" w:val="left"/>
        </w:tabs>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ectPr>
          <w:pgSz w:w="11900" w:h="16838" w:orient="portrait"/>
          <w:cols w:equalWidth="0" w:num="1">
            <w:col w:w="10159"/>
          </w:cols>
          <w:pgMar w:left="300" w:top="203" w:right="1440" w:bottom="0" w:gutter="0" w:footer="0" w:header="0"/>
        </w:sectPr>
      </w:pPr>
    </w:p>
    <w:bookmarkStart w:id="1" w:name="page2"/>
    <w:bookmarkEnd w:id="1"/>
    <w:p>
      <w:pPr>
        <w:ind w:left="540" w:right="599"/>
        <w:spacing w:after="0" w:line="169" w:lineRule="exact"/>
        <w:rPr>
          <w:sz w:val="20"/>
          <w:szCs w:val="20"/>
          <w:color w:val="auto"/>
        </w:rPr>
      </w:pPr>
      <w:r>
        <w:rPr>
          <w:rFonts w:ascii="Times New Roman" w:cs="Times New Roman" w:eastAsia="Times New Roman" w:hAnsi="Times New Roman"/>
          <w:sz w:val="13"/>
          <w:szCs w:val="13"/>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31" w:lineRule="exact"/>
        <w:rPr>
          <w:sz w:val="20"/>
          <w:szCs w:val="20"/>
          <w:color w:val="auto"/>
        </w:rPr>
      </w:pPr>
    </w:p>
    <w:p>
      <w:pPr>
        <w:ind w:left="540" w:right="659"/>
        <w:spacing w:after="0" w:line="278" w:lineRule="auto"/>
        <w:rPr>
          <w:sz w:val="20"/>
          <w:szCs w:val="20"/>
          <w:color w:val="auto"/>
        </w:rPr>
      </w:pPr>
      <w:r>
        <w:rPr>
          <w:rFonts w:ascii="Times New Roman" w:cs="Times New Roman" w:eastAsia="Times New Roman" w:hAnsi="Times New Roman"/>
          <w:sz w:val="13"/>
          <w:szCs w:val="13"/>
          <w:color w:val="auto"/>
        </w:rPr>
        <w:t>Note – Checking the box above will not relieve any registrant required to file reports pursuant to Section 13 or 15(d) of the Securities Exchange Act of 1934 from their obligations under those Sections.</w:t>
      </w:r>
    </w:p>
    <w:p>
      <w:pPr>
        <w:spacing w:after="0" w:line="121" w:lineRule="exact"/>
        <w:rPr>
          <w:sz w:val="20"/>
          <w:szCs w:val="20"/>
          <w:color w:val="auto"/>
        </w:rPr>
      </w:pPr>
    </w:p>
    <w:p>
      <w:pPr>
        <w:ind w:left="540" w:right="599"/>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31" w:lineRule="exact"/>
        <w:rPr>
          <w:sz w:val="20"/>
          <w:szCs w:val="20"/>
          <w:color w:val="auto"/>
        </w:rPr>
      </w:pPr>
    </w:p>
    <w:p>
      <w:pPr>
        <w:ind w:left="540" w:right="659"/>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or an emerging growth company.</w:t>
      </w:r>
    </w:p>
    <w:p>
      <w:pPr>
        <w:spacing w:after="0" w:line="1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See the definitions of “large accelerated filer,” “accelerated filer” and “emerging growth company” in Rule 12b-2 of the Exchange Act.</w:t>
      </w:r>
    </w:p>
    <w:p>
      <w:pPr>
        <w:sectPr>
          <w:pgSz w:w="11900" w:h="16838" w:orient="portrait"/>
          <w:cols w:equalWidth="0" w:num="1">
            <w:col w:w="9019"/>
          </w:cols>
          <w:pgMar w:left="1440" w:top="127" w:right="1440" w:bottom="1440" w:gutter="0" w:footer="0" w:header="0"/>
        </w:sectPr>
      </w:pPr>
    </w:p>
    <w:p>
      <w:pPr>
        <w:spacing w:after="0" w:line="16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2"/>
          <w:szCs w:val="12"/>
          <w:color w:val="auto"/>
        </w:rPr>
        <w:t>Large accelerated filer</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Accelerated filer</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13" w:lineRule="exact"/>
        <w:rPr>
          <w:sz w:val="20"/>
          <w:szCs w:val="20"/>
          <w:color w:val="auto"/>
        </w:rPr>
      </w:pPr>
    </w:p>
    <w:p>
      <w:pPr>
        <w:sectPr>
          <w:pgSz w:w="11900" w:h="16838" w:orient="portrait"/>
          <w:cols w:equalWidth="0" w:num="4">
            <w:col w:w="1700" w:space="280"/>
            <w:col w:w="3880" w:space="720"/>
            <w:col w:w="1020" w:space="720"/>
            <w:col w:w="699"/>
          </w:cols>
          <w:pgMar w:left="1440" w:top="127" w:right="1440" w:bottom="1440" w:gutter="0" w:footer="0" w:header="0"/>
          <w:type w:val="continuous"/>
        </w:sectPr>
      </w:pPr>
    </w:p>
    <w:p>
      <w:pPr>
        <w:spacing w:after="0" w:line="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2"/>
          <w:szCs w:val="12"/>
          <w:color w:val="auto"/>
        </w:rPr>
        <w:t>Non-accelerated filer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Emerging growth company</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11" w:lineRule="exact"/>
        <w:rPr>
          <w:sz w:val="20"/>
          <w:szCs w:val="20"/>
          <w:color w:val="auto"/>
        </w:rPr>
      </w:pPr>
    </w:p>
    <w:p>
      <w:pPr>
        <w:sectPr>
          <w:pgSz w:w="11900" w:h="16838" w:orient="portrait"/>
          <w:cols w:equalWidth="0" w:num="4">
            <w:col w:w="1640" w:space="340"/>
            <w:col w:w="3880" w:space="720"/>
            <w:col w:w="1420" w:space="320"/>
            <w:col w:w="699"/>
          </w:cols>
          <w:pgMar w:left="1440" w:top="127" w:right="1440" w:bottom="1440" w:gutter="0" w:footer="0" w:header="0"/>
          <w:type w:val="continuous"/>
        </w:sectPr>
      </w:pPr>
    </w:p>
    <w:p>
      <w:pPr>
        <w:ind w:left="540" w:right="559"/>
        <w:spacing w:after="0" w:line="164" w:lineRule="exact"/>
        <w:rPr>
          <w:sz w:val="20"/>
          <w:szCs w:val="20"/>
          <w:color w:val="auto"/>
        </w:rPr>
      </w:pPr>
      <w:r>
        <w:rPr>
          <w:rFonts w:ascii="Times New Roman" w:cs="Times New Roman" w:eastAsia="Times New Roman" w:hAnsi="Times New Roman"/>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51" w:lineRule="exact"/>
        <w:rPr>
          <w:sz w:val="20"/>
          <w:szCs w:val="20"/>
          <w:color w:val="auto"/>
        </w:rPr>
      </w:pPr>
    </w:p>
    <w:p>
      <w:pPr>
        <w:ind w:left="840" w:right="1139" w:hanging="304"/>
        <w:spacing w:after="0" w:line="278" w:lineRule="auto"/>
        <w:tabs>
          <w:tab w:leader="none" w:pos="8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term “new or revised financial accounting standard” refers to any update issued by the Financial Accounting Standards Board to its Accounting Standards Codification after April 5, 2012.</w:t>
      </w:r>
    </w:p>
    <w:p>
      <w:pPr>
        <w:spacing w:after="0" w:line="121" w:lineRule="exact"/>
        <w:rPr>
          <w:sz w:val="20"/>
          <w:szCs w:val="20"/>
          <w:color w:val="auto"/>
        </w:rPr>
      </w:pPr>
    </w:p>
    <w:p>
      <w:pPr>
        <w:ind w:left="540" w:right="819"/>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Indicate by check mark which basis of accounting the registrant has used to prepare the financial statements included in this filing:</w:t>
      </w:r>
    </w:p>
    <w:p>
      <w:pPr>
        <w:sectPr>
          <w:pgSz w:w="11900" w:h="16838" w:orient="portrait"/>
          <w:cols w:equalWidth="0" w:num="1">
            <w:col w:w="9019"/>
          </w:cols>
          <w:pgMar w:left="1440" w:top="127" w:right="1440" w:bottom="1440" w:gutter="0" w:footer="0" w:header="0"/>
          <w:type w:val="continuous"/>
        </w:sectPr>
      </w:pP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U.S. GAAP</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International Financial Reporting Standards as issued</w:t>
      </w:r>
    </w:p>
    <w:p>
      <w:pPr>
        <w:spacing w:after="0" w:line="30" w:lineRule="exact"/>
        <w:rPr>
          <w:sz w:val="20"/>
          <w:szCs w:val="20"/>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by the International Accounting Standards Board </w:t>
      </w: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Other</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367" w:lineRule="exact"/>
        <w:rPr>
          <w:sz w:val="20"/>
          <w:szCs w:val="20"/>
          <w:color w:val="auto"/>
        </w:rPr>
      </w:pPr>
    </w:p>
    <w:p>
      <w:pPr>
        <w:sectPr>
          <w:pgSz w:w="11900" w:h="16838" w:orient="portrait"/>
          <w:cols w:equalWidth="0" w:num="5">
            <w:col w:w="1160" w:space="60"/>
            <w:col w:w="540" w:space="720"/>
            <w:col w:w="4800" w:space="720"/>
            <w:col w:w="300" w:space="60"/>
            <w:col w:w="659"/>
          </w:cols>
          <w:pgMar w:left="1440" w:top="127" w:right="1440" w:bottom="1440" w:gutter="0" w:footer="0" w:header="0"/>
          <w:type w:val="continuous"/>
        </w:sectPr>
      </w:pPr>
    </w:p>
    <w:p>
      <w:pPr>
        <w:ind w:left="540" w:right="779"/>
        <w:spacing w:after="0" w:line="169" w:lineRule="exact"/>
        <w:rPr>
          <w:sz w:val="20"/>
          <w:szCs w:val="20"/>
          <w:color w:val="auto"/>
        </w:rPr>
      </w:pPr>
      <w:r>
        <w:rPr>
          <w:rFonts w:ascii="Times New Roman" w:cs="Times New Roman" w:eastAsia="Times New Roman" w:hAnsi="Times New Roman"/>
          <w:sz w:val="13"/>
          <w:szCs w:val="13"/>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Item 17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Item 18</w:t>
      </w:r>
    </w:p>
    <w:p>
      <w:pPr>
        <w:spacing w:after="0" w:line="131" w:lineRule="exact"/>
        <w:rPr>
          <w:sz w:val="20"/>
          <w:szCs w:val="20"/>
          <w:color w:val="auto"/>
        </w:rPr>
      </w:pPr>
    </w:p>
    <w:p>
      <w:pPr>
        <w:ind w:left="540" w:right="1539"/>
        <w:spacing w:after="0" w:line="169" w:lineRule="exact"/>
        <w:rPr>
          <w:sz w:val="20"/>
          <w:szCs w:val="20"/>
          <w:color w:val="auto"/>
        </w:rPr>
      </w:pPr>
      <w:r>
        <w:rPr>
          <w:rFonts w:ascii="Times New Roman" w:cs="Times New Roman" w:eastAsia="Times New Roman" w:hAnsi="Times New Roman"/>
          <w:sz w:val="13"/>
          <w:szCs w:val="13"/>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(APPLICABLE ONLY TO ISSUERS INVOLVED IN BANKRUPTCY PROCEEDINGS DURING THE PAST FIVE YEARS)</w:t>
      </w:r>
    </w:p>
    <w:p>
      <w:pPr>
        <w:spacing w:after="0" w:line="162" w:lineRule="exact"/>
        <w:rPr>
          <w:sz w:val="20"/>
          <w:szCs w:val="20"/>
          <w:color w:val="auto"/>
        </w:rPr>
      </w:pPr>
    </w:p>
    <w:p>
      <w:pPr>
        <w:ind w:left="540" w:right="919"/>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97155</wp:posOffset>
            </wp:positionV>
            <wp:extent cx="503999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39995" cy="6350"/>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128270</wp:posOffset>
            </wp:positionV>
            <wp:extent cx="503999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3"/>
          <w:szCs w:val="13"/>
          <w:b w:val="1"/>
          <w:bCs w:val="1"/>
          <w:color w:val="auto"/>
        </w:rPr>
        <w:t>TABLE OF CONTENTS</w:t>
      </w:r>
    </w:p>
    <w:p>
      <w:pPr>
        <w:spacing w:after="0" w:line="175"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Page</w:t>
            </w:r>
          </w:p>
        </w:tc>
      </w:tr>
      <w:tr>
        <w:trPr>
          <w:trHeight w:val="139"/>
        </w:trPr>
        <w:tc>
          <w:tcPr>
            <w:tcW w:w="980" w:type="dxa"/>
            <w:vAlign w:val="bottom"/>
            <w:tcBorders>
              <w:bottom w:val="single" w:sz="8" w:color="0000EE"/>
            </w:tcBorders>
            <w:gridSpan w:val="6"/>
          </w:tcPr>
          <w:p>
            <w:pPr>
              <w:spacing w:after="0" w:line="139" w:lineRule="exact"/>
              <w:rPr>
                <w:sz w:val="20"/>
                <w:szCs w:val="20"/>
                <w:color w:val="auto"/>
              </w:rPr>
            </w:pPr>
            <w:r>
              <w:rPr>
                <w:rFonts w:ascii="Times New Roman" w:cs="Times New Roman" w:eastAsia="Times New Roman" w:hAnsi="Times New Roman"/>
                <w:sz w:val="13"/>
                <w:szCs w:val="13"/>
                <w:color w:val="0000EE"/>
                <w:w w:val="97"/>
              </w:rPr>
              <w:t>INTRODUCTION</w:t>
            </w:r>
          </w:p>
        </w:tc>
        <w:tc>
          <w:tcPr>
            <w:tcW w:w="5300" w:type="dxa"/>
            <w:vAlign w:val="bottom"/>
            <w:gridSpan w:val="29"/>
          </w:tcPr>
          <w:p>
            <w:pPr>
              <w:spacing w:after="0"/>
              <w:rPr>
                <w:sz w:val="12"/>
                <w:szCs w:val="12"/>
                <w:color w:val="auto"/>
              </w:rPr>
            </w:pPr>
          </w:p>
        </w:tc>
        <w:tc>
          <w:tcPr>
            <w:tcW w:w="162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1</w:t>
            </w:r>
          </w:p>
        </w:tc>
      </w:tr>
      <w:tr>
        <w:trPr>
          <w:trHeight w:val="213"/>
        </w:trPr>
        <w:tc>
          <w:tcPr>
            <w:tcW w:w="6280" w:type="dxa"/>
            <w:vAlign w:val="bottom"/>
            <w:gridSpan w:val="35"/>
          </w:tcPr>
          <w:p>
            <w:pPr>
              <w:spacing w:after="0"/>
              <w:rPr>
                <w:sz w:val="20"/>
                <w:szCs w:val="20"/>
                <w:color w:val="auto"/>
              </w:rPr>
            </w:pPr>
            <w:r>
              <w:rPr>
                <w:rFonts w:ascii="Times New Roman" w:cs="Times New Roman" w:eastAsia="Times New Roman" w:hAnsi="Times New Roman"/>
                <w:sz w:val="13"/>
                <w:szCs w:val="13"/>
                <w:color w:val="0000EE"/>
              </w:rPr>
              <w:t>FORWARD-LOOKING INFORMATION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213"/>
        </w:trPr>
        <w:tc>
          <w:tcPr>
            <w:tcW w:w="86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3"/>
                <w:szCs w:val="13"/>
                <w:color w:val="0000EE"/>
              </w:rPr>
              <w:t>PART I</w:t>
            </w: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20"/>
        </w:trPr>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3"/>
        </w:trPr>
        <w:tc>
          <w:tcPr>
            <w:tcW w:w="860" w:type="dxa"/>
            <w:vAlign w:val="bottom"/>
            <w:gridSpan w:val="5"/>
          </w:tcPr>
          <w:p>
            <w:pPr>
              <w:ind w:left="260"/>
              <w:spacing w:after="0"/>
              <w:rPr>
                <w:sz w:val="20"/>
                <w:szCs w:val="20"/>
                <w:color w:val="auto"/>
              </w:rPr>
            </w:pPr>
            <w:r>
              <w:rPr>
                <w:rFonts w:ascii="Times New Roman" w:cs="Times New Roman" w:eastAsia="Times New Roman" w:hAnsi="Times New Roman"/>
                <w:sz w:val="13"/>
                <w:szCs w:val="13"/>
                <w:color w:val="auto"/>
              </w:rPr>
              <w:t>Item 1.</w:t>
            </w:r>
          </w:p>
        </w:tc>
        <w:tc>
          <w:tcPr>
            <w:tcW w:w="288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3"/>
                <w:szCs w:val="13"/>
                <w:color w:val="0000EE"/>
                <w:w w:val="98"/>
              </w:rPr>
              <w:t>Identity of Directors, Senior Management and Advisers</w:t>
            </w:r>
          </w:p>
        </w:tc>
        <w:tc>
          <w:tcPr>
            <w:tcW w:w="2540" w:type="dxa"/>
            <w:vAlign w:val="bottom"/>
            <w:gridSpan w:val="6"/>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213"/>
        </w:trPr>
        <w:tc>
          <w:tcPr>
            <w:tcW w:w="860" w:type="dxa"/>
            <w:vAlign w:val="bottom"/>
            <w:gridSpan w:val="5"/>
          </w:tcPr>
          <w:p>
            <w:pPr>
              <w:ind w:left="260"/>
              <w:spacing w:after="0"/>
              <w:rPr>
                <w:sz w:val="20"/>
                <w:szCs w:val="20"/>
                <w:color w:val="auto"/>
              </w:rPr>
            </w:pPr>
            <w:r>
              <w:rPr>
                <w:rFonts w:ascii="Times New Roman" w:cs="Times New Roman" w:eastAsia="Times New Roman" w:hAnsi="Times New Roman"/>
                <w:sz w:val="13"/>
                <w:szCs w:val="13"/>
                <w:color w:val="auto"/>
              </w:rPr>
              <w:t>Item 2.</w:t>
            </w:r>
          </w:p>
        </w:tc>
        <w:tc>
          <w:tcPr>
            <w:tcW w:w="20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3"/>
                <w:szCs w:val="13"/>
                <w:color w:val="0000EE"/>
                <w:w w:val="99"/>
              </w:rPr>
              <w:t>Offer Statistics and Expected Timetable</w:t>
            </w:r>
          </w:p>
        </w:tc>
        <w:tc>
          <w:tcPr>
            <w:tcW w:w="3340" w:type="dxa"/>
            <w:vAlign w:val="bottom"/>
            <w:gridSpan w:val="14"/>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213"/>
        </w:trPr>
        <w:tc>
          <w:tcPr>
            <w:tcW w:w="860" w:type="dxa"/>
            <w:vAlign w:val="bottom"/>
            <w:gridSpan w:val="5"/>
          </w:tcPr>
          <w:p>
            <w:pPr>
              <w:ind w:left="260"/>
              <w:spacing w:after="0"/>
              <w:rPr>
                <w:sz w:val="20"/>
                <w:szCs w:val="20"/>
                <w:color w:val="auto"/>
              </w:rPr>
            </w:pPr>
            <w:r>
              <w:rPr>
                <w:rFonts w:ascii="Times New Roman" w:cs="Times New Roman" w:eastAsia="Times New Roman" w:hAnsi="Times New Roman"/>
                <w:sz w:val="13"/>
                <w:szCs w:val="13"/>
                <w:color w:val="auto"/>
              </w:rPr>
              <w:t>Item 3.</w:t>
            </w:r>
          </w:p>
        </w:tc>
        <w:tc>
          <w:tcPr>
            <w:tcW w:w="8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3"/>
                <w:szCs w:val="13"/>
                <w:color w:val="0000EE"/>
                <w:w w:val="96"/>
              </w:rPr>
              <w:t>Key Information</w:t>
            </w:r>
          </w:p>
        </w:tc>
        <w:tc>
          <w:tcPr>
            <w:tcW w:w="4560" w:type="dxa"/>
            <w:vAlign w:val="bottom"/>
            <w:gridSpan w:val="26"/>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213"/>
        </w:trPr>
        <w:tc>
          <w:tcPr>
            <w:tcW w:w="860" w:type="dxa"/>
            <w:vAlign w:val="bottom"/>
            <w:gridSpan w:val="5"/>
          </w:tcPr>
          <w:p>
            <w:pPr>
              <w:ind w:left="260"/>
              <w:spacing w:after="0"/>
              <w:rPr>
                <w:sz w:val="20"/>
                <w:szCs w:val="20"/>
                <w:color w:val="auto"/>
              </w:rPr>
            </w:pPr>
            <w:r>
              <w:rPr>
                <w:rFonts w:ascii="Times New Roman" w:cs="Times New Roman" w:eastAsia="Times New Roman" w:hAnsi="Times New Roman"/>
                <w:sz w:val="13"/>
                <w:szCs w:val="13"/>
                <w:color w:val="auto"/>
              </w:rPr>
              <w:t>Item 4.</w:t>
            </w:r>
          </w:p>
        </w:tc>
        <w:tc>
          <w:tcPr>
            <w:tcW w:w="15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3"/>
                <w:szCs w:val="13"/>
                <w:color w:val="0000EE"/>
                <w:w w:val="97"/>
              </w:rPr>
              <w:t>Information on the Company</w:t>
            </w:r>
          </w:p>
        </w:tc>
        <w:tc>
          <w:tcPr>
            <w:tcW w:w="3920" w:type="dxa"/>
            <w:vAlign w:val="bottom"/>
            <w:gridSpan w:val="17"/>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r>
      <w:tr>
        <w:trPr>
          <w:trHeight w:val="213"/>
        </w:trPr>
        <w:tc>
          <w:tcPr>
            <w:tcW w:w="860" w:type="dxa"/>
            <w:vAlign w:val="bottom"/>
            <w:gridSpan w:val="5"/>
          </w:tcPr>
          <w:p>
            <w:pPr>
              <w:ind w:left="260"/>
              <w:spacing w:after="0"/>
              <w:rPr>
                <w:sz w:val="20"/>
                <w:szCs w:val="20"/>
                <w:color w:val="auto"/>
              </w:rPr>
            </w:pPr>
            <w:r>
              <w:rPr>
                <w:rFonts w:ascii="Times New Roman" w:cs="Times New Roman" w:eastAsia="Times New Roman" w:hAnsi="Times New Roman"/>
                <w:sz w:val="13"/>
                <w:szCs w:val="13"/>
                <w:color w:val="auto"/>
              </w:rPr>
              <w:t>Item 4A.</w:t>
            </w:r>
          </w:p>
        </w:tc>
        <w:tc>
          <w:tcPr>
            <w:tcW w:w="5420" w:type="dxa"/>
            <w:vAlign w:val="bottom"/>
            <w:gridSpan w:val="30"/>
          </w:tcPr>
          <w:p>
            <w:pPr>
              <w:spacing w:after="0"/>
              <w:rPr>
                <w:sz w:val="20"/>
                <w:szCs w:val="20"/>
                <w:color w:val="auto"/>
              </w:rPr>
            </w:pPr>
            <w:r>
              <w:rPr>
                <w:rFonts w:ascii="Times New Roman" w:cs="Times New Roman" w:eastAsia="Times New Roman" w:hAnsi="Times New Roman"/>
                <w:sz w:val="13"/>
                <w:szCs w:val="13"/>
                <w:color w:val="0000EE"/>
              </w:rPr>
              <w:t>Unresolved Staff Comments</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r>
      <w:tr>
        <w:trPr>
          <w:trHeight w:val="20"/>
        </w:trPr>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3"/>
        </w:trPr>
        <w:tc>
          <w:tcPr>
            <w:tcW w:w="860" w:type="dxa"/>
            <w:vAlign w:val="bottom"/>
            <w:gridSpan w:val="5"/>
          </w:tcPr>
          <w:p>
            <w:pPr>
              <w:ind w:left="260"/>
              <w:spacing w:after="0"/>
              <w:rPr>
                <w:sz w:val="20"/>
                <w:szCs w:val="20"/>
                <w:color w:val="auto"/>
              </w:rPr>
            </w:pPr>
            <w:r>
              <w:rPr>
                <w:rFonts w:ascii="Times New Roman" w:cs="Times New Roman" w:eastAsia="Times New Roman" w:hAnsi="Times New Roman"/>
                <w:sz w:val="13"/>
                <w:szCs w:val="13"/>
                <w:color w:val="auto"/>
              </w:rPr>
              <w:t>Item 5.</w:t>
            </w:r>
          </w:p>
        </w:tc>
        <w:tc>
          <w:tcPr>
            <w:tcW w:w="5420" w:type="dxa"/>
            <w:vAlign w:val="bottom"/>
            <w:gridSpan w:val="30"/>
          </w:tcPr>
          <w:p>
            <w:pPr>
              <w:spacing w:after="0"/>
              <w:rPr>
                <w:sz w:val="20"/>
                <w:szCs w:val="20"/>
                <w:color w:val="auto"/>
              </w:rPr>
            </w:pPr>
            <w:r>
              <w:rPr>
                <w:rFonts w:ascii="Times New Roman" w:cs="Times New Roman" w:eastAsia="Times New Roman" w:hAnsi="Times New Roman"/>
                <w:sz w:val="13"/>
                <w:szCs w:val="13"/>
                <w:color w:val="0000EE"/>
              </w:rPr>
              <w:t>Operating and Financial Review Prospects</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r>
      <w:tr>
        <w:trPr>
          <w:trHeight w:val="20"/>
        </w:trPr>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3"/>
        </w:trPr>
        <w:tc>
          <w:tcPr>
            <w:tcW w:w="860" w:type="dxa"/>
            <w:vAlign w:val="bottom"/>
            <w:gridSpan w:val="5"/>
          </w:tcPr>
          <w:p>
            <w:pPr>
              <w:ind w:left="260"/>
              <w:spacing w:after="0"/>
              <w:rPr>
                <w:sz w:val="20"/>
                <w:szCs w:val="20"/>
                <w:color w:val="auto"/>
              </w:rPr>
            </w:pPr>
            <w:r>
              <w:rPr>
                <w:rFonts w:ascii="Times New Roman" w:cs="Times New Roman" w:eastAsia="Times New Roman" w:hAnsi="Times New Roman"/>
                <w:sz w:val="13"/>
                <w:szCs w:val="13"/>
                <w:color w:val="auto"/>
              </w:rPr>
              <w:t>Item 6.</w:t>
            </w:r>
          </w:p>
        </w:tc>
        <w:tc>
          <w:tcPr>
            <w:tcW w:w="242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3"/>
                <w:szCs w:val="13"/>
                <w:color w:val="0000EE"/>
                <w:w w:val="98"/>
              </w:rPr>
              <w:t>Directors, Senior Management and Employees</w:t>
            </w:r>
          </w:p>
        </w:tc>
        <w:tc>
          <w:tcPr>
            <w:tcW w:w="3000" w:type="dxa"/>
            <w:vAlign w:val="bottom"/>
            <w:gridSpan w:val="10"/>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w:t>
            </w:r>
          </w:p>
        </w:tc>
      </w:tr>
      <w:tr>
        <w:trPr>
          <w:trHeight w:val="213"/>
        </w:trPr>
        <w:tc>
          <w:tcPr>
            <w:tcW w:w="860" w:type="dxa"/>
            <w:vAlign w:val="bottom"/>
            <w:gridSpan w:val="5"/>
          </w:tcPr>
          <w:p>
            <w:pPr>
              <w:ind w:left="260"/>
              <w:spacing w:after="0"/>
              <w:rPr>
                <w:sz w:val="20"/>
                <w:szCs w:val="20"/>
                <w:color w:val="auto"/>
              </w:rPr>
            </w:pPr>
            <w:r>
              <w:rPr>
                <w:rFonts w:ascii="Times New Roman" w:cs="Times New Roman" w:eastAsia="Times New Roman" w:hAnsi="Times New Roman"/>
                <w:sz w:val="13"/>
                <w:szCs w:val="13"/>
                <w:color w:val="auto"/>
              </w:rPr>
              <w:t>Item 7.</w:t>
            </w:r>
          </w:p>
        </w:tc>
        <w:tc>
          <w:tcPr>
            <w:tcW w:w="262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3"/>
                <w:szCs w:val="13"/>
                <w:color w:val="0000EE"/>
                <w:w w:val="98"/>
              </w:rPr>
              <w:t>Major Shareholders and Related Party Transaction</w:t>
            </w:r>
          </w:p>
        </w:tc>
        <w:tc>
          <w:tcPr>
            <w:tcW w:w="2800" w:type="dxa"/>
            <w:vAlign w:val="bottom"/>
            <w:gridSpan w:val="8"/>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w:t>
            </w:r>
          </w:p>
        </w:tc>
      </w:tr>
      <w:tr>
        <w:trPr>
          <w:trHeight w:val="213"/>
        </w:trPr>
        <w:tc>
          <w:tcPr>
            <w:tcW w:w="860" w:type="dxa"/>
            <w:vAlign w:val="bottom"/>
            <w:gridSpan w:val="5"/>
          </w:tcPr>
          <w:p>
            <w:pPr>
              <w:ind w:left="260"/>
              <w:spacing w:after="0"/>
              <w:rPr>
                <w:sz w:val="20"/>
                <w:szCs w:val="20"/>
                <w:color w:val="auto"/>
              </w:rPr>
            </w:pPr>
            <w:r>
              <w:rPr>
                <w:rFonts w:ascii="Times New Roman" w:cs="Times New Roman" w:eastAsia="Times New Roman" w:hAnsi="Times New Roman"/>
                <w:sz w:val="13"/>
                <w:szCs w:val="13"/>
                <w:color w:val="auto"/>
              </w:rPr>
              <w:t>Item 8.</w:t>
            </w:r>
          </w:p>
        </w:tc>
        <w:tc>
          <w:tcPr>
            <w:tcW w:w="11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3"/>
                <w:szCs w:val="13"/>
                <w:color w:val="0000EE"/>
                <w:w w:val="98"/>
              </w:rPr>
              <w:t>Financial Information</w:t>
            </w:r>
          </w:p>
        </w:tc>
        <w:tc>
          <w:tcPr>
            <w:tcW w:w="4280" w:type="dxa"/>
            <w:vAlign w:val="bottom"/>
            <w:gridSpan w:val="23"/>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w:t>
            </w:r>
          </w:p>
        </w:tc>
      </w:tr>
      <w:tr>
        <w:trPr>
          <w:trHeight w:val="213"/>
        </w:trPr>
        <w:tc>
          <w:tcPr>
            <w:tcW w:w="860" w:type="dxa"/>
            <w:vAlign w:val="bottom"/>
            <w:gridSpan w:val="5"/>
          </w:tcPr>
          <w:p>
            <w:pPr>
              <w:ind w:left="260"/>
              <w:spacing w:after="0"/>
              <w:rPr>
                <w:sz w:val="20"/>
                <w:szCs w:val="20"/>
                <w:color w:val="auto"/>
              </w:rPr>
            </w:pPr>
            <w:r>
              <w:rPr>
                <w:rFonts w:ascii="Times New Roman" w:cs="Times New Roman" w:eastAsia="Times New Roman" w:hAnsi="Times New Roman"/>
                <w:sz w:val="13"/>
                <w:szCs w:val="13"/>
                <w:color w:val="auto"/>
              </w:rPr>
              <w:t>Item 9.</w:t>
            </w:r>
          </w:p>
        </w:tc>
        <w:tc>
          <w:tcPr>
            <w:tcW w:w="5420" w:type="dxa"/>
            <w:vAlign w:val="bottom"/>
            <w:gridSpan w:val="30"/>
          </w:tcPr>
          <w:p>
            <w:pPr>
              <w:spacing w:after="0"/>
              <w:rPr>
                <w:sz w:val="20"/>
                <w:szCs w:val="20"/>
                <w:color w:val="auto"/>
              </w:rPr>
            </w:pPr>
            <w:r>
              <w:rPr>
                <w:rFonts w:ascii="Times New Roman" w:cs="Times New Roman" w:eastAsia="Times New Roman" w:hAnsi="Times New Roman"/>
                <w:sz w:val="13"/>
                <w:szCs w:val="13"/>
                <w:color w:val="0000EE"/>
              </w:rPr>
              <w:t>The Offer and Listing</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r>
      <w:tr>
        <w:trPr>
          <w:trHeight w:val="20"/>
        </w:trPr>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3"/>
        </w:trPr>
        <w:tc>
          <w:tcPr>
            <w:tcW w:w="860" w:type="dxa"/>
            <w:vAlign w:val="bottom"/>
            <w:gridSpan w:val="5"/>
          </w:tcPr>
          <w:p>
            <w:pPr>
              <w:ind w:left="260"/>
              <w:spacing w:after="0"/>
              <w:rPr>
                <w:sz w:val="20"/>
                <w:szCs w:val="20"/>
                <w:color w:val="auto"/>
              </w:rPr>
            </w:pPr>
            <w:r>
              <w:rPr>
                <w:rFonts w:ascii="Times New Roman" w:cs="Times New Roman" w:eastAsia="Times New Roman" w:hAnsi="Times New Roman"/>
                <w:sz w:val="13"/>
                <w:szCs w:val="13"/>
                <w:color w:val="auto"/>
              </w:rPr>
              <w:t>Item 10.</w:t>
            </w:r>
          </w:p>
        </w:tc>
        <w:tc>
          <w:tcPr>
            <w:tcW w:w="12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3"/>
                <w:szCs w:val="13"/>
                <w:color w:val="0000EE"/>
                <w:w w:val="97"/>
              </w:rPr>
              <w:t>Additional Information</w:t>
            </w:r>
          </w:p>
        </w:tc>
        <w:tc>
          <w:tcPr>
            <w:tcW w:w="4220" w:type="dxa"/>
            <w:vAlign w:val="bottom"/>
            <w:gridSpan w:val="21"/>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w:t>
            </w:r>
          </w:p>
        </w:tc>
      </w:tr>
      <w:tr>
        <w:trPr>
          <w:trHeight w:val="213"/>
        </w:trPr>
        <w:tc>
          <w:tcPr>
            <w:tcW w:w="860" w:type="dxa"/>
            <w:vAlign w:val="bottom"/>
            <w:gridSpan w:val="5"/>
          </w:tcPr>
          <w:p>
            <w:pPr>
              <w:ind w:left="260"/>
              <w:spacing w:after="0"/>
              <w:rPr>
                <w:sz w:val="20"/>
                <w:szCs w:val="20"/>
                <w:color w:val="auto"/>
              </w:rPr>
            </w:pPr>
            <w:r>
              <w:rPr>
                <w:rFonts w:ascii="Times New Roman" w:cs="Times New Roman" w:eastAsia="Times New Roman" w:hAnsi="Times New Roman"/>
                <w:sz w:val="13"/>
                <w:szCs w:val="13"/>
                <w:color w:val="auto"/>
              </w:rPr>
              <w:t>Item 11.</w:t>
            </w:r>
          </w:p>
        </w:tc>
        <w:tc>
          <w:tcPr>
            <w:tcW w:w="310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3"/>
                <w:szCs w:val="13"/>
                <w:color w:val="0000EE"/>
                <w:w w:val="98"/>
              </w:rPr>
              <w:t>Quantitative and Qualitative Disclosures about Market Risk</w:t>
            </w:r>
          </w:p>
        </w:tc>
        <w:tc>
          <w:tcPr>
            <w:tcW w:w="2320" w:type="dxa"/>
            <w:vAlign w:val="bottom"/>
            <w:gridSpan w:val="5"/>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w:t>
            </w:r>
          </w:p>
        </w:tc>
      </w:tr>
      <w:tr>
        <w:trPr>
          <w:trHeight w:val="213"/>
        </w:trPr>
        <w:tc>
          <w:tcPr>
            <w:tcW w:w="860" w:type="dxa"/>
            <w:vAlign w:val="bottom"/>
            <w:gridSpan w:val="5"/>
          </w:tcPr>
          <w:p>
            <w:pPr>
              <w:ind w:left="260"/>
              <w:spacing w:after="0"/>
              <w:rPr>
                <w:sz w:val="20"/>
                <w:szCs w:val="20"/>
                <w:color w:val="auto"/>
              </w:rPr>
            </w:pPr>
            <w:r>
              <w:rPr>
                <w:rFonts w:ascii="Times New Roman" w:cs="Times New Roman" w:eastAsia="Times New Roman" w:hAnsi="Times New Roman"/>
                <w:sz w:val="13"/>
                <w:szCs w:val="13"/>
                <w:color w:val="auto"/>
              </w:rPr>
              <w:t>Item 12.</w:t>
            </w:r>
          </w:p>
        </w:tc>
        <w:tc>
          <w:tcPr>
            <w:tcW w:w="5420" w:type="dxa"/>
            <w:vAlign w:val="bottom"/>
            <w:gridSpan w:val="30"/>
          </w:tcPr>
          <w:p>
            <w:pPr>
              <w:spacing w:after="0"/>
              <w:rPr>
                <w:sz w:val="20"/>
                <w:szCs w:val="20"/>
                <w:color w:val="auto"/>
              </w:rPr>
            </w:pPr>
            <w:r>
              <w:rPr>
                <w:rFonts w:ascii="Times New Roman" w:cs="Times New Roman" w:eastAsia="Times New Roman" w:hAnsi="Times New Roman"/>
                <w:sz w:val="13"/>
                <w:szCs w:val="13"/>
                <w:color w:val="0000EE"/>
              </w:rPr>
              <w:t>Description of Securities Other than Equity Securities</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w:t>
            </w:r>
          </w:p>
        </w:tc>
      </w:tr>
      <w:tr>
        <w:trPr>
          <w:trHeight w:val="213"/>
        </w:trPr>
        <w:tc>
          <w:tcPr>
            <w:tcW w:w="860" w:type="dxa"/>
            <w:vAlign w:val="bottom"/>
            <w:gridSpan w:val="5"/>
          </w:tcPr>
          <w:p>
            <w:pPr>
              <w:spacing w:after="0"/>
              <w:rPr>
                <w:sz w:val="20"/>
                <w:szCs w:val="20"/>
                <w:color w:val="auto"/>
              </w:rPr>
            </w:pPr>
            <w:r>
              <w:rPr>
                <w:rFonts w:ascii="Times New Roman" w:cs="Times New Roman" w:eastAsia="Times New Roman" w:hAnsi="Times New Roman"/>
                <w:sz w:val="13"/>
                <w:szCs w:val="13"/>
                <w:color w:val="0000EE"/>
              </w:rPr>
              <w:t>PART II</w:t>
            </w: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w:t>
            </w:r>
          </w:p>
        </w:tc>
      </w:tr>
      <w:tr>
        <w:trPr>
          <w:trHeight w:val="20"/>
        </w:trPr>
        <w:tc>
          <w:tcPr>
            <w:tcW w:w="4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3"/>
        </w:trPr>
        <w:tc>
          <w:tcPr>
            <w:tcW w:w="860" w:type="dxa"/>
            <w:vAlign w:val="bottom"/>
            <w:gridSpan w:val="5"/>
          </w:tcPr>
          <w:p>
            <w:pPr>
              <w:ind w:left="260"/>
              <w:spacing w:after="0"/>
              <w:rPr>
                <w:sz w:val="20"/>
                <w:szCs w:val="20"/>
                <w:color w:val="auto"/>
              </w:rPr>
            </w:pPr>
            <w:r>
              <w:rPr>
                <w:rFonts w:ascii="Times New Roman" w:cs="Times New Roman" w:eastAsia="Times New Roman" w:hAnsi="Times New Roman"/>
                <w:sz w:val="13"/>
                <w:szCs w:val="13"/>
                <w:color w:val="auto"/>
              </w:rPr>
              <w:t>Item 13.</w:t>
            </w:r>
          </w:p>
        </w:tc>
        <w:tc>
          <w:tcPr>
            <w:tcW w:w="258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3"/>
                <w:szCs w:val="13"/>
                <w:color w:val="0000EE"/>
                <w:w w:val="98"/>
              </w:rPr>
              <w:t>Defaults, Dividend Arrearages and Delinquencies</w:t>
            </w:r>
          </w:p>
        </w:tc>
        <w:tc>
          <w:tcPr>
            <w:tcW w:w="2840" w:type="dxa"/>
            <w:vAlign w:val="bottom"/>
            <w:gridSpan w:val="9"/>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w:t>
            </w:r>
          </w:p>
        </w:tc>
      </w:tr>
      <w:tr>
        <w:trPr>
          <w:trHeight w:val="213"/>
        </w:trPr>
        <w:tc>
          <w:tcPr>
            <w:tcW w:w="860" w:type="dxa"/>
            <w:vAlign w:val="bottom"/>
            <w:gridSpan w:val="5"/>
          </w:tcPr>
          <w:p>
            <w:pPr>
              <w:ind w:left="260"/>
              <w:spacing w:after="0"/>
              <w:rPr>
                <w:sz w:val="20"/>
                <w:szCs w:val="20"/>
                <w:color w:val="auto"/>
              </w:rPr>
            </w:pPr>
            <w:r>
              <w:rPr>
                <w:rFonts w:ascii="Times New Roman" w:cs="Times New Roman" w:eastAsia="Times New Roman" w:hAnsi="Times New Roman"/>
                <w:sz w:val="13"/>
                <w:szCs w:val="13"/>
                <w:color w:val="auto"/>
              </w:rPr>
              <w:t>Item 14.</w:t>
            </w:r>
          </w:p>
        </w:tc>
        <w:tc>
          <w:tcPr>
            <w:tcW w:w="5420" w:type="dxa"/>
            <w:vAlign w:val="bottom"/>
            <w:gridSpan w:val="30"/>
          </w:tcPr>
          <w:p>
            <w:pPr>
              <w:spacing w:after="0"/>
              <w:rPr>
                <w:sz w:val="20"/>
                <w:szCs w:val="20"/>
                <w:color w:val="auto"/>
              </w:rPr>
            </w:pPr>
            <w:r>
              <w:rPr>
                <w:rFonts w:ascii="Times New Roman" w:cs="Times New Roman" w:eastAsia="Times New Roman" w:hAnsi="Times New Roman"/>
                <w:sz w:val="13"/>
                <w:szCs w:val="13"/>
                <w:color w:val="0000EE"/>
              </w:rPr>
              <w:t>Material Modifications to the Rights of Security Holders and Use of Proceeds</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w:t>
            </w:r>
          </w:p>
        </w:tc>
      </w:tr>
      <w:tr>
        <w:trPr>
          <w:trHeight w:val="213"/>
        </w:trPr>
        <w:tc>
          <w:tcPr>
            <w:tcW w:w="860" w:type="dxa"/>
            <w:vAlign w:val="bottom"/>
            <w:gridSpan w:val="5"/>
          </w:tcPr>
          <w:p>
            <w:pPr>
              <w:ind w:left="260"/>
              <w:spacing w:after="0"/>
              <w:rPr>
                <w:sz w:val="20"/>
                <w:szCs w:val="20"/>
                <w:color w:val="auto"/>
              </w:rPr>
            </w:pPr>
            <w:r>
              <w:rPr>
                <w:rFonts w:ascii="Times New Roman" w:cs="Times New Roman" w:eastAsia="Times New Roman" w:hAnsi="Times New Roman"/>
                <w:sz w:val="13"/>
                <w:szCs w:val="13"/>
                <w:color w:val="auto"/>
              </w:rPr>
              <w:t>Item 15.</w:t>
            </w:r>
          </w:p>
        </w:tc>
        <w:tc>
          <w:tcPr>
            <w:tcW w:w="4020" w:type="dxa"/>
            <w:vAlign w:val="bottom"/>
            <w:tcBorders>
              <w:top w:val="single" w:sz="8" w:color="0000EE"/>
            </w:tcBorders>
            <w:gridSpan w:val="29"/>
          </w:tcPr>
          <w:p>
            <w:pPr>
              <w:spacing w:after="0"/>
              <w:rPr>
                <w:sz w:val="20"/>
                <w:szCs w:val="20"/>
                <w:color w:val="auto"/>
              </w:rPr>
            </w:pPr>
            <w:r>
              <w:rPr>
                <w:rFonts w:ascii="Times New Roman" w:cs="Times New Roman" w:eastAsia="Times New Roman" w:hAnsi="Times New Roman"/>
                <w:sz w:val="13"/>
                <w:szCs w:val="13"/>
                <w:color w:val="0000EE"/>
              </w:rPr>
              <w:t>Controls and Procedures</w:t>
            </w:r>
          </w:p>
        </w:tc>
        <w:tc>
          <w:tcPr>
            <w:tcW w:w="14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w:t>
            </w:r>
          </w:p>
        </w:tc>
      </w:tr>
      <w:tr>
        <w:trPr>
          <w:trHeight w:val="20"/>
        </w:trPr>
        <w:tc>
          <w:tcPr>
            <w:tcW w:w="4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3"/>
        </w:trPr>
        <w:tc>
          <w:tcPr>
            <w:tcW w:w="860" w:type="dxa"/>
            <w:vAlign w:val="bottom"/>
            <w:gridSpan w:val="5"/>
          </w:tcPr>
          <w:p>
            <w:pPr>
              <w:ind w:left="260"/>
              <w:spacing w:after="0"/>
              <w:rPr>
                <w:sz w:val="20"/>
                <w:szCs w:val="20"/>
                <w:color w:val="auto"/>
              </w:rPr>
            </w:pPr>
            <w:r>
              <w:rPr>
                <w:rFonts w:ascii="Times New Roman" w:cs="Times New Roman" w:eastAsia="Times New Roman" w:hAnsi="Times New Roman"/>
                <w:sz w:val="13"/>
                <w:szCs w:val="13"/>
                <w:color w:val="auto"/>
              </w:rPr>
              <w:t>Item 16A.</w:t>
            </w:r>
          </w:p>
        </w:tc>
        <w:tc>
          <w:tcPr>
            <w:tcW w:w="5420" w:type="dxa"/>
            <w:vAlign w:val="bottom"/>
            <w:gridSpan w:val="30"/>
          </w:tcPr>
          <w:p>
            <w:pPr>
              <w:spacing w:after="0"/>
              <w:rPr>
                <w:sz w:val="20"/>
                <w:szCs w:val="20"/>
                <w:color w:val="auto"/>
              </w:rPr>
            </w:pPr>
            <w:r>
              <w:rPr>
                <w:rFonts w:ascii="Times New Roman" w:cs="Times New Roman" w:eastAsia="Times New Roman" w:hAnsi="Times New Roman"/>
                <w:sz w:val="13"/>
                <w:szCs w:val="13"/>
                <w:color w:val="0000EE"/>
              </w:rPr>
              <w:t>Audit Committee Financial Expert</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w:t>
            </w:r>
          </w:p>
        </w:tc>
      </w:tr>
      <w:tr>
        <w:trPr>
          <w:trHeight w:val="213"/>
        </w:trPr>
        <w:tc>
          <w:tcPr>
            <w:tcW w:w="860" w:type="dxa"/>
            <w:vAlign w:val="bottom"/>
            <w:gridSpan w:val="5"/>
          </w:tcPr>
          <w:p>
            <w:pPr>
              <w:ind w:left="260"/>
              <w:spacing w:after="0"/>
              <w:rPr>
                <w:sz w:val="20"/>
                <w:szCs w:val="20"/>
                <w:color w:val="auto"/>
              </w:rPr>
            </w:pPr>
            <w:r>
              <w:rPr>
                <w:rFonts w:ascii="Times New Roman" w:cs="Times New Roman" w:eastAsia="Times New Roman" w:hAnsi="Times New Roman"/>
                <w:sz w:val="13"/>
                <w:szCs w:val="13"/>
                <w:color w:val="auto"/>
              </w:rPr>
              <w:t>Item 16B.</w:t>
            </w:r>
          </w:p>
        </w:tc>
        <w:tc>
          <w:tcPr>
            <w:tcW w:w="178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13"/>
                <w:szCs w:val="13"/>
                <w:color w:val="0000EE"/>
              </w:rPr>
              <w:t>Code of Ethics</w:t>
            </w:r>
          </w:p>
        </w:tc>
        <w:tc>
          <w:tcPr>
            <w:tcW w:w="3640" w:type="dxa"/>
            <w:vAlign w:val="bottom"/>
            <w:gridSpan w:val="16"/>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r>
      <w:tr>
        <w:trPr>
          <w:trHeight w:val="20"/>
        </w:trPr>
        <w:tc>
          <w:tcPr>
            <w:tcW w:w="4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3"/>
        </w:trPr>
        <w:tc>
          <w:tcPr>
            <w:tcW w:w="860" w:type="dxa"/>
            <w:vAlign w:val="bottom"/>
            <w:gridSpan w:val="5"/>
          </w:tcPr>
          <w:p>
            <w:pPr>
              <w:ind w:left="260"/>
              <w:spacing w:after="0"/>
              <w:rPr>
                <w:sz w:val="20"/>
                <w:szCs w:val="20"/>
                <w:color w:val="auto"/>
              </w:rPr>
            </w:pPr>
            <w:r>
              <w:rPr>
                <w:rFonts w:ascii="Times New Roman" w:cs="Times New Roman" w:eastAsia="Times New Roman" w:hAnsi="Times New Roman"/>
                <w:sz w:val="13"/>
                <w:szCs w:val="13"/>
                <w:color w:val="auto"/>
              </w:rPr>
              <w:t>Item 16C.</w:t>
            </w:r>
          </w:p>
        </w:tc>
        <w:tc>
          <w:tcPr>
            <w:tcW w:w="20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3"/>
                <w:szCs w:val="13"/>
                <w:color w:val="0000EE"/>
                <w:w w:val="98"/>
              </w:rPr>
              <w:t>Principal Accountant Fees and Services</w:t>
            </w:r>
          </w:p>
        </w:tc>
        <w:tc>
          <w:tcPr>
            <w:tcW w:w="3360" w:type="dxa"/>
            <w:vAlign w:val="bottom"/>
            <w:gridSpan w:val="15"/>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r>
      <w:tr>
        <w:trPr>
          <w:trHeight w:val="213"/>
        </w:trPr>
        <w:tc>
          <w:tcPr>
            <w:tcW w:w="860" w:type="dxa"/>
            <w:vAlign w:val="bottom"/>
            <w:gridSpan w:val="5"/>
          </w:tcPr>
          <w:p>
            <w:pPr>
              <w:ind w:left="260"/>
              <w:spacing w:after="0"/>
              <w:rPr>
                <w:sz w:val="20"/>
                <w:szCs w:val="20"/>
                <w:color w:val="auto"/>
              </w:rPr>
            </w:pPr>
            <w:r>
              <w:rPr>
                <w:rFonts w:ascii="Times New Roman" w:cs="Times New Roman" w:eastAsia="Times New Roman" w:hAnsi="Times New Roman"/>
                <w:sz w:val="13"/>
                <w:szCs w:val="13"/>
                <w:color w:val="auto"/>
              </w:rPr>
              <w:t>Item 16D.</w:t>
            </w:r>
          </w:p>
        </w:tc>
        <w:tc>
          <w:tcPr>
            <w:tcW w:w="320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3"/>
                <w:szCs w:val="13"/>
                <w:color w:val="0000EE"/>
                <w:w w:val="98"/>
              </w:rPr>
              <w:t>Exemptions from the Listing Standards for Audit Committees</w:t>
            </w:r>
          </w:p>
        </w:tc>
        <w:tc>
          <w:tcPr>
            <w:tcW w:w="2220" w:type="dxa"/>
            <w:vAlign w:val="bottom"/>
            <w:gridSpan w:val="4"/>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r>
      <w:tr>
        <w:trPr>
          <w:trHeight w:val="213"/>
        </w:trPr>
        <w:tc>
          <w:tcPr>
            <w:tcW w:w="860" w:type="dxa"/>
            <w:vAlign w:val="bottom"/>
            <w:gridSpan w:val="5"/>
          </w:tcPr>
          <w:p>
            <w:pPr>
              <w:ind w:left="260"/>
              <w:spacing w:after="0"/>
              <w:rPr>
                <w:sz w:val="20"/>
                <w:szCs w:val="20"/>
                <w:color w:val="auto"/>
              </w:rPr>
            </w:pPr>
            <w:r>
              <w:rPr>
                <w:rFonts w:ascii="Times New Roman" w:cs="Times New Roman" w:eastAsia="Times New Roman" w:hAnsi="Times New Roman"/>
                <w:sz w:val="13"/>
                <w:szCs w:val="13"/>
                <w:color w:val="auto"/>
              </w:rPr>
              <w:t>Item 16E.</w:t>
            </w:r>
          </w:p>
        </w:tc>
        <w:tc>
          <w:tcPr>
            <w:tcW w:w="362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3"/>
                <w:szCs w:val="13"/>
                <w:color w:val="0000EE"/>
                <w:w w:val="99"/>
              </w:rPr>
              <w:t>Purchases of Equity Securities by the Issuer and Affiliated Purchasers</w:t>
            </w:r>
          </w:p>
        </w:tc>
        <w:tc>
          <w:tcPr>
            <w:tcW w:w="1800" w:type="dxa"/>
            <w:vAlign w:val="bottom"/>
            <w:gridSpan w:val="2"/>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r>
      <w:tr>
        <w:trPr>
          <w:trHeight w:val="213"/>
        </w:trPr>
        <w:tc>
          <w:tcPr>
            <w:tcW w:w="860" w:type="dxa"/>
            <w:vAlign w:val="bottom"/>
            <w:gridSpan w:val="5"/>
          </w:tcPr>
          <w:p>
            <w:pPr>
              <w:ind w:left="260"/>
              <w:spacing w:after="0"/>
              <w:rPr>
                <w:sz w:val="20"/>
                <w:szCs w:val="20"/>
                <w:color w:val="auto"/>
              </w:rPr>
            </w:pPr>
            <w:r>
              <w:rPr>
                <w:rFonts w:ascii="Times New Roman" w:cs="Times New Roman" w:eastAsia="Times New Roman" w:hAnsi="Times New Roman"/>
                <w:sz w:val="13"/>
                <w:szCs w:val="13"/>
                <w:color w:val="auto"/>
              </w:rPr>
              <w:t>Item 16F.</w:t>
            </w:r>
          </w:p>
        </w:tc>
        <w:tc>
          <w:tcPr>
            <w:tcW w:w="5420" w:type="dxa"/>
            <w:vAlign w:val="bottom"/>
            <w:gridSpan w:val="30"/>
          </w:tcPr>
          <w:p>
            <w:pPr>
              <w:spacing w:after="0"/>
              <w:rPr>
                <w:sz w:val="20"/>
                <w:szCs w:val="20"/>
                <w:color w:val="auto"/>
              </w:rPr>
            </w:pPr>
            <w:r>
              <w:rPr>
                <w:rFonts w:ascii="Times New Roman" w:cs="Times New Roman" w:eastAsia="Times New Roman" w:hAnsi="Times New Roman"/>
                <w:sz w:val="13"/>
                <w:szCs w:val="13"/>
                <w:color w:val="0000EE"/>
              </w:rPr>
              <w:t>Change in Registrant’s Certifying Accountant</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r>
      <w:tr>
        <w:trPr>
          <w:trHeight w:val="213"/>
        </w:trPr>
        <w:tc>
          <w:tcPr>
            <w:tcW w:w="860" w:type="dxa"/>
            <w:vAlign w:val="bottom"/>
            <w:gridSpan w:val="5"/>
          </w:tcPr>
          <w:p>
            <w:pPr>
              <w:ind w:left="260"/>
              <w:spacing w:after="0"/>
              <w:rPr>
                <w:sz w:val="20"/>
                <w:szCs w:val="20"/>
                <w:color w:val="auto"/>
              </w:rPr>
            </w:pPr>
            <w:r>
              <w:rPr>
                <w:rFonts w:ascii="Times New Roman" w:cs="Times New Roman" w:eastAsia="Times New Roman" w:hAnsi="Times New Roman"/>
                <w:sz w:val="13"/>
                <w:szCs w:val="13"/>
                <w:color w:val="auto"/>
              </w:rPr>
              <w:t>Item 16G.</w:t>
            </w:r>
          </w:p>
        </w:tc>
        <w:tc>
          <w:tcPr>
            <w:tcW w:w="2360" w:type="dxa"/>
            <w:vAlign w:val="bottom"/>
            <w:tcBorders>
              <w:top w:val="single" w:sz="8" w:color="0000EE"/>
            </w:tcBorders>
            <w:gridSpan w:val="19"/>
          </w:tcPr>
          <w:p>
            <w:pPr>
              <w:spacing w:after="0"/>
              <w:rPr>
                <w:sz w:val="20"/>
                <w:szCs w:val="20"/>
                <w:color w:val="auto"/>
              </w:rPr>
            </w:pPr>
            <w:r>
              <w:rPr>
                <w:rFonts w:ascii="Times New Roman" w:cs="Times New Roman" w:eastAsia="Times New Roman" w:hAnsi="Times New Roman"/>
                <w:sz w:val="13"/>
                <w:szCs w:val="13"/>
                <w:color w:val="0000EE"/>
              </w:rPr>
              <w:t>Corporate Governance</w:t>
            </w:r>
          </w:p>
        </w:tc>
        <w:tc>
          <w:tcPr>
            <w:tcW w:w="3060" w:type="dxa"/>
            <w:vAlign w:val="bottom"/>
            <w:gridSpan w:val="11"/>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r>
      <w:tr>
        <w:trPr>
          <w:trHeight w:val="20"/>
        </w:trPr>
        <w:tc>
          <w:tcPr>
            <w:tcW w:w="4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80" w:type="dxa"/>
            <w:vAlign w:val="bottom"/>
            <w:gridSpan w:val="8"/>
          </w:tcPr>
          <w:p>
            <w:pPr>
              <w:spacing w:after="0" w:line="20" w:lineRule="exact"/>
              <w:rPr>
                <w:sz w:val="1"/>
                <w:szCs w:val="1"/>
                <w:color w:val="auto"/>
              </w:rPr>
            </w:pPr>
          </w:p>
        </w:tc>
        <w:tc>
          <w:tcPr>
            <w:tcW w:w="1180" w:type="dxa"/>
            <w:vAlign w:val="bottom"/>
            <w:gridSpan w:val="9"/>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3"/>
        </w:trPr>
        <w:tc>
          <w:tcPr>
            <w:tcW w:w="860" w:type="dxa"/>
            <w:vAlign w:val="bottom"/>
            <w:gridSpan w:val="5"/>
          </w:tcPr>
          <w:p>
            <w:pPr>
              <w:ind w:left="260"/>
              <w:spacing w:after="0"/>
              <w:rPr>
                <w:sz w:val="20"/>
                <w:szCs w:val="20"/>
                <w:color w:val="auto"/>
              </w:rPr>
            </w:pPr>
            <w:r>
              <w:rPr>
                <w:rFonts w:ascii="Times New Roman" w:cs="Times New Roman" w:eastAsia="Times New Roman" w:hAnsi="Times New Roman"/>
                <w:sz w:val="13"/>
                <w:szCs w:val="13"/>
                <w:color w:val="auto"/>
              </w:rPr>
              <w:t>Item 16H.</w:t>
            </w:r>
          </w:p>
        </w:tc>
        <w:tc>
          <w:tcPr>
            <w:tcW w:w="12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3"/>
                <w:szCs w:val="13"/>
                <w:color w:val="0000EE"/>
                <w:w w:val="99"/>
              </w:rPr>
              <w:t>Mine Safety Disclosure</w:t>
            </w:r>
          </w:p>
        </w:tc>
        <w:tc>
          <w:tcPr>
            <w:tcW w:w="4160" w:type="dxa"/>
            <w:vAlign w:val="bottom"/>
            <w:gridSpan w:val="20"/>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w:t>
            </w:r>
          </w:p>
        </w:tc>
      </w:tr>
      <w:tr>
        <w:trPr>
          <w:trHeight w:val="213"/>
        </w:trPr>
        <w:tc>
          <w:tcPr>
            <w:tcW w:w="860" w:type="dxa"/>
            <w:vAlign w:val="bottom"/>
            <w:gridSpan w:val="5"/>
          </w:tcPr>
          <w:p>
            <w:pPr>
              <w:ind w:left="260"/>
              <w:spacing w:after="0"/>
              <w:rPr>
                <w:sz w:val="20"/>
                <w:szCs w:val="20"/>
                <w:color w:val="auto"/>
              </w:rPr>
            </w:pPr>
            <w:r>
              <w:rPr>
                <w:rFonts w:ascii="Times New Roman" w:cs="Times New Roman" w:eastAsia="Times New Roman" w:hAnsi="Times New Roman"/>
                <w:sz w:val="13"/>
                <w:szCs w:val="13"/>
                <w:color w:val="auto"/>
              </w:rPr>
              <w:t>Item 16I.</w:t>
            </w:r>
          </w:p>
        </w:tc>
        <w:tc>
          <w:tcPr>
            <w:tcW w:w="5420" w:type="dxa"/>
            <w:vAlign w:val="bottom"/>
            <w:gridSpan w:val="30"/>
          </w:tcPr>
          <w:p>
            <w:pPr>
              <w:spacing w:after="0"/>
              <w:rPr>
                <w:sz w:val="20"/>
                <w:szCs w:val="20"/>
                <w:color w:val="auto"/>
              </w:rPr>
            </w:pPr>
            <w:r>
              <w:rPr>
                <w:rFonts w:ascii="Times New Roman" w:cs="Times New Roman" w:eastAsia="Times New Roman" w:hAnsi="Times New Roman"/>
                <w:sz w:val="13"/>
                <w:szCs w:val="13"/>
                <w:color w:val="0000EE"/>
              </w:rPr>
              <w:t>Disclosure Regarding Foreign Jurisdictions that Prevent Inspections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w:t>
            </w:r>
          </w:p>
        </w:tc>
      </w:tr>
      <w:tr>
        <w:trPr>
          <w:trHeight w:val="213"/>
        </w:trPr>
        <w:tc>
          <w:tcPr>
            <w:tcW w:w="860" w:type="dxa"/>
            <w:vAlign w:val="bottom"/>
            <w:gridSpan w:val="5"/>
          </w:tcPr>
          <w:p>
            <w:pPr>
              <w:spacing w:after="0"/>
              <w:rPr>
                <w:sz w:val="20"/>
                <w:szCs w:val="20"/>
                <w:color w:val="auto"/>
              </w:rPr>
            </w:pPr>
            <w:r>
              <w:rPr>
                <w:rFonts w:ascii="Times New Roman" w:cs="Times New Roman" w:eastAsia="Times New Roman" w:hAnsi="Times New Roman"/>
                <w:sz w:val="13"/>
                <w:szCs w:val="13"/>
                <w:color w:val="0000EE"/>
              </w:rPr>
              <w:t>PART III</w:t>
            </w: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w:t>
            </w:r>
          </w:p>
        </w:tc>
      </w:tr>
      <w:tr>
        <w:trPr>
          <w:trHeight w:val="20"/>
        </w:trPr>
        <w:tc>
          <w:tcPr>
            <w:tcW w:w="46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gridSpan w:val="12"/>
          </w:tcPr>
          <w:p>
            <w:pPr>
              <w:spacing w:after="0" w:line="20" w:lineRule="exact"/>
              <w:rPr>
                <w:sz w:val="1"/>
                <w:szCs w:val="1"/>
                <w:color w:val="auto"/>
              </w:rPr>
            </w:pPr>
          </w:p>
        </w:tc>
        <w:tc>
          <w:tcPr>
            <w:tcW w:w="3080" w:type="dxa"/>
            <w:vAlign w:val="bottom"/>
            <w:gridSpan w:val="1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3"/>
        </w:trPr>
        <w:tc>
          <w:tcPr>
            <w:tcW w:w="860" w:type="dxa"/>
            <w:vAlign w:val="bottom"/>
            <w:gridSpan w:val="5"/>
          </w:tcPr>
          <w:p>
            <w:pPr>
              <w:ind w:left="260"/>
              <w:spacing w:after="0"/>
              <w:rPr>
                <w:sz w:val="20"/>
                <w:szCs w:val="20"/>
                <w:color w:val="auto"/>
              </w:rPr>
            </w:pPr>
            <w:r>
              <w:rPr>
                <w:rFonts w:ascii="Times New Roman" w:cs="Times New Roman" w:eastAsia="Times New Roman" w:hAnsi="Times New Roman"/>
                <w:sz w:val="13"/>
                <w:szCs w:val="13"/>
                <w:color w:val="auto"/>
              </w:rPr>
              <w:t>Item 17.</w:t>
            </w:r>
          </w:p>
        </w:tc>
        <w:tc>
          <w:tcPr>
            <w:tcW w:w="11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3"/>
                <w:szCs w:val="13"/>
                <w:color w:val="0000EE"/>
                <w:w w:val="99"/>
              </w:rPr>
              <w:t>Financial Statements</w:t>
            </w:r>
          </w:p>
        </w:tc>
        <w:tc>
          <w:tcPr>
            <w:tcW w:w="4300" w:type="dxa"/>
            <w:vAlign w:val="bottom"/>
            <w:gridSpan w:val="24"/>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w:t>
            </w:r>
          </w:p>
        </w:tc>
      </w:tr>
      <w:tr>
        <w:trPr>
          <w:trHeight w:val="213"/>
        </w:trPr>
        <w:tc>
          <w:tcPr>
            <w:tcW w:w="860" w:type="dxa"/>
            <w:vAlign w:val="bottom"/>
            <w:gridSpan w:val="5"/>
          </w:tcPr>
          <w:p>
            <w:pPr>
              <w:ind w:left="260"/>
              <w:spacing w:after="0"/>
              <w:rPr>
                <w:sz w:val="20"/>
                <w:szCs w:val="20"/>
                <w:color w:val="auto"/>
              </w:rPr>
            </w:pPr>
            <w:r>
              <w:rPr>
                <w:rFonts w:ascii="Times New Roman" w:cs="Times New Roman" w:eastAsia="Times New Roman" w:hAnsi="Times New Roman"/>
                <w:sz w:val="13"/>
                <w:szCs w:val="13"/>
                <w:color w:val="auto"/>
              </w:rPr>
              <w:t>Item 18.</w:t>
            </w:r>
          </w:p>
        </w:tc>
        <w:tc>
          <w:tcPr>
            <w:tcW w:w="10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3"/>
                <w:szCs w:val="13"/>
                <w:color w:val="0000EE"/>
                <w:w w:val="97"/>
              </w:rPr>
              <w:t>Financial Statements</w:t>
            </w:r>
          </w:p>
        </w:tc>
        <w:tc>
          <w:tcPr>
            <w:tcW w:w="4340" w:type="dxa"/>
            <w:vAlign w:val="bottom"/>
            <w:gridSpan w:val="25"/>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w:t>
            </w:r>
          </w:p>
        </w:tc>
      </w:tr>
      <w:tr>
        <w:trPr>
          <w:trHeight w:val="213"/>
        </w:trPr>
        <w:tc>
          <w:tcPr>
            <w:tcW w:w="860" w:type="dxa"/>
            <w:vAlign w:val="bottom"/>
            <w:gridSpan w:val="5"/>
          </w:tcPr>
          <w:p>
            <w:pPr>
              <w:ind w:left="260"/>
              <w:spacing w:after="0"/>
              <w:rPr>
                <w:sz w:val="20"/>
                <w:szCs w:val="20"/>
                <w:color w:val="auto"/>
              </w:rPr>
            </w:pPr>
            <w:r>
              <w:rPr>
                <w:rFonts w:ascii="Times New Roman" w:cs="Times New Roman" w:eastAsia="Times New Roman" w:hAnsi="Times New Roman"/>
                <w:sz w:val="13"/>
                <w:szCs w:val="13"/>
                <w:color w:val="auto"/>
              </w:rPr>
              <w:t>Item 19.</w:t>
            </w:r>
          </w:p>
        </w:tc>
        <w:tc>
          <w:tcPr>
            <w:tcW w:w="5420" w:type="dxa"/>
            <w:vAlign w:val="bottom"/>
            <w:gridSpan w:val="30"/>
          </w:tcPr>
          <w:p>
            <w:pPr>
              <w:spacing w:after="0"/>
              <w:rPr>
                <w:sz w:val="20"/>
                <w:szCs w:val="20"/>
                <w:color w:val="auto"/>
              </w:rPr>
            </w:pPr>
            <w:r>
              <w:rPr>
                <w:rFonts w:ascii="Times New Roman" w:cs="Times New Roman" w:eastAsia="Times New Roman" w:hAnsi="Times New Roman"/>
                <w:sz w:val="13"/>
                <w:szCs w:val="13"/>
                <w:color w:val="0000EE"/>
              </w:rPr>
              <w:t>Exhibits</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w:t>
            </w:r>
          </w:p>
        </w:tc>
      </w:tr>
      <w:tr>
        <w:trPr>
          <w:trHeight w:val="213"/>
        </w:trPr>
        <w:tc>
          <w:tcPr>
            <w:tcW w:w="860" w:type="dxa"/>
            <w:vAlign w:val="bottom"/>
            <w:gridSpan w:val="5"/>
          </w:tcPr>
          <w:p>
            <w:pPr>
              <w:spacing w:after="0"/>
              <w:rPr>
                <w:sz w:val="20"/>
                <w:szCs w:val="20"/>
                <w:color w:val="auto"/>
              </w:rPr>
            </w:pPr>
            <w:r>
              <w:rPr>
                <w:rFonts w:ascii="Times New Roman" w:cs="Times New Roman" w:eastAsia="Times New Roman" w:hAnsi="Times New Roman"/>
                <w:sz w:val="13"/>
                <w:szCs w:val="13"/>
                <w:color w:val="0000EE"/>
              </w:rPr>
              <w:t>SIGNATURES</w:t>
            </w: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r>
      <w:tr>
        <w:trPr>
          <w:trHeight w:val="20"/>
        </w:trPr>
        <w:tc>
          <w:tcPr>
            <w:tcW w:w="780" w:type="dxa"/>
            <w:vAlign w:val="bottom"/>
            <w:gridSpan w:val="4"/>
            <w:shd w:val="clear" w:color="auto" w:fill="0000EE"/>
          </w:tcPr>
          <w:p>
            <w:pPr>
              <w:spacing w:after="0" w:line="20" w:lineRule="exact"/>
              <w:rPr>
                <w:sz w:val="1"/>
                <w:szCs w:val="1"/>
                <w:color w:val="auto"/>
              </w:rPr>
            </w:pPr>
          </w:p>
        </w:tc>
        <w:tc>
          <w:tcPr>
            <w:tcW w:w="2420" w:type="dxa"/>
            <w:vAlign w:val="bottom"/>
            <w:gridSpan w:val="19"/>
          </w:tcPr>
          <w:p>
            <w:pPr>
              <w:spacing w:after="0" w:line="20" w:lineRule="exact"/>
              <w:rPr>
                <w:sz w:val="1"/>
                <w:szCs w:val="1"/>
                <w:color w:val="auto"/>
              </w:rPr>
            </w:pPr>
          </w:p>
        </w:tc>
        <w:tc>
          <w:tcPr>
            <w:tcW w:w="3080" w:type="dxa"/>
            <w:vAlign w:val="bottom"/>
            <w:gridSpan w:val="1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3"/>
        </w:trPr>
        <w:tc>
          <w:tcPr>
            <w:tcW w:w="6280" w:type="dxa"/>
            <w:vAlign w:val="bottom"/>
            <w:gridSpan w:val="35"/>
          </w:tcPr>
          <w:p>
            <w:pPr>
              <w:spacing w:after="0"/>
              <w:rPr>
                <w:sz w:val="20"/>
                <w:szCs w:val="20"/>
                <w:color w:val="auto"/>
              </w:rPr>
            </w:pPr>
            <w:r>
              <w:rPr>
                <w:rFonts w:ascii="Times New Roman" w:cs="Times New Roman" w:eastAsia="Times New Roman" w:hAnsi="Times New Roman"/>
                <w:sz w:val="13"/>
                <w:szCs w:val="13"/>
                <w:color w:val="0000EE"/>
              </w:rPr>
              <w:t>INDEX TO CONSOLIDATED FINANCIAL STATEMENTS</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F-1</w:t>
            </w:r>
          </w:p>
        </w:tc>
      </w:tr>
      <w:tr>
        <w:trPr>
          <w:trHeight w:val="271"/>
        </w:trPr>
        <w:tc>
          <w:tcPr>
            <w:tcW w:w="3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40" w:type="dxa"/>
            <w:vAlign w:val="bottom"/>
            <w:gridSpan w:val="6"/>
          </w:tcPr>
          <w:p>
            <w:pPr>
              <w:ind w:left="200"/>
              <w:spacing w:after="0"/>
              <w:rPr>
                <w:sz w:val="20"/>
                <w:szCs w:val="20"/>
                <w:color w:val="auto"/>
              </w:rPr>
            </w:pPr>
            <w:r>
              <w:rPr>
                <w:rFonts w:ascii="Times New Roman" w:cs="Times New Roman" w:eastAsia="Times New Roman" w:hAnsi="Times New Roman"/>
                <w:sz w:val="13"/>
                <w:szCs w:val="13"/>
                <w:color w:val="auto"/>
              </w:rPr>
              <w:t>i</w:t>
            </w:r>
          </w:p>
        </w:tc>
        <w:tc>
          <w:tcPr>
            <w:tcW w:w="1620" w:type="dxa"/>
            <w:vAlign w:val="bottom"/>
          </w:tcPr>
          <w:p>
            <w:pPr>
              <w:spacing w:after="0"/>
              <w:rPr>
                <w:sz w:val="23"/>
                <w:szCs w:val="23"/>
                <w:color w:val="auto"/>
              </w:rPr>
            </w:pPr>
          </w:p>
        </w:tc>
      </w:tr>
    </w:tbl>
    <w:p>
      <w:pPr>
        <w:sectPr>
          <w:pgSz w:w="11900" w:h="16838" w:orient="portrait"/>
          <w:cols w:equalWidth="0" w:num="1">
            <w:col w:w="10159"/>
          </w:cols>
          <w:pgMar w:left="300" w:top="388"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3"/>
          <w:szCs w:val="13"/>
          <w:b w:val="1"/>
          <w:bCs w:val="1"/>
          <w:color w:val="auto"/>
        </w:rPr>
        <w:t>INTRODUCTION</w:t>
      </w:r>
    </w:p>
    <w:p>
      <w:pPr>
        <w:spacing w:after="0" w:line="16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Conventions Used in this Annual Report</w:t>
      </w:r>
    </w:p>
    <w:p>
      <w:pPr>
        <w:spacing w:after="0" w:line="8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In this annual report, unless otherwise indicated or the context otherwise requires, references to:</w:t>
      </w:r>
    </w:p>
    <w:p>
      <w:pPr>
        <w:spacing w:after="0" w:line="94" w:lineRule="exact"/>
        <w:rPr>
          <w:sz w:val="20"/>
          <w:szCs w:val="20"/>
          <w:color w:val="auto"/>
        </w:rPr>
      </w:pPr>
    </w:p>
    <w:p>
      <w:pPr>
        <w:ind w:left="2380" w:hanging="315"/>
        <w:spacing w:after="0"/>
        <w:tabs>
          <w:tab w:leader="none" w:pos="23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“AAVs” are to autonomous aerial vehicles;</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“ADSs” are to the American depositary shares, each of which represents two of our Class A ordinary shares;</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“ADRs” are to the American depositary receipts that evidence the ADSs;</w:t>
      </w:r>
    </w:p>
    <w:p>
      <w:pPr>
        <w:spacing w:after="0" w:line="93" w:lineRule="exact"/>
        <w:rPr>
          <w:rFonts w:ascii="Times New Roman" w:cs="Times New Roman" w:eastAsia="Times New Roman" w:hAnsi="Times New Roman"/>
          <w:sz w:val="13"/>
          <w:szCs w:val="13"/>
          <w:color w:val="auto"/>
        </w:rPr>
      </w:pPr>
    </w:p>
    <w:p>
      <w:pPr>
        <w:ind w:left="2380" w:right="679" w:hanging="315"/>
        <w:spacing w:after="0" w:line="278" w:lineRule="auto"/>
        <w:tabs>
          <w:tab w:leader="none" w:pos="23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“China” and the “PRC” are to the People’s Republic of China, excluding, for the purposes of this annual report only, Hong Kong, Macau and Taiwan;</w:t>
      </w:r>
    </w:p>
    <w:p>
      <w:pPr>
        <w:spacing w:after="0" w:line="52"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“Class A ordinary shares” are to our class A ordinary shares, par value US$0.0001 per share;</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“Class B ordinary shares” are to our class B ordinary shares, par value US$0.0001 per share;</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“Ehfly Technology” are to Ehfly Technology Limited, our wholly-owned Hong Kong subsidiary;</w:t>
      </w:r>
    </w:p>
    <w:p>
      <w:pPr>
        <w:spacing w:after="0" w:line="93" w:lineRule="exact"/>
        <w:rPr>
          <w:rFonts w:ascii="Times New Roman" w:cs="Times New Roman" w:eastAsia="Times New Roman" w:hAnsi="Times New Roman"/>
          <w:sz w:val="13"/>
          <w:szCs w:val="13"/>
          <w:color w:val="auto"/>
        </w:rPr>
      </w:pPr>
    </w:p>
    <w:p>
      <w:pPr>
        <w:ind w:left="2380" w:right="1219" w:hanging="315"/>
        <w:spacing w:after="0" w:line="278" w:lineRule="auto"/>
        <w:tabs>
          <w:tab w:leader="none" w:pos="23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“EHang,” “we,” “us,” “our company” or “our” are to EHang Holdings and its subsidiaries and, in the context of describing our consolidated financial information only, also include the VIE and its subsidiaries;</w:t>
      </w:r>
    </w:p>
    <w:p>
      <w:pPr>
        <w:spacing w:after="0" w:line="52"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“EHang Holdings” are to EHang Holdings Limited, our Cayman Islands holding company;</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“RMB” and “Renminbi” are to the legal currency of China;</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“shares” and “ordinary shares” are to our Class A ordinary shares and Class B ordinary shares;</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“UAM” are to urban air mobility;</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“UAVs” are to unmanned aerial vehicles;</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 “U.S. dollars,” “$,” and “dollars” are to the legal currency of the United States;</w:t>
      </w:r>
    </w:p>
    <w:p>
      <w:pPr>
        <w:spacing w:after="0" w:line="93" w:lineRule="exact"/>
        <w:rPr>
          <w:rFonts w:ascii="Times New Roman" w:cs="Times New Roman" w:eastAsia="Times New Roman" w:hAnsi="Times New Roman"/>
          <w:sz w:val="13"/>
          <w:szCs w:val="13"/>
          <w:color w:val="auto"/>
        </w:rPr>
      </w:pPr>
    </w:p>
    <w:p>
      <w:pPr>
        <w:jc w:val="both"/>
        <w:ind w:left="2380" w:right="599" w:hanging="315"/>
        <w:spacing w:after="0" w:line="264" w:lineRule="auto"/>
        <w:tabs>
          <w:tab w:leader="none" w:pos="23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“VIE” and “EHang GZ” are to Guangzhou EHang Intelligent Technology Co., Ltd., a company incorporated in China that has entered into a series of contractual arrangement with our wholly-owned PRC subsidiary, and we refer to the VIE and its subsidiaries collectively as the VIEs or consolidated affiliated entities; and</w:t>
      </w:r>
    </w:p>
    <w:p>
      <w:pPr>
        <w:spacing w:after="0" w:line="61"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“WFOE” and “EHang Intelligent” are to EHang Intelligent Equipment (Guangzhou) Co., Ltd., our wholly-owned PRC subsidiary.</w:t>
      </w:r>
    </w:p>
    <w:p>
      <w:pPr>
        <w:spacing w:after="0" w:line="162" w:lineRule="exact"/>
        <w:rPr>
          <w:sz w:val="20"/>
          <w:szCs w:val="20"/>
          <w:color w:val="auto"/>
        </w:rPr>
      </w:pPr>
    </w:p>
    <w:p>
      <w:pPr>
        <w:ind w:left="1680" w:right="579" w:firstLine="317"/>
        <w:spacing w:after="0" w:line="254" w:lineRule="auto"/>
        <w:rPr>
          <w:sz w:val="20"/>
          <w:szCs w:val="20"/>
          <w:color w:val="auto"/>
        </w:rPr>
      </w:pPr>
      <w:r>
        <w:rPr>
          <w:rFonts w:ascii="Times New Roman" w:cs="Times New Roman" w:eastAsia="Times New Roman" w:hAnsi="Times New Roman"/>
          <w:sz w:val="13"/>
          <w:szCs w:val="13"/>
          <w:color w:val="auto"/>
        </w:rPr>
        <w:t>Our reporting currency is the Renminbi because our business is mainly conducted in China and substantially all of our revenues are denominated in Renminbi. This annual report contains translations of Renminbi amounts into U.S. dollars at specific rates solely for the convenience of the reader. The translations of Renminbi amounts into U.S. dollars in this annual report is based on the rate certified for customs purposes by the Federal Reserve Bank of New York. Unless otherwise noted, all translations from Renminbi amounts into U.S. dollars and from U.S. dollars to Renminbi amounts in this annual report were made at a rate of RMB6.3726 to US$1.00, the noon buying rate in effect as of December 30, 2021 set forth in the H.10 statistical release of the U.S. Federal Reserve Board. We make no representation that any Renminbi or U.S. dollar amounts could have been, or could be, converted into U.S. dollars or Renminbi, as the case may be, at any particular rate, or at all.</w:t>
      </w:r>
    </w:p>
    <w:p>
      <w:pPr>
        <w:spacing w:after="0" w:line="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10159"/>
          </w:cols>
          <w:pgMar w:left="300" w:top="388"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3"/>
          <w:szCs w:val="13"/>
          <w:b w:val="1"/>
          <w:bCs w:val="1"/>
          <w:color w:val="auto"/>
        </w:rPr>
        <w:t>FORWARD-LOOKING INFORMATION</w:t>
      </w:r>
    </w:p>
    <w:p>
      <w:pPr>
        <w:spacing w:after="0" w:line="24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Special Note Regarding Forward-Looking Statements</w:t>
      </w:r>
    </w:p>
    <w:p>
      <w:pPr>
        <w:spacing w:after="0" w:line="86" w:lineRule="exact"/>
        <w:rPr>
          <w:sz w:val="20"/>
          <w:szCs w:val="20"/>
          <w:color w:val="auto"/>
        </w:rPr>
      </w:pPr>
    </w:p>
    <w:p>
      <w:pPr>
        <w:ind w:left="1680" w:right="679" w:firstLine="317"/>
        <w:spacing w:after="0" w:line="255" w:lineRule="auto"/>
        <w:rPr>
          <w:sz w:val="20"/>
          <w:szCs w:val="20"/>
          <w:color w:val="auto"/>
        </w:rPr>
      </w:pPr>
      <w:r>
        <w:rPr>
          <w:rFonts w:ascii="Times New Roman" w:cs="Times New Roman" w:eastAsia="Times New Roman" w:hAnsi="Times New Roman"/>
          <w:sz w:val="13"/>
          <w:szCs w:val="13"/>
          <w:color w:val="auto"/>
        </w:rPr>
        <w:t>This annual report contains forward-looking statements that reflect our current expectations and views of future events. These forward-looking statements are made under the “safe-harbor” provisions of the U.S. Private Securities Litigation Reform Act of 1995. Known and unknown risks, uncertainties and other factors, including those listed under “Item 3. Key Information—D. Risk Factors,” may cause our actual results, performance or achievements to be materially different from those expressed or implied by the forward-looking statements. These statements involve known and unknown risks, uncertainties and other factors that may cause our actual results, performance or achievements to be materially different from those expressed or implied by the forward-looking statements.</w:t>
      </w:r>
    </w:p>
    <w:p>
      <w:pPr>
        <w:spacing w:after="0" w:line="136" w:lineRule="exact"/>
        <w:rPr>
          <w:sz w:val="20"/>
          <w:szCs w:val="20"/>
          <w:color w:val="auto"/>
        </w:rPr>
      </w:pPr>
    </w:p>
    <w:p>
      <w:pPr>
        <w:ind w:left="1680" w:right="599" w:firstLine="317"/>
        <w:spacing w:after="0" w:line="259" w:lineRule="auto"/>
        <w:rPr>
          <w:sz w:val="20"/>
          <w:szCs w:val="20"/>
          <w:color w:val="auto"/>
        </w:rPr>
      </w:pPr>
      <w:r>
        <w:rPr>
          <w:rFonts w:ascii="Times New Roman" w:cs="Times New Roman" w:eastAsia="Times New Roman" w:hAnsi="Times New Roman"/>
          <w:sz w:val="13"/>
          <w:szCs w:val="13"/>
          <w:color w:val="auto"/>
        </w:rPr>
        <w:t>You can identify these forward-looking statements by words or phrases such as “may,” “will,” “expect,” “anticipate,” “aim,” “estimate,” “intend,” “plan,” “believe,” “likely to,” “potential,” “continue” or other similar expressions. We have based these forward-looking statements largely on our current expectations and projections about future events and trends that we believe may affect our financial condition, results of operations, business strategy and financial needs. These forward-looking statements include, but are not limited to, statements about:</w:t>
      </w:r>
    </w:p>
    <w:p>
      <w:pPr>
        <w:spacing w:after="0" w:line="65" w:lineRule="exact"/>
        <w:rPr>
          <w:sz w:val="20"/>
          <w:szCs w:val="20"/>
          <w:color w:val="auto"/>
        </w:rPr>
      </w:pPr>
    </w:p>
    <w:p>
      <w:pPr>
        <w:ind w:left="2380" w:hanging="315"/>
        <w:spacing w:after="0"/>
        <w:tabs>
          <w:tab w:leader="none" w:pos="23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goals and strategies;</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future business development, financial condition and results of operations;</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trends in and expected growth of the PRC and global UAV industry;</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expectations regarding the demand for and market acceptance of our products and services;</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expectations regarding our relationships with distributors, customers, component suppliers, strategic partners and other stakeholders;</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expectations regarding our capacity to develop, manufacture and delivery AAV products in fulfilment of our contractual commitments;</w:t>
      </w:r>
    </w:p>
    <w:p>
      <w:pPr>
        <w:spacing w:after="0" w:line="105" w:lineRule="exact"/>
        <w:rPr>
          <w:rFonts w:ascii="Times New Roman" w:cs="Times New Roman" w:eastAsia="Times New Roman" w:hAnsi="Times New Roman"/>
          <w:sz w:val="12"/>
          <w:szCs w:val="12"/>
          <w:color w:val="auto"/>
        </w:rPr>
      </w:pPr>
    </w:p>
    <w:p>
      <w:pPr>
        <w:ind w:left="2380" w:hanging="315"/>
        <w:spacing w:after="0"/>
        <w:tabs>
          <w:tab w:leader="none" w:pos="23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competition in our industry;</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impact of the COVID-19 pandemic;</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relevant government policies and regulations relating to our industry; and</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assumptions underlying or related to any of the foregoing.</w:t>
      </w:r>
    </w:p>
    <w:p>
      <w:pPr>
        <w:spacing w:after="0" w:line="162" w:lineRule="exact"/>
        <w:rPr>
          <w:sz w:val="20"/>
          <w:szCs w:val="20"/>
          <w:color w:val="auto"/>
        </w:rPr>
      </w:pPr>
    </w:p>
    <w:p>
      <w:pPr>
        <w:ind w:left="1680" w:right="559" w:firstLine="317"/>
        <w:spacing w:after="0" w:line="254" w:lineRule="auto"/>
        <w:rPr>
          <w:sz w:val="20"/>
          <w:szCs w:val="20"/>
          <w:color w:val="auto"/>
        </w:rPr>
      </w:pPr>
      <w:r>
        <w:rPr>
          <w:rFonts w:ascii="Times New Roman" w:cs="Times New Roman" w:eastAsia="Times New Roman" w:hAnsi="Times New Roman"/>
          <w:sz w:val="13"/>
          <w:szCs w:val="13"/>
          <w:color w:val="auto"/>
        </w:rPr>
        <w:t>These forward-looking statements involve various risks and uncertainties. You should read thoroughly this annual report and the documents that we refer to with the understanding that our actual future results may be materially different from, or worse than, what we expect. Other sections of this annual report include additional factors that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38" w:lineRule="exact"/>
        <w:rPr>
          <w:sz w:val="20"/>
          <w:szCs w:val="20"/>
          <w:color w:val="auto"/>
        </w:rPr>
      </w:pPr>
    </w:p>
    <w:p>
      <w:pPr>
        <w:ind w:left="1680" w:right="659" w:firstLine="317"/>
        <w:spacing w:after="0" w:line="254" w:lineRule="auto"/>
        <w:rPr>
          <w:sz w:val="20"/>
          <w:szCs w:val="20"/>
          <w:color w:val="auto"/>
        </w:rPr>
      </w:pPr>
      <w:r>
        <w:rPr>
          <w:rFonts w:ascii="Times New Roman" w:cs="Times New Roman" w:eastAsia="Times New Roman" w:hAnsi="Times New Roman"/>
          <w:sz w:val="13"/>
          <w:szCs w:val="13"/>
          <w:color w:val="auto"/>
        </w:rPr>
        <w:t>This annual report contains certain data and information that we obtained from various government and private publications. Statistical data in these publications also include projections based on a number of assumptions. The AAV industry may not grow at the rate projected by market data, or at all. Failure of this market to grow at the projected rate may have a material adverse effect on our business and the market price of our ADSs. In addition, the rapidly evolving nature of the AAV industry results in significant uncertainties for any projections or estimates relating to the growth prospects or future condition of our market. Furthermore, if any one or more of the assumptions underlying the market data are later found to be incorrect, actual results may differ from the projections based on these assumptions. You should not place undue reliance on these forward-looking statements.</w:t>
      </w:r>
    </w:p>
    <w:p>
      <w:pPr>
        <w:spacing w:after="0" w:line="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10159"/>
          </w:cols>
          <w:pgMar w:left="300" w:top="388"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579" w:firstLine="317"/>
        <w:spacing w:after="0" w:line="257" w:lineRule="auto"/>
        <w:rPr>
          <w:sz w:val="20"/>
          <w:szCs w:val="20"/>
          <w:color w:val="auto"/>
        </w:rPr>
      </w:pPr>
      <w:r>
        <w:rPr>
          <w:rFonts w:ascii="Times New Roman" w:cs="Times New Roman" w:eastAsia="Times New Roman" w:hAnsi="Times New Roman"/>
          <w:sz w:val="13"/>
          <w:szCs w:val="13"/>
          <w:color w:val="auto"/>
        </w:rPr>
        <w:t>You should not rely upon forward-looking statements as predictions of future events. We undertake no obligation to update or revise any forward-looking statements, whether as a result of new information, future events or otherwise, after the date on which the statements are made or to reflect the occurrence of unanticipated events. You should read this annual report and the documents that we refer to in this annual report and have filed as exhibits to this annual report, of which this annual report is a part, completely and with the understanding that our actual future results may be materially different from, or worse than, what we expect.</w:t>
      </w:r>
    </w:p>
    <w:p>
      <w:pPr>
        <w:spacing w:after="0" w:line="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10159"/>
          </w:cols>
          <w:pgMar w:left="300" w:top="388"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3"/>
          <w:szCs w:val="13"/>
          <w:b w:val="1"/>
          <w:bCs w:val="1"/>
          <w:color w:val="auto"/>
        </w:rPr>
        <w:t>PART I</w:t>
      </w:r>
    </w:p>
    <w:p>
      <w:pPr>
        <w:spacing w:after="0" w:line="94" w:lineRule="exact"/>
        <w:rPr>
          <w:sz w:val="20"/>
          <w:szCs w:val="20"/>
          <w:color w:val="auto"/>
        </w:rPr>
      </w:pPr>
    </w:p>
    <w:p>
      <w:pPr>
        <w:ind w:left="1680"/>
        <w:spacing w:after="0"/>
        <w:tabs>
          <w:tab w:leader="none" w:pos="2360" w:val="left"/>
        </w:tabs>
        <w:rPr>
          <w:sz w:val="20"/>
          <w:szCs w:val="20"/>
          <w:color w:val="auto"/>
        </w:rPr>
      </w:pPr>
      <w:r>
        <w:rPr>
          <w:rFonts w:ascii="Times New Roman" w:cs="Times New Roman" w:eastAsia="Times New Roman" w:hAnsi="Times New Roman"/>
          <w:sz w:val="13"/>
          <w:szCs w:val="13"/>
          <w:b w:val="1"/>
          <w:bCs w:val="1"/>
          <w:color w:val="auto"/>
        </w:rPr>
        <w:t>Item 1.</w:t>
      </w:r>
      <w:r>
        <w:rPr>
          <w:sz w:val="20"/>
          <w:szCs w:val="20"/>
          <w:color w:val="auto"/>
        </w:rPr>
        <w:tab/>
      </w:r>
      <w:r>
        <w:rPr>
          <w:rFonts w:ascii="Times New Roman" w:cs="Times New Roman" w:eastAsia="Times New Roman" w:hAnsi="Times New Roman"/>
          <w:sz w:val="12"/>
          <w:szCs w:val="12"/>
          <w:b w:val="1"/>
          <w:bCs w:val="1"/>
          <w:color w:val="auto"/>
        </w:rPr>
        <w:t>Identity of Directors, Senior Management and Advisers</w:t>
      </w:r>
    </w:p>
    <w:p>
      <w:pPr>
        <w:spacing w:after="0" w:line="8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Not applicable.</w:t>
      </w:r>
    </w:p>
    <w:p>
      <w:pPr>
        <w:spacing w:after="0" w:line="267" w:lineRule="exact"/>
        <w:rPr>
          <w:sz w:val="20"/>
          <w:szCs w:val="20"/>
          <w:color w:val="auto"/>
        </w:rPr>
      </w:pPr>
    </w:p>
    <w:p>
      <w:pPr>
        <w:ind w:left="1680"/>
        <w:spacing w:after="0"/>
        <w:tabs>
          <w:tab w:leader="none" w:pos="2360" w:val="left"/>
        </w:tabs>
        <w:rPr>
          <w:sz w:val="20"/>
          <w:szCs w:val="20"/>
          <w:color w:val="auto"/>
        </w:rPr>
      </w:pPr>
      <w:r>
        <w:rPr>
          <w:rFonts w:ascii="Times New Roman" w:cs="Times New Roman" w:eastAsia="Times New Roman" w:hAnsi="Times New Roman"/>
          <w:sz w:val="13"/>
          <w:szCs w:val="13"/>
          <w:b w:val="1"/>
          <w:bCs w:val="1"/>
          <w:color w:val="auto"/>
        </w:rPr>
        <w:t>Item 2.</w:t>
      </w:r>
      <w:r>
        <w:rPr>
          <w:sz w:val="20"/>
          <w:szCs w:val="20"/>
          <w:color w:val="auto"/>
        </w:rPr>
        <w:tab/>
      </w:r>
      <w:r>
        <w:rPr>
          <w:rFonts w:ascii="Times New Roman" w:cs="Times New Roman" w:eastAsia="Times New Roman" w:hAnsi="Times New Roman"/>
          <w:sz w:val="13"/>
          <w:szCs w:val="13"/>
          <w:b w:val="1"/>
          <w:bCs w:val="1"/>
          <w:color w:val="auto"/>
        </w:rPr>
        <w:t>Offer Statistics and Expected Timetable</w:t>
      </w:r>
    </w:p>
    <w:p>
      <w:pPr>
        <w:spacing w:after="0" w:line="8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Not applicable.</w:t>
      </w:r>
    </w:p>
    <w:p>
      <w:pPr>
        <w:spacing w:after="0" w:line="267" w:lineRule="exact"/>
        <w:rPr>
          <w:sz w:val="20"/>
          <w:szCs w:val="20"/>
          <w:color w:val="auto"/>
        </w:rPr>
      </w:pPr>
    </w:p>
    <w:p>
      <w:pPr>
        <w:ind w:left="1680"/>
        <w:spacing w:after="0"/>
        <w:tabs>
          <w:tab w:leader="none" w:pos="2360" w:val="left"/>
        </w:tabs>
        <w:rPr>
          <w:sz w:val="20"/>
          <w:szCs w:val="20"/>
          <w:color w:val="auto"/>
        </w:rPr>
      </w:pPr>
      <w:r>
        <w:rPr>
          <w:rFonts w:ascii="Times New Roman" w:cs="Times New Roman" w:eastAsia="Times New Roman" w:hAnsi="Times New Roman"/>
          <w:sz w:val="13"/>
          <w:szCs w:val="13"/>
          <w:b w:val="1"/>
          <w:bCs w:val="1"/>
          <w:color w:val="auto"/>
        </w:rPr>
        <w:t>Item 3.</w:t>
      </w:r>
      <w:r>
        <w:rPr>
          <w:sz w:val="20"/>
          <w:szCs w:val="20"/>
          <w:color w:val="auto"/>
        </w:rPr>
        <w:tab/>
      </w:r>
      <w:r>
        <w:rPr>
          <w:rFonts w:ascii="Times New Roman" w:cs="Times New Roman" w:eastAsia="Times New Roman" w:hAnsi="Times New Roman"/>
          <w:sz w:val="13"/>
          <w:szCs w:val="13"/>
          <w:b w:val="1"/>
          <w:bCs w:val="1"/>
          <w:color w:val="auto"/>
        </w:rPr>
        <w:t>Key Information</w:t>
      </w:r>
    </w:p>
    <w:p>
      <w:pPr>
        <w:spacing w:after="0" w:line="8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Our Corporate Structure and Contractual Arrangements with the VIE and its Shareholders</w:t>
      </w:r>
    </w:p>
    <w:p>
      <w:pPr>
        <w:spacing w:after="0" w:line="88" w:lineRule="exact"/>
        <w:rPr>
          <w:sz w:val="20"/>
          <w:szCs w:val="20"/>
          <w:color w:val="auto"/>
        </w:rPr>
      </w:pPr>
    </w:p>
    <w:p>
      <w:pPr>
        <w:ind w:left="1680" w:right="579" w:firstLine="317"/>
        <w:spacing w:after="0" w:line="251" w:lineRule="auto"/>
        <w:rPr>
          <w:sz w:val="20"/>
          <w:szCs w:val="20"/>
          <w:color w:val="auto"/>
        </w:rPr>
      </w:pPr>
      <w:r>
        <w:rPr>
          <w:rFonts w:ascii="Times New Roman" w:cs="Times New Roman" w:eastAsia="Times New Roman" w:hAnsi="Times New Roman"/>
          <w:sz w:val="13"/>
          <w:szCs w:val="13"/>
          <w:color w:val="auto"/>
        </w:rPr>
        <w:t>EHang Holdings Limited is not a PRC operating company but a Cayman Islands holding company conducting operations in China primarily through our PRC subsidiaries, including EHang Intelligent Equipment (Guangzhou) Co., Ltd., or EHang Intelligent, with some operations conducted through Guangzhou EHang Intelligent Technology Co., Ltd., or EHang GZ, a variable interest entity, or VIE, and its subsidiaries. PRC laws and regulations impose certain restrictions or prohibitions on foreign ownership of companies in the UAM industry. Pursuant to the latest version of the “negative list,” namely, the Special Management Measures (Negative List) for the Access of Foreign Investment (2021), which became effective on January 1, 2022, our principal business does not fall into the “restricted” or “prohibited” categories. However, the VIE’s business may expand to operate the commercial general aviation businesses, in which foreign investment is restricted. Accordingly, we conduct some of our operations in China through EHang GZ, or the VIE, and its subsidiaries, and rely on contractual arrangements among our PRC subsidiary, the VIE and its shareholders to control the business operations of the VIE. Revenues contributed by the VIE and its subsidiaries accounted for 25.0%, 19.6% and 0.4% of our consolidated revenues for the years ended December 31, 2019, 2020 and 2021, respectively. As used in this annual report, (i) “EHang GZ,” “variable interest entity” or “VIE” refers to Guangzhou EHang Intelligent Technology Co., Ltd., a company incorporated in the People’s Republic of China; (ii) “EHang Intelligent” or “WFOE” refers to EHang Intelligent Equipment (Guangzhou) Co., Ltd., our wholly-owned PRC subsidiary; (iii) “Ehfly Technology” refers to Ehfly Technology Limited, our wholly-owned Hong Kong subsidiary; (iv) “EHang Holdings” refers to EHang Holdings Limited, our Cayman Islands holding company; and (v) “EHang,” “we,” “us,” “our company,” or “our” refers to EHang Holdings Limited and its subsidiaries and, in the context of describing our consolidated financial information, also includes EHang GZ and its subsidiaries. Investors in our ADSs are not purchasing equity interest in the VIE or its subsidiaries but instead are purchasing equity interest in a Cayman Islands holding company.</w:t>
      </w:r>
    </w:p>
    <w:p>
      <w:pPr>
        <w:spacing w:after="0" w:line="14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Our WFOE has entered into a series of contractual arrangements with the VIE and its shareholders. These agreements enable us to:</w:t>
      </w:r>
    </w:p>
    <w:p>
      <w:pPr>
        <w:spacing w:after="0" w:line="94" w:lineRule="exact"/>
        <w:rPr>
          <w:sz w:val="20"/>
          <w:szCs w:val="20"/>
          <w:color w:val="auto"/>
        </w:rPr>
      </w:pPr>
    </w:p>
    <w:p>
      <w:pPr>
        <w:ind w:left="2380" w:hanging="315"/>
        <w:spacing w:after="0"/>
        <w:tabs>
          <w:tab w:leader="none" w:pos="23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exercise effective control over EHang GZ;</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receive economic benefits from EHang GZ that potentially could be significant to EHang GZ; and</w:t>
      </w:r>
    </w:p>
    <w:p>
      <w:pPr>
        <w:spacing w:after="0" w:line="93" w:lineRule="exact"/>
        <w:rPr>
          <w:rFonts w:ascii="Times New Roman" w:cs="Times New Roman" w:eastAsia="Times New Roman" w:hAnsi="Times New Roman"/>
          <w:sz w:val="13"/>
          <w:szCs w:val="13"/>
          <w:color w:val="auto"/>
        </w:rPr>
      </w:pPr>
    </w:p>
    <w:p>
      <w:pPr>
        <w:ind w:left="2380" w:right="699" w:hanging="315"/>
        <w:spacing w:after="0" w:line="278" w:lineRule="auto"/>
        <w:tabs>
          <w:tab w:leader="none" w:pos="23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have an exclusive option to purchase all or part of the equity interests and assets in EHang GZ, when and to the extent permitted by PRC laws.</w:t>
      </w:r>
    </w:p>
    <w:p>
      <w:pPr>
        <w:spacing w:after="0" w:line="121" w:lineRule="exact"/>
        <w:rPr>
          <w:sz w:val="20"/>
          <w:szCs w:val="20"/>
          <w:color w:val="auto"/>
        </w:rPr>
      </w:pPr>
    </w:p>
    <w:p>
      <w:pPr>
        <w:ind w:left="1680" w:right="679" w:firstLine="317"/>
        <w:spacing w:after="0" w:line="257" w:lineRule="auto"/>
        <w:rPr>
          <w:sz w:val="20"/>
          <w:szCs w:val="20"/>
          <w:color w:val="auto"/>
        </w:rPr>
      </w:pPr>
      <w:r>
        <w:rPr>
          <w:rFonts w:ascii="Times New Roman" w:cs="Times New Roman" w:eastAsia="Times New Roman" w:hAnsi="Times New Roman"/>
          <w:sz w:val="13"/>
          <w:szCs w:val="13"/>
          <w:color w:val="auto"/>
        </w:rPr>
        <w:t>These contractual arrangements among our WFOE, the VIE and its shareholders include shareholders voting proxy agreements, exclusive consulting and services agreements, exclusive option agreements, loan agreements, and share pledge agreements. As a result of these contractual arrangements, we have control over and are the primary beneficiary of the VIE and its subsidiaries and hence consolidate their financial results under U.S. GAAP. For more details of these contractual arrangements, see “Item 4. Information on the Company—C. Organizational Structure—Contractual Arrangements with the VIE and its Shareholders.”</w:t>
      </w:r>
    </w:p>
    <w:p>
      <w:pPr>
        <w:spacing w:after="0" w:line="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10159"/>
          </w:cols>
          <w:pgMar w:left="300" w:top="388"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679" w:firstLine="317"/>
        <w:spacing w:after="0" w:line="253" w:lineRule="auto"/>
        <w:rPr>
          <w:sz w:val="20"/>
          <w:szCs w:val="20"/>
          <w:color w:val="auto"/>
        </w:rPr>
      </w:pPr>
      <w:r>
        <w:rPr>
          <w:rFonts w:ascii="Times New Roman" w:cs="Times New Roman" w:eastAsia="Times New Roman" w:hAnsi="Times New Roman"/>
          <w:sz w:val="13"/>
          <w:szCs w:val="13"/>
          <w:color w:val="auto"/>
        </w:rPr>
        <w:t>However, the contractual arrangements may not be as effective as direct ownership in providing us with control over the VIE and we may incur substantial costs to enforce the terms of the agreements. If the VIE or its shareholders fail to perform their respective obligations under the contractual arrangements, we could be limited in our ability to enforce the contractual arrangements that give us effective control over the VIE, and these agreements have not been tested in China courts. Furthermore, if we are unable to maintain effective control, we would not be able to continue to consolidate the financial results of these entities in our financial statements. Please see “Item 3. Key Information—D. Risk Factors—Risks Relating to Our Corporate Structure—We rely on contractual arrangements with the VIE and its shareholders for a large portion of our business operations, which may not be as effective as direct ownership in providing operational control” and “Item 3. Key Information—D. Risk Factors—Risks Relating to Our Corporate Structure—The shareholders of the VIE may have potential conflicts of interest with us, which may materially and adversely affect our business and financial condition.”</w:t>
      </w:r>
    </w:p>
    <w:p>
      <w:pPr>
        <w:spacing w:after="0" w:line="138" w:lineRule="exact"/>
        <w:rPr>
          <w:sz w:val="20"/>
          <w:szCs w:val="20"/>
          <w:color w:val="auto"/>
        </w:rPr>
      </w:pPr>
    </w:p>
    <w:p>
      <w:pPr>
        <w:ind w:left="1680" w:right="539" w:firstLine="317"/>
        <w:spacing w:after="0" w:line="253" w:lineRule="auto"/>
        <w:rPr>
          <w:sz w:val="20"/>
          <w:szCs w:val="20"/>
          <w:color w:val="auto"/>
        </w:rPr>
      </w:pPr>
      <w:r>
        <w:rPr>
          <w:rFonts w:ascii="Times New Roman" w:cs="Times New Roman" w:eastAsia="Times New Roman" w:hAnsi="Times New Roman"/>
          <w:sz w:val="13"/>
          <w:szCs w:val="13"/>
          <w:color w:val="auto"/>
        </w:rPr>
        <w:t>There are also substantial uncertainties regarding the interpretation and application of current and future PRC laws, regulations and rules regarding the status of the rights of our Cayman Islands holding company with respect to the contractual arrangements with the VIE and its shareholders. It is uncertain whether any new PRC laws or regulations relating to variable interest entity structures will be adopted or if adopted, what they would provide. If we or the VIE is found to be in violation of any existing or future PRC laws or regulations, or fail to obtain or maintain any of the required permits or approvals, the relevant PRC regulatory authorities would have broad discretion in accordance with the applicable laws and regulations to take action in dealing with such violations or failures. Please see “Item 3. Key Information—D. Risk Factors—Risks Relating to Our Corporate Structure—If the PRC government finds that the agreements that establish the structure for operating some of our operations in China do not comply with PRC regulations relating to the relevant industries, or if these regulations or the interpretation of existing regulations change in the future, we could be subject to severe penalties or be forced to relinquish our interests in those operations” and “Item 3. Key Information—D. Risk Factors—Risks Relating to Our Corporate Structure—Our business may be significantly affected by the Foreign Investment Law.”</w:t>
      </w:r>
    </w:p>
    <w:p>
      <w:pPr>
        <w:spacing w:after="0" w:line="136" w:lineRule="exact"/>
        <w:rPr>
          <w:sz w:val="20"/>
          <w:szCs w:val="20"/>
          <w:color w:val="auto"/>
        </w:rPr>
      </w:pPr>
    </w:p>
    <w:p>
      <w:pPr>
        <w:ind w:left="1680" w:right="559" w:firstLine="317"/>
        <w:spacing w:after="0" w:line="253" w:lineRule="auto"/>
        <w:rPr>
          <w:sz w:val="20"/>
          <w:szCs w:val="20"/>
          <w:color w:val="auto"/>
        </w:rPr>
      </w:pPr>
      <w:r>
        <w:rPr>
          <w:rFonts w:ascii="Times New Roman" w:cs="Times New Roman" w:eastAsia="Times New Roman" w:hAnsi="Times New Roman"/>
          <w:sz w:val="13"/>
          <w:szCs w:val="13"/>
          <w:color w:val="auto"/>
        </w:rPr>
        <w:t>Our corporate structure is subject to risks associated with our contractual arrangements with the VIE. Investors may never have a direct ownership interest in the businesses that are conducted by the VIE. Uncertainties in the PRC legal system could limit our ability to enforce these contractual arrangements, and these contractual arrangements have not been tested in a court of law. If the PRC government finds that the agreements that establish the structure for operating our business in China do not comply with PRC laws and regulations, or if these regulations or the interpretation of existing regulations change or are interpreted differently in the future, we and the VIE could be subject to severe penalties or be forced to relinquish our interests in those operations. Our holding company, our WFOE, the VIE, and investors of our company face uncertainty about potential future actions by the PRC government that could affect the enforceability of the contractual arrangements with the VIE and, consequently, significantly affect the financial performance of the VIE and our company as a whole.</w:t>
      </w:r>
    </w:p>
    <w:p>
      <w:pPr>
        <w:spacing w:after="0" w:line="140" w:lineRule="exact"/>
        <w:rPr>
          <w:sz w:val="20"/>
          <w:szCs w:val="20"/>
          <w:color w:val="auto"/>
        </w:rPr>
      </w:pPr>
    </w:p>
    <w:p>
      <w:pPr>
        <w:ind w:left="1680" w:right="579" w:firstLine="317"/>
        <w:spacing w:after="0" w:line="253" w:lineRule="auto"/>
        <w:rPr>
          <w:sz w:val="20"/>
          <w:szCs w:val="20"/>
          <w:color w:val="auto"/>
        </w:rPr>
      </w:pPr>
      <w:r>
        <w:rPr>
          <w:rFonts w:ascii="Times New Roman" w:cs="Times New Roman" w:eastAsia="Times New Roman" w:hAnsi="Times New Roman"/>
          <w:sz w:val="13"/>
          <w:szCs w:val="13"/>
          <w:color w:val="auto"/>
        </w:rPr>
        <w:t>We and the VIE face various legal and operational risks and uncertainties related to doing business in China. Some of our business operations are conducted in China through the VIE, and we and the VIE are subject to complex and evolving PRC laws and regulations. For example, we and the VIE face risks associated with regulatory approvals on offshore offerings, the use of variable interest entities, anti-monopoly regulatory actions, and oversight on cybersecurity and data privacy, as well as the lack of inspection by the Public Company Accounting Oversight Board, or PCAOB, on our auditors, which may impact our ability to conduct certain businesses, accept foreign investments, or list on a U.S. or other foreign exchange. These risks could result in a material adverse change in our operations and the value of the ADSs, significantly limit or completely hinder our ability to offer or continue to offer securities to investors and cause such securities to significantly decline in value. For a detailed description of risks related to doing business in China, “Item 3. Key Information—D. Risk Factors—Risks Relating to Doing Business in China.”</w:t>
      </w:r>
    </w:p>
    <w:p>
      <w:pPr>
        <w:spacing w:after="0" w:line="140" w:lineRule="exact"/>
        <w:rPr>
          <w:sz w:val="20"/>
          <w:szCs w:val="20"/>
          <w:color w:val="auto"/>
        </w:rPr>
      </w:pPr>
    </w:p>
    <w:p>
      <w:pPr>
        <w:ind w:left="1680" w:right="659" w:firstLine="317"/>
        <w:spacing w:after="0" w:line="255" w:lineRule="auto"/>
        <w:rPr>
          <w:sz w:val="20"/>
          <w:szCs w:val="20"/>
          <w:color w:val="auto"/>
        </w:rPr>
      </w:pPr>
      <w:r>
        <w:rPr>
          <w:rFonts w:ascii="Times New Roman" w:cs="Times New Roman" w:eastAsia="Times New Roman" w:hAnsi="Times New Roman"/>
          <w:sz w:val="13"/>
          <w:szCs w:val="13"/>
          <w:color w:val="auto"/>
        </w:rPr>
        <w:t>PRC government’s significant authority in regulating our operations and its oversight and control over offerings conducted overseas by, and foreign investment in, China-based issuers could significantly limit or completely hinder our ability to offer or continue to offer securities to investors. Implementation of industry-wide regulations, including data security or anti-monopoly related regulations, in this nature may cause the value of such securities to significantly decline. For more details, see “Item 3. Key Information—D. Risk Factors—Risks Relating to Doing Business in China—The PRC government’s significant oversight over our business operation could result in a material adverse change in our operations and the value of our ADSs.”</w:t>
      </w:r>
    </w:p>
    <w:p>
      <w:pPr>
        <w:spacing w:after="0" w:line="8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10159"/>
          </w:cols>
          <w:pgMar w:left="300" w:top="388"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639" w:firstLine="317"/>
        <w:spacing w:after="0" w:line="259" w:lineRule="auto"/>
        <w:rPr>
          <w:sz w:val="20"/>
          <w:szCs w:val="20"/>
          <w:color w:val="auto"/>
        </w:rPr>
      </w:pPr>
      <w:r>
        <w:rPr>
          <w:rFonts w:ascii="Times New Roman" w:cs="Times New Roman" w:eastAsia="Times New Roman" w:hAnsi="Times New Roman"/>
          <w:sz w:val="13"/>
          <w:szCs w:val="13"/>
          <w:color w:val="auto"/>
        </w:rPr>
        <w:t>Risks and uncertainties arising from the legal system in China, including risks and uncertainties regarding the enforcement of laws and quickly evolving rules and regulations in China, could result in a material adverse change in our operations and the value of our ADSs. For more details, see “Item 3. Key Information—D. Risk Factors—Risks Relating to Doing Business in China— Uncertainties in the interpretation and enforcement of PRC laws and regulations could limit the legal protections available to you and us.”</w:t>
      </w:r>
    </w:p>
    <w:p>
      <w:pPr>
        <w:spacing w:after="0" w:line="20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The Holding Foreign Companies Accountable Act</w:t>
      </w:r>
    </w:p>
    <w:p>
      <w:pPr>
        <w:spacing w:after="0" w:line="88" w:lineRule="exact"/>
        <w:rPr>
          <w:sz w:val="20"/>
          <w:szCs w:val="20"/>
          <w:color w:val="auto"/>
        </w:rPr>
      </w:pPr>
    </w:p>
    <w:p>
      <w:pPr>
        <w:ind w:left="1680" w:right="559" w:firstLine="317"/>
        <w:spacing w:after="0" w:line="251" w:lineRule="auto"/>
        <w:rPr>
          <w:sz w:val="20"/>
          <w:szCs w:val="20"/>
          <w:color w:val="auto"/>
        </w:rPr>
      </w:pPr>
      <w:r>
        <w:rPr>
          <w:rFonts w:ascii="Times New Roman" w:cs="Times New Roman" w:eastAsia="Times New Roman" w:hAnsi="Times New Roman"/>
          <w:sz w:val="13"/>
          <w:szCs w:val="13"/>
          <w:color w:val="auto"/>
        </w:rPr>
        <w:t>The Holding Foreign Companies Accountable Act, or the HFCA Act, was enacted on December 18, 2020. The HFCA Act states if the SEC determines that a company has filed audit reports issued by a registered public accounting firm that has not been subject to inspection by the PCAOB for three consecutive years beginning in 2021, the SEC shall prohibit such securities from being traded on a national securities exchange or in the over-the-counter trading market in the U.S. The Company’s auditor, an independent registered public accounting firm, is not subject to the PCAOB’s inspection as announced by the PCAOB on December 16, 2021. The delisting of the ADSs, or the threat of their being delisted, may materially and adversely affect the value of your investment. Additionally, the inability of the PCAOB to conduct inspections deprives our investors with the benefits of such inspections. On June 22, 2021, the U.S. Senate passed the “Accelerating Holding Foreign Companies Accountable Act,” which, if passed by the U.S. House of Representatives and signed into law by the U.S. President, would decrease the number of non-inspection years for foreign companies to comply with PCAOB audits from three to two years, thus reducing the time period before the ADSs may be prohibited from trading or delisted. On February 4, 2022, the U.S. House of Representatives passed the America Competes Act of 2022 which includes the exact same amendments as the bill passed by the Senate. The America Competes Act however includes a broader range of legislation not related to the HFCA Act in response to the U.S. Innovation and Competition Act passed by the Senate in 2021. The U.S. House of Representatives and U.S. Senate will need to agree on amendments to these respective bills to align the legislation and pass their amended bills before the U.S. President can sign into law. It is unclear when the U.S. Senate and U.S. House of Representatives will resolve the differences in the U.S. Innovation and Competition Act and the America Competes Act of 2022 bills currently passed, or when the U.S. President will sign on the bill to make the amendment into law, or at all. In the case that the bill becomes the law, it will reduce the time period before our ADSs could be delisted from the exchange and prohibited from over-the-counter trading in the U.S. from 2024 to 2023. See “Item 3. Key Information—D. Risk Factors—Risks Relating to Doing Business in China—Our ADSs will be delisted and our ADSs and shares may be prohibited from trading in the over-the-counter market under the Holding Foreign Companies Accountable Act, or the HFCA Act, if the PCAOB is unable to inspect or fully investigate auditors located in China. On December 16, 2021, PCAOB issued the HFCA Act Determination Report, according to which our auditor is subject to the determinations that the PCAOB is unable to inspect or investigate completely. Under the current law, delisting and prohibition from over-the-counter trading in the U.S. could take place in 2024. If this happens there is no certainty that we will be able to list our ADS or shares on a non-U.S. exchange or that a market for our shares will develop outside of the U.S. The delisting of our ADSs, or the threat of their being delisted, may materially and adversely affect the value of your investment. In addition, the potential enactment of the Accelerating Holding Foreign Companies Accountable Act would decrease the number of non-inspection years from three years to two, thus reducing the time period before our ADSs may be prohibited from over-the-counter trading or delisted. If this bill were enacted, our ADS could be delisted from the exchange and prohibited from over-the-counter trading in the U.S. in 2023.”</w:t>
      </w:r>
    </w:p>
    <w:p>
      <w:pPr>
        <w:spacing w:after="0" w:line="21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Permissions Required from the PRC Authorities for Our Operations</w:t>
      </w:r>
    </w:p>
    <w:p>
      <w:pPr>
        <w:spacing w:after="0" w:line="88" w:lineRule="exact"/>
        <w:rPr>
          <w:sz w:val="20"/>
          <w:szCs w:val="20"/>
          <w:color w:val="auto"/>
        </w:rPr>
      </w:pPr>
    </w:p>
    <w:p>
      <w:pPr>
        <w:ind w:left="1680" w:right="579" w:firstLine="317"/>
        <w:spacing w:after="0" w:line="276" w:lineRule="auto"/>
        <w:rPr>
          <w:sz w:val="20"/>
          <w:szCs w:val="20"/>
          <w:color w:val="auto"/>
        </w:rPr>
      </w:pPr>
      <w:r>
        <w:rPr>
          <w:rFonts w:ascii="Times New Roman" w:cs="Times New Roman" w:eastAsia="Times New Roman" w:hAnsi="Times New Roman"/>
          <w:sz w:val="12"/>
          <w:szCs w:val="12"/>
          <w:color w:val="auto"/>
        </w:rPr>
        <w:t>We currently conduct some of our operations through the VIE and its subsidiaries. Our operations in China are governed by PRC laws and regulations. As of the date of this annual report, our PRC subsidiaries, the VIE and the VIE’s subsidiaries have obtained the requisite licenses and permits from the PRC government authorities that are material for the business operations of our subsidiaries and the VIE in China, including, among others, General Aviation Enterprise Operation Licenses required for using UAVs in aerial spraying, aerial photography, operator training, flight show, aerial media solutions and other purposes. Given the uncertainties of interpretation and implementation of relevant laws and regulations and the enforcement practice by relevant government authorities, we may be required to obtain additional licenses, permits, filings or approvals for our business operations in the future. See “Item 3. Key Information—D. Risk Factors—Risks Relating to Doing Business in China—Uncertainties exist with respect to the interpretation and implementation of the PRC Foreign Investment Law and its Implementation Regulations and how they may impact the viability of our current corporate structure, corporate governance and business operations” and “Item 3. Key Information—D. Risk Factors—Risks Relating to Doing Business in China—We may be adversely affected by the complexities, uncertainties and changes in PRC regulations on technology companies.”</w:t>
      </w:r>
    </w:p>
    <w:p>
      <w:pPr>
        <w:spacing w:after="0" w:line="125" w:lineRule="exact"/>
        <w:rPr>
          <w:sz w:val="20"/>
          <w:szCs w:val="20"/>
          <w:color w:val="auto"/>
        </w:rPr>
      </w:pPr>
    </w:p>
    <w:p>
      <w:pPr>
        <w:ind w:left="1680" w:right="579" w:firstLine="317"/>
        <w:spacing w:after="0" w:line="259" w:lineRule="auto"/>
        <w:rPr>
          <w:sz w:val="20"/>
          <w:szCs w:val="20"/>
          <w:color w:val="auto"/>
        </w:rPr>
      </w:pPr>
      <w:r>
        <w:rPr>
          <w:rFonts w:ascii="Times New Roman" w:cs="Times New Roman" w:eastAsia="Times New Roman" w:hAnsi="Times New Roman"/>
          <w:sz w:val="13"/>
          <w:szCs w:val="13"/>
          <w:color w:val="auto"/>
        </w:rPr>
        <w:t>Furthermore, in connection with our previous issuance of securities to foreign investors, under current PRC laws, regulations and regulatory rules, as of the date of this annual report, we, our PRC subsidiaries and the VIE, (i) are not required to obtain permissions from the China Securities Regulatory Commission, or the CSRC, (ii) are not required to go through cybersecurity review by the Cyberspace Administration of China, or the CAC, and (iii) have not been asked to obtain such permissions by any PRC authority.</w:t>
      </w:r>
    </w:p>
    <w:p>
      <w:pPr>
        <w:spacing w:after="0" w:line="8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10159"/>
          </w:cols>
          <w:pgMar w:left="300" w:top="388"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699" w:firstLine="317"/>
        <w:spacing w:after="0" w:line="287" w:lineRule="auto"/>
        <w:rPr>
          <w:sz w:val="20"/>
          <w:szCs w:val="20"/>
          <w:color w:val="auto"/>
        </w:rPr>
      </w:pPr>
      <w:r>
        <w:rPr>
          <w:rFonts w:ascii="Times New Roman" w:cs="Times New Roman" w:eastAsia="Times New Roman" w:hAnsi="Times New Roman"/>
          <w:sz w:val="12"/>
          <w:szCs w:val="12"/>
          <w:color w:val="auto"/>
        </w:rPr>
        <w:t>However, the PRC government has recently indicated an intent to exert more oversight and control over offerings that are conducted overseas and/or foreign investment in China-based issuers. For more detailed information, see “Item 3. Key Information—D. Risk Factors—Risks Relating to Doing Business in China—Uncertainties exist with respect to the interpretation and implementation of the PRC Foreign Investment Law and its Implementation Regulations and how they may impact the viability of our current corporate structure, corporate governance and business operations.”</w:t>
      </w:r>
    </w:p>
    <w:p>
      <w:pPr>
        <w:spacing w:after="0" w:line="19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Cash and Asset Flows through Our Organization</w:t>
      </w:r>
    </w:p>
    <w:p>
      <w:pPr>
        <w:spacing w:after="0" w:line="88" w:lineRule="exact"/>
        <w:rPr>
          <w:sz w:val="20"/>
          <w:szCs w:val="20"/>
          <w:color w:val="auto"/>
        </w:rPr>
      </w:pPr>
    </w:p>
    <w:p>
      <w:pPr>
        <w:ind w:left="1680" w:right="899" w:firstLine="317"/>
        <w:spacing w:after="0" w:line="278" w:lineRule="auto"/>
        <w:rPr>
          <w:sz w:val="20"/>
          <w:szCs w:val="20"/>
          <w:color w:val="auto"/>
        </w:rPr>
      </w:pPr>
      <w:r>
        <w:rPr>
          <w:rFonts w:ascii="Times New Roman" w:cs="Times New Roman" w:eastAsia="Times New Roman" w:hAnsi="Times New Roman"/>
          <w:sz w:val="13"/>
          <w:szCs w:val="13"/>
          <w:color w:val="auto"/>
        </w:rPr>
        <w:t>Our offshore holding company is permitted under PRC laws and regulations to provide funding to our PRC subsidiary only through loans or capital contributions, subject to the approval of government authorities and limits on the amount of capital contributions and loans.</w:t>
      </w:r>
    </w:p>
    <w:p>
      <w:pPr>
        <w:spacing w:after="0" w:line="121" w:lineRule="exact"/>
        <w:rPr>
          <w:sz w:val="20"/>
          <w:szCs w:val="20"/>
          <w:color w:val="auto"/>
        </w:rPr>
      </w:pPr>
    </w:p>
    <w:p>
      <w:pPr>
        <w:ind w:left="1680" w:right="559" w:firstLine="317"/>
        <w:spacing w:after="0" w:line="264" w:lineRule="auto"/>
        <w:rPr>
          <w:sz w:val="20"/>
          <w:szCs w:val="20"/>
          <w:color w:val="auto"/>
        </w:rPr>
      </w:pPr>
      <w:r>
        <w:rPr>
          <w:rFonts w:ascii="Times New Roman" w:cs="Times New Roman" w:eastAsia="Times New Roman" w:hAnsi="Times New Roman"/>
          <w:sz w:val="13"/>
          <w:szCs w:val="13"/>
          <w:color w:val="auto"/>
        </w:rPr>
        <w:t>For the years ended December 31, 2019, 2020 and 2021, EHang Holdings made capital contributions of RMB219.2 million, RMB66.6 million and RMB190.0 million (US$29.8 million), respectively, to its subsidiaries. No other transfers, dividends or distributions of cash or assets were made between EHang Holdings, its subsidiaries and the VIEs except for the foregoing capital contributions.</w:t>
      </w:r>
    </w:p>
    <w:p>
      <w:pPr>
        <w:spacing w:after="0" w:line="129" w:lineRule="exact"/>
        <w:rPr>
          <w:sz w:val="20"/>
          <w:szCs w:val="20"/>
          <w:color w:val="auto"/>
        </w:rPr>
      </w:pPr>
    </w:p>
    <w:p>
      <w:pPr>
        <w:ind w:left="1680" w:right="699" w:firstLine="317"/>
        <w:spacing w:after="0" w:line="257" w:lineRule="auto"/>
        <w:rPr>
          <w:sz w:val="20"/>
          <w:szCs w:val="20"/>
          <w:color w:val="auto"/>
        </w:rPr>
      </w:pPr>
      <w:r>
        <w:rPr>
          <w:rFonts w:ascii="Times New Roman" w:cs="Times New Roman" w:eastAsia="Times New Roman" w:hAnsi="Times New Roman"/>
          <w:sz w:val="13"/>
          <w:szCs w:val="13"/>
          <w:color w:val="auto"/>
        </w:rPr>
        <w:t>EHang Holdings is a Cayman Islands holding company with no material operations of its own. We currently conduct some of our operations through the VIE and its subsidiaries in China. As a result, although other means are available for us to obtain financing at the holding company level, EHang Holdings’s ability to pay dividends and to service any debt it may incur may depend upon dividends paid by its subsidiaries. Among them, our Hong Kong subsidiary Ehfly Technology’s source of dividend depends on dividends paid by its PRC subsidiaries, which in part depends on payments from the VIE under the contractual arrangements with the VIE.</w:t>
      </w:r>
    </w:p>
    <w:p>
      <w:pPr>
        <w:spacing w:after="0" w:line="133" w:lineRule="exact"/>
        <w:rPr>
          <w:sz w:val="20"/>
          <w:szCs w:val="20"/>
          <w:color w:val="auto"/>
        </w:rPr>
      </w:pPr>
    </w:p>
    <w:p>
      <w:pPr>
        <w:ind w:left="1680" w:right="539" w:firstLine="317"/>
        <w:spacing w:after="0" w:line="253" w:lineRule="auto"/>
        <w:rPr>
          <w:sz w:val="20"/>
          <w:szCs w:val="20"/>
          <w:color w:val="auto"/>
        </w:rPr>
      </w:pPr>
      <w:r>
        <w:rPr>
          <w:rFonts w:ascii="Times New Roman" w:cs="Times New Roman" w:eastAsia="Times New Roman" w:hAnsi="Times New Roman"/>
          <w:sz w:val="13"/>
          <w:szCs w:val="13"/>
          <w:color w:val="auto"/>
        </w:rPr>
        <w:t>Current PRC regulations permit our PRC subsidiaries, such as EHang Intelligent, to pay dividends to us only out of their accumulated profits, if any, determined in accordance with PRC accounting standards and regulations. In addition, EHang GZ, or the VIE, and EHang Intelligent are required to set aside at least 10% of their respective accumulated profits each year, if any, to fund certain reserve funds until the total amount set aside reaches 50% of their respective registered capital. EHang Intelligent and the VIE may also allocate a portion of their after-tax profits based on PRC accounting standards to employee welfare and bonus funds at their discretion. These reserves are not distributable as cash dividends. Furthermore, if EHang Intelligent incurs debt on its own behalf in the future, the instruments governing the debt may restrict its ability to pay dividends or make other payments to us. In addition, the PRC tax authorities may require us to adjust our taxable income under the contractual arrangements we currently have in place in a manner that would materially and adversely affect EHang Intelligent’s ability to pay dividends and other distributions to us. Any limitation on the ability of our subsidiary to distribute dividends to us or on the ability of the VIE to make payments to EHang Intelligent may restrict our ability to satisfy our liquidity requirements. See “Item 4. Information on the Company—B. Business Overview—PRC Regulation—Dividend Distribution.”</w:t>
      </w:r>
    </w:p>
    <w:p>
      <w:pPr>
        <w:spacing w:after="0" w:line="136" w:lineRule="exact"/>
        <w:rPr>
          <w:sz w:val="20"/>
          <w:szCs w:val="20"/>
          <w:color w:val="auto"/>
        </w:rPr>
      </w:pPr>
    </w:p>
    <w:p>
      <w:pPr>
        <w:ind w:left="1680" w:right="559" w:firstLine="317"/>
        <w:spacing w:after="0" w:line="275" w:lineRule="auto"/>
        <w:rPr>
          <w:sz w:val="20"/>
          <w:szCs w:val="20"/>
          <w:color w:val="auto"/>
        </w:rPr>
      </w:pPr>
      <w:r>
        <w:rPr>
          <w:rFonts w:ascii="Times New Roman" w:cs="Times New Roman" w:eastAsia="Times New Roman" w:hAnsi="Times New Roman"/>
          <w:sz w:val="12"/>
          <w:szCs w:val="12"/>
          <w:color w:val="auto"/>
        </w:rPr>
        <w:t>Additionally, the VIE receives substantially all of its revenues in RMB and the PRC government imposes controls on the convertibility of the RMB into foreign currencies and, in certain cases, the remittance of currency out of China. Under existing PRC foreign exchange regulations, payments of current account items, such as profit distributions and trade and service-related foreign exchange transactions, can be made in foreign currencies without prior approval from the State Administration of Foreign Exchange of the PRC, or the SAFE by complying with certain procedural requirements. Dividends payments to us by Ehfly Technology, our Hong Kong subsidiary, in foreign currencies are subject to the condition that the remittance of such dividends outside of the PRC complies with certain procedures under PRC foreign exchange regulations, such as the overseas investment registrations by our shareholders or the ultimate shareholders of our corporate shareholders who are PRC residents. Approval by or registration with appropriate government authorities is required where RMB is to be converted into foreign currency and remitted out of China to pay capital expenses such as the repayment of loans denominated in foreign currencies. The PRC government may also at its discretion restrict access in the future to foreign currencies for current account transactions. If the foreign exchange control system prevents us from obtaining sufficient foreign currencies to satisfy our foreign currency demands, EHang Intelligent may not be able to pay dividends in foreign currencies to us and our access to cash generated from its operations will be restricted. See “Item 3.D. Key Information—Risk Factors—Risks Relating to Doing Business in China—Governmental control of currency conversion may limit our ability to utilize our operating revenues effectively and affect the value of your investment.”</w:t>
      </w:r>
    </w:p>
    <w:p>
      <w:pPr>
        <w:spacing w:after="0" w:line="2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10159"/>
          </w:cols>
          <w:pgMar w:left="300" w:top="388"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599" w:firstLine="317"/>
        <w:spacing w:after="0" w:line="257" w:lineRule="auto"/>
        <w:rPr>
          <w:sz w:val="20"/>
          <w:szCs w:val="20"/>
          <w:color w:val="auto"/>
        </w:rPr>
      </w:pPr>
      <w:r>
        <w:rPr>
          <w:rFonts w:ascii="Times New Roman" w:cs="Times New Roman" w:eastAsia="Times New Roman" w:hAnsi="Times New Roman"/>
          <w:sz w:val="13"/>
          <w:szCs w:val="13"/>
          <w:color w:val="auto"/>
        </w:rPr>
        <w:t>None of our subsidiaries has declared or paid any dividend or distribution to us. We have never declared or paid any dividend on our ordinary shares. We currently intend to retain most, if not all, of our available funds and any future earnings to fund the development and growth of our business. As a result, we do not expect to pay any cash dividends in the foreseeable future. See “Item 8. Financial Information—A. Consolidated Statements and Other Financial Information—Dividend Policy.” For the Cayman Islands, PRC and U.S. federal income tax considerations applicable to an investment in our ADSs or Class A ordinary shares, see “Item 10. Additional Information—E. Taxation.”</w:t>
      </w:r>
    </w:p>
    <w:p>
      <w:pPr>
        <w:spacing w:after="0" w:line="133" w:lineRule="exact"/>
        <w:rPr>
          <w:sz w:val="20"/>
          <w:szCs w:val="20"/>
          <w:color w:val="auto"/>
        </w:rPr>
      </w:pPr>
    </w:p>
    <w:p>
      <w:pPr>
        <w:ind w:left="1680" w:right="599" w:firstLine="317"/>
        <w:spacing w:after="0" w:line="259" w:lineRule="auto"/>
        <w:rPr>
          <w:sz w:val="20"/>
          <w:szCs w:val="20"/>
          <w:color w:val="auto"/>
        </w:rPr>
      </w:pPr>
      <w:r>
        <w:rPr>
          <w:rFonts w:ascii="Times New Roman" w:cs="Times New Roman" w:eastAsia="Times New Roman" w:hAnsi="Times New Roman"/>
          <w:sz w:val="13"/>
          <w:szCs w:val="13"/>
          <w:color w:val="auto"/>
        </w:rPr>
        <w:t>Under the current laws of the Cayman Islands, EHang Holdings is not subject to tax on income or capital gains. Upon payments of dividends to our shareholders, no Cayman Islands withholding tax will be imposed. For purposes of illustration, the following discussion reflects the hypothetical taxes that might be required to be paid in Mainland China and Hong Kong, assuming that: (i) the VIE has taxable earnings, and (ii) we determine to pay a dividend in the future.</w:t>
      </w:r>
    </w:p>
    <w:p>
      <w:pPr>
        <w:spacing w:after="0" w:line="114" w:lineRule="exact"/>
        <w:rPr>
          <w:sz w:val="20"/>
          <w:szCs w:val="20"/>
          <w:color w:val="auto"/>
        </w:rPr>
      </w:pPr>
    </w:p>
    <w:tbl>
      <w:tblPr>
        <w:tblLayout w:type="fixed"/>
        <w:tblInd w:w="26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620" w:type="dxa"/>
            <w:vAlign w:val="bottom"/>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 xml:space="preserve">Tax calculation </w:t>
            </w:r>
            <w:r>
              <w:rPr>
                <w:rFonts w:ascii="Times New Roman" w:cs="Times New Roman" w:eastAsia="Times New Roman" w:hAnsi="Times New Roman"/>
                <w:sz w:val="18"/>
                <w:szCs w:val="18"/>
                <w:b w:val="1"/>
                <w:bCs w:val="1"/>
                <w:color w:val="auto"/>
                <w:vertAlign w:val="superscript"/>
              </w:rPr>
              <w:t>(1)</w:t>
            </w:r>
          </w:p>
        </w:tc>
      </w:tr>
      <w:tr>
        <w:trPr>
          <w:trHeight w:val="156"/>
        </w:trPr>
        <w:tc>
          <w:tcPr>
            <w:tcW w:w="20" w:type="dxa"/>
            <w:vAlign w:val="bottom"/>
          </w:tcPr>
          <w:p>
            <w:pPr>
              <w:spacing w:after="0"/>
              <w:rPr>
                <w:sz w:val="13"/>
                <w:szCs w:val="13"/>
                <w:color w:val="auto"/>
              </w:rPr>
            </w:pPr>
          </w:p>
        </w:tc>
        <w:tc>
          <w:tcPr>
            <w:tcW w:w="44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3"/>
                <w:szCs w:val="13"/>
                <w:color w:val="auto"/>
              </w:rPr>
              <w:t xml:space="preserve">Hypothetical pre-tax earnings in the VIE </w:t>
            </w:r>
            <w:r>
              <w:rPr>
                <w:rFonts w:ascii="Times New Roman" w:cs="Times New Roman" w:eastAsia="Times New Roman" w:hAnsi="Times New Roman"/>
                <w:sz w:val="18"/>
                <w:szCs w:val="18"/>
                <w:color w:val="auto"/>
                <w:vertAlign w:val="superscript"/>
              </w:rPr>
              <w:t>(1)</w:t>
            </w:r>
          </w:p>
        </w:tc>
        <w:tc>
          <w:tcPr>
            <w:tcW w:w="16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100</w:t>
            </w:r>
          </w:p>
        </w:tc>
      </w:tr>
      <w:tr>
        <w:trPr>
          <w:trHeight w:val="156"/>
        </w:trPr>
        <w:tc>
          <w:tcPr>
            <w:tcW w:w="20" w:type="dxa"/>
            <w:vAlign w:val="bottom"/>
          </w:tcPr>
          <w:p>
            <w:pPr>
              <w:spacing w:after="0"/>
              <w:rPr>
                <w:sz w:val="13"/>
                <w:szCs w:val="13"/>
                <w:color w:val="auto"/>
              </w:rPr>
            </w:pPr>
          </w:p>
        </w:tc>
        <w:tc>
          <w:tcPr>
            <w:tcW w:w="4400" w:type="dxa"/>
            <w:vAlign w:val="bottom"/>
          </w:tcPr>
          <w:p>
            <w:pPr>
              <w:spacing w:after="0" w:line="156" w:lineRule="exact"/>
              <w:rPr>
                <w:sz w:val="20"/>
                <w:szCs w:val="20"/>
                <w:color w:val="auto"/>
              </w:rPr>
            </w:pPr>
            <w:r>
              <w:rPr>
                <w:rFonts w:ascii="Times New Roman" w:cs="Times New Roman" w:eastAsia="Times New Roman" w:hAnsi="Times New Roman"/>
                <w:sz w:val="13"/>
                <w:szCs w:val="13"/>
                <w:color w:val="auto"/>
              </w:rPr>
              <w:t xml:space="preserve">Tax on earnings at statutory rate of 25% at WFOE level </w:t>
            </w:r>
            <w:r>
              <w:rPr>
                <w:rFonts w:ascii="Times New Roman" w:cs="Times New Roman" w:eastAsia="Times New Roman" w:hAnsi="Times New Roman"/>
                <w:sz w:val="18"/>
                <w:szCs w:val="18"/>
                <w:color w:val="auto"/>
                <w:vertAlign w:val="superscript"/>
              </w:rPr>
              <w:t>(2)</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56"/>
        </w:trPr>
        <w:tc>
          <w:tcPr>
            <w:tcW w:w="20" w:type="dxa"/>
            <w:vAlign w:val="bottom"/>
          </w:tcPr>
          <w:p>
            <w:pPr>
              <w:spacing w:after="0"/>
              <w:rPr>
                <w:sz w:val="13"/>
                <w:szCs w:val="13"/>
                <w:color w:val="auto"/>
              </w:rPr>
            </w:pPr>
          </w:p>
        </w:tc>
        <w:tc>
          <w:tcPr>
            <w:tcW w:w="44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3"/>
                <w:szCs w:val="13"/>
                <w:color w:val="auto"/>
              </w:rPr>
              <w:t xml:space="preserve">Amount to be distributed as dividend from WFOE to Ehfly Technology </w:t>
            </w:r>
            <w:r>
              <w:rPr>
                <w:rFonts w:ascii="Times New Roman" w:cs="Times New Roman" w:eastAsia="Times New Roman" w:hAnsi="Times New Roman"/>
                <w:sz w:val="18"/>
                <w:szCs w:val="18"/>
                <w:color w:val="auto"/>
                <w:vertAlign w:val="superscript"/>
              </w:rPr>
              <w:t>(3)</w:t>
            </w:r>
          </w:p>
        </w:tc>
        <w:tc>
          <w:tcPr>
            <w:tcW w:w="16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75</w:t>
            </w:r>
          </w:p>
        </w:tc>
      </w:tr>
      <w:tr>
        <w:trPr>
          <w:trHeight w:val="156"/>
        </w:trPr>
        <w:tc>
          <w:tcPr>
            <w:tcW w:w="20" w:type="dxa"/>
            <w:vAlign w:val="bottom"/>
          </w:tcPr>
          <w:p>
            <w:pPr>
              <w:spacing w:after="0"/>
              <w:rPr>
                <w:sz w:val="13"/>
                <w:szCs w:val="13"/>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3"/>
                <w:szCs w:val="13"/>
                <w:color w:val="auto"/>
              </w:rPr>
              <w:t>Withholding tax at a treaty rate of 5%</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w:t>
            </w:r>
          </w:p>
        </w:tc>
      </w:tr>
      <w:tr>
        <w:trPr>
          <w:trHeight w:val="142"/>
        </w:trPr>
        <w:tc>
          <w:tcPr>
            <w:tcW w:w="20" w:type="dxa"/>
            <w:vAlign w:val="bottom"/>
          </w:tcPr>
          <w:p>
            <w:pPr>
              <w:spacing w:after="0"/>
              <w:rPr>
                <w:sz w:val="12"/>
                <w:szCs w:val="12"/>
                <w:color w:val="auto"/>
              </w:rPr>
            </w:pPr>
          </w:p>
        </w:tc>
        <w:tc>
          <w:tcPr>
            <w:tcW w:w="440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auto"/>
              </w:rPr>
              <w:t>Amount to be distributed as dividend at Ehfly Technology level and net</w:t>
            </w:r>
          </w:p>
        </w:tc>
        <w:tc>
          <w:tcPr>
            <w:tcW w:w="1620" w:type="dxa"/>
            <w:vAlign w:val="bottom"/>
            <w:shd w:val="clear" w:color="auto" w:fill="CCEEFF"/>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4400" w:type="dxa"/>
            <w:vAlign w:val="bottom"/>
            <w:shd w:val="clear" w:color="auto" w:fill="CCEEFF"/>
          </w:tcPr>
          <w:p>
            <w:pPr>
              <w:ind w:left="120"/>
              <w:spacing w:after="0" w:line="170" w:lineRule="exact"/>
              <w:rPr>
                <w:sz w:val="20"/>
                <w:szCs w:val="20"/>
                <w:color w:val="auto"/>
              </w:rPr>
            </w:pPr>
            <w:r>
              <w:rPr>
                <w:rFonts w:ascii="Times New Roman" w:cs="Times New Roman" w:eastAsia="Times New Roman" w:hAnsi="Times New Roman"/>
                <w:sz w:val="13"/>
                <w:szCs w:val="13"/>
                <w:color w:val="auto"/>
              </w:rPr>
              <w:t xml:space="preserve">distribution to EHang Holdings </w:t>
            </w:r>
            <w:r>
              <w:rPr>
                <w:rFonts w:ascii="Times New Roman" w:cs="Times New Roman" w:eastAsia="Times New Roman" w:hAnsi="Times New Roman"/>
                <w:sz w:val="18"/>
                <w:szCs w:val="18"/>
                <w:color w:val="auto"/>
                <w:vertAlign w:val="superscript"/>
              </w:rPr>
              <w:t>(4)</w:t>
            </w:r>
          </w:p>
        </w:tc>
        <w:tc>
          <w:tcPr>
            <w:tcW w:w="16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71.25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67945</wp:posOffset>
            </wp:positionV>
            <wp:extent cx="549910"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9910" cy="6350"/>
                    </a:xfrm>
                    <a:prstGeom prst="rect">
                      <a:avLst/>
                    </a:prstGeom>
                    <a:noFill/>
                  </pic:spPr>
                </pic:pic>
              </a:graphicData>
            </a:graphic>
          </wp:anchor>
        </w:drawing>
      </w:r>
    </w:p>
    <w:p>
      <w:pPr>
        <w:spacing w:after="0" w:line="11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Notes:</w:t>
      </w:r>
    </w:p>
    <w:p>
      <w:pPr>
        <w:spacing w:after="0" w:line="94" w:lineRule="exact"/>
        <w:rPr>
          <w:sz w:val="20"/>
          <w:szCs w:val="20"/>
          <w:color w:val="auto"/>
        </w:rPr>
      </w:pPr>
    </w:p>
    <w:p>
      <w:pPr>
        <w:ind w:left="1980" w:right="599" w:hanging="304"/>
        <w:spacing w:after="0" w:line="259" w:lineRule="auto"/>
        <w:tabs>
          <w:tab w:leader="none" w:pos="198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example, the tax calculation has been simplified. The hypothetical book pre-tax earnings amount is assumed to equal Chinese taxable income.</w:t>
      </w:r>
    </w:p>
    <w:p>
      <w:pPr>
        <w:jc w:val="both"/>
        <w:ind w:left="1980" w:right="619" w:hanging="304"/>
        <w:spacing w:after="0" w:line="249" w:lineRule="auto"/>
        <w:tabs>
          <w:tab w:leader="none" w:pos="198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of our subsidiaries and the VIE qualifies for a 15% preferential income tax rate in China. However, such rate is subject to qualification, is temporary in nature, and may not be available in a future period when distributions are paid. For purposes of this hypothetical example, the table above reflects a maximum tax scenario under which the full statutory rate would be effective.</w:t>
      </w:r>
    </w:p>
    <w:p>
      <w:pPr>
        <w:spacing w:after="0" w:line="1" w:lineRule="exact"/>
        <w:rPr>
          <w:rFonts w:ascii="Times New Roman" w:cs="Times New Roman" w:eastAsia="Times New Roman" w:hAnsi="Times New Roman"/>
          <w:sz w:val="13"/>
          <w:szCs w:val="13"/>
          <w:color w:val="auto"/>
        </w:rPr>
      </w:pPr>
    </w:p>
    <w:p>
      <w:pPr>
        <w:ind w:left="1980" w:right="559" w:hanging="304"/>
        <w:spacing w:after="0" w:line="249" w:lineRule="auto"/>
        <w:tabs>
          <w:tab w:leader="none" w:pos="198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China’s Enterprise Income Tax Law imposes a withholding income tax of 10% on dividends distributed by a Foreign Invested Enterprise to its immediate holding company outside of Mainland China. A lower withholding income tax rate of 5% is applied if the Foreign Invested Enterprise’s immediate holding company is registered in Hong Kong or other jurisdictions that have a tax treaty arrangement with Mainland China, subject to a qualification review at the time of the distribution. There is no incremental tax at Ehfly Technology level for any dividend distribution to EHang Holdings.</w:t>
      </w:r>
    </w:p>
    <w:p>
      <w:pPr>
        <w:spacing w:after="0" w:line="2" w:lineRule="exact"/>
        <w:rPr>
          <w:rFonts w:ascii="Times New Roman" w:cs="Times New Roman" w:eastAsia="Times New Roman" w:hAnsi="Times New Roman"/>
          <w:sz w:val="13"/>
          <w:szCs w:val="13"/>
          <w:color w:val="auto"/>
        </w:rPr>
      </w:pPr>
    </w:p>
    <w:p>
      <w:pPr>
        <w:ind w:left="1980" w:right="559" w:hanging="304"/>
        <w:spacing w:after="0" w:line="259" w:lineRule="auto"/>
        <w:tabs>
          <w:tab w:leader="none" w:pos="198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 10% withholding income tax rate is imposed, the withholding tax will be 7.5 and the amount to be distributed as dividend at Ehfly Technology level and net distribution to EHang Holdings will be 67.5.</w:t>
      </w:r>
    </w:p>
    <w:p>
      <w:pPr>
        <w:spacing w:after="0" w:line="132" w:lineRule="exact"/>
        <w:rPr>
          <w:sz w:val="20"/>
          <w:szCs w:val="20"/>
          <w:color w:val="auto"/>
        </w:rPr>
      </w:pPr>
    </w:p>
    <w:p>
      <w:pPr>
        <w:ind w:left="1680" w:right="619" w:firstLine="317"/>
        <w:spacing w:after="0" w:line="255" w:lineRule="auto"/>
        <w:rPr>
          <w:sz w:val="20"/>
          <w:szCs w:val="20"/>
          <w:color w:val="auto"/>
        </w:rPr>
      </w:pPr>
      <w:r>
        <w:rPr>
          <w:rFonts w:ascii="Times New Roman" w:cs="Times New Roman" w:eastAsia="Times New Roman" w:hAnsi="Times New Roman"/>
          <w:sz w:val="13"/>
          <w:szCs w:val="13"/>
          <w:color w:val="auto"/>
        </w:rPr>
        <w:t>The table above has been prepared under the assumption that all profits of the VIE will be distributed as fees to our PRC subsidiaries under tax neutral contractual arrangements. If, in the future, the accumulated earnings of the VIE exceed the service fees paid to our PRC subsidiaries (or if the current and contemplated fee structure between the intercompany entities is determined to be non-substantive and disallowed by Chinese tax authorities), the VIE could make a non-deductible transfer to our PRC subsidiaries for the amounts of the stranded cash in the VIE. This would result in such transfer being non-deductible expenses for the VIE but still taxable income for the PRC subsidiaries. Our management believes that there is only a remote possibility that this scenario would happen.</w:t>
      </w:r>
    </w:p>
    <w:p>
      <w:pPr>
        <w:spacing w:after="0" w:line="8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10159"/>
          </w:cols>
          <w:pgMar w:left="300" w:top="388"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699" w:firstLine="317"/>
        <w:spacing w:after="0" w:line="259" w:lineRule="auto"/>
        <w:rPr>
          <w:sz w:val="20"/>
          <w:szCs w:val="20"/>
          <w:color w:val="auto"/>
        </w:rPr>
      </w:pPr>
      <w:r>
        <w:rPr>
          <w:rFonts w:ascii="Times New Roman" w:cs="Times New Roman" w:eastAsia="Times New Roman" w:hAnsi="Times New Roman"/>
          <w:sz w:val="13"/>
          <w:szCs w:val="13"/>
          <w:color w:val="auto"/>
        </w:rPr>
        <w:t>Should all tax planning strategies fail the VIE could, as a matter of last resort, make a non-deductible transfer to the WFOE for amounts of stranded cash in the VIE. This would result in the double taxation of earnings: once at the VIE level (non-deductible expense) and again at the WFOE level (for presumptive earnings on the transfer). This has the impact of reducing the amount available above from 71.25% to approximately 53% of pre-tax income, respectively. Management believes this scenario to be remote.</w:t>
      </w:r>
    </w:p>
    <w:p>
      <w:pPr>
        <w:spacing w:after="0" w:line="20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Financial Information Relating to the VIE</w:t>
      </w:r>
    </w:p>
    <w:p>
      <w:pPr>
        <w:spacing w:after="0" w:line="88" w:lineRule="exact"/>
        <w:rPr>
          <w:sz w:val="20"/>
          <w:szCs w:val="20"/>
          <w:color w:val="auto"/>
        </w:rPr>
      </w:pPr>
    </w:p>
    <w:p>
      <w:pPr>
        <w:jc w:val="both"/>
        <w:ind w:left="1680" w:right="739" w:firstLine="317"/>
        <w:spacing w:after="0" w:line="264" w:lineRule="auto"/>
        <w:rPr>
          <w:sz w:val="20"/>
          <w:szCs w:val="20"/>
          <w:color w:val="auto"/>
        </w:rPr>
      </w:pPr>
      <w:r>
        <w:rPr>
          <w:rFonts w:ascii="Times New Roman" w:cs="Times New Roman" w:eastAsia="Times New Roman" w:hAnsi="Times New Roman"/>
          <w:sz w:val="13"/>
          <w:szCs w:val="13"/>
          <w:color w:val="auto"/>
        </w:rPr>
        <w:t>The following tables present the condensed consolidating schedule showing the results of operations, financial position and cash flows for our holding company, our subsidiaries, and the VIE, eliminating adjustments and consolidated totals as of December 31, 2020 and 2021 and for the years ended December 31, 2019, 2020 and 2021.</w:t>
      </w:r>
    </w:p>
    <w:p>
      <w:pPr>
        <w:spacing w:after="0" w:line="8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10159"/>
          </w:cols>
          <w:pgMar w:left="300" w:top="388"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Selected Condensed Consolidated Statements of Operations Data</w:t>
      </w:r>
    </w:p>
    <w:p>
      <w:pPr>
        <w:spacing w:after="0" w:line="94" w:lineRule="exact"/>
        <w:rPr>
          <w:sz w:val="20"/>
          <w:szCs w:val="20"/>
          <w:color w:val="auto"/>
        </w:rPr>
      </w:pPr>
    </w:p>
    <w:tbl>
      <w:tblPr>
        <w:tblLayout w:type="fixed"/>
        <w:tblInd w:w="1680" w:type="dxa"/>
        <w:tblCellMar>
          <w:top w:w="0" w:type="dxa"/>
          <w:left w:w="0" w:type="dxa"/>
          <w:bottom w:w="0" w:type="dxa"/>
          <w:right w:w="0" w:type="dxa"/>
        </w:tblCellMar>
      </w:tblPr>
      <w:tr>
        <w:trPr>
          <w:trHeight w:val="124"/>
        </w:trPr>
        <w:tc>
          <w:tcPr>
            <w:tcW w:w="70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gridSpan w:val="9"/>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For the year ended December 31,</w:t>
            </w:r>
          </w:p>
        </w:tc>
        <w:tc>
          <w:tcPr>
            <w:tcW w:w="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gridSpan w:val="2"/>
          </w:tcPr>
          <w:p>
            <w:pPr>
              <w:jc w:val="right"/>
              <w:ind w:right="173"/>
              <w:spacing w:after="0" w:line="80" w:lineRule="exact"/>
              <w:rPr>
                <w:sz w:val="20"/>
                <w:szCs w:val="20"/>
                <w:color w:val="auto"/>
              </w:rPr>
            </w:pPr>
            <w:r>
              <w:rPr>
                <w:rFonts w:ascii="Times New Roman" w:cs="Times New Roman" w:eastAsia="Times New Roman" w:hAnsi="Times New Roman"/>
                <w:sz w:val="9"/>
                <w:szCs w:val="9"/>
                <w:b w:val="1"/>
                <w:bCs w:val="1"/>
                <w:color w:val="auto"/>
              </w:rPr>
              <w:t>2019</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gridSpan w:val="2"/>
          </w:tcPr>
          <w:p>
            <w:pPr>
              <w:jc w:val="right"/>
              <w:ind w:right="212"/>
              <w:spacing w:after="0" w:line="80" w:lineRule="exact"/>
              <w:rPr>
                <w:sz w:val="20"/>
                <w:szCs w:val="20"/>
                <w:color w:val="auto"/>
              </w:rPr>
            </w:pPr>
            <w:r>
              <w:rPr>
                <w:rFonts w:ascii="Times New Roman" w:cs="Times New Roman" w:eastAsia="Times New Roman" w:hAnsi="Times New Roman"/>
                <w:sz w:val="9"/>
                <w:szCs w:val="9"/>
                <w:b w:val="1"/>
                <w:bCs w:val="1"/>
                <w:color w:val="auto"/>
              </w:rPr>
              <w:t>2020</w:t>
            </w: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gridSpan w:val="2"/>
          </w:tcPr>
          <w:p>
            <w:pPr>
              <w:jc w:val="right"/>
              <w:ind w:right="233"/>
              <w:spacing w:after="0" w:line="80" w:lineRule="exact"/>
              <w:rPr>
                <w:sz w:val="20"/>
                <w:szCs w:val="20"/>
                <w:color w:val="auto"/>
              </w:rPr>
            </w:pPr>
            <w:r>
              <w:rPr>
                <w:rFonts w:ascii="Times New Roman" w:cs="Times New Roman" w:eastAsia="Times New Roman" w:hAnsi="Times New Roman"/>
                <w:sz w:val="9"/>
                <w:szCs w:val="9"/>
                <w:b w:val="1"/>
                <w:bCs w:val="1"/>
                <w:color w:val="auto"/>
              </w:rPr>
              <w:t>2021</w:t>
            </w: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gridSpan w:val="2"/>
          </w:tcPr>
          <w:p>
            <w:pPr>
              <w:jc w:val="center"/>
              <w:ind w:right="80"/>
              <w:spacing w:after="0" w:line="107" w:lineRule="exact"/>
              <w:rPr>
                <w:sz w:val="20"/>
                <w:szCs w:val="20"/>
                <w:color w:val="auto"/>
              </w:rPr>
            </w:pPr>
            <w:r>
              <w:rPr>
                <w:rFonts w:ascii="Times New Roman" w:cs="Times New Roman" w:eastAsia="Times New Roman" w:hAnsi="Times New Roman"/>
                <w:sz w:val="10"/>
                <w:szCs w:val="10"/>
                <w:b w:val="1"/>
                <w:bCs w:val="1"/>
                <w:color w:val="auto"/>
              </w:rPr>
              <w:t>VIE and</w:t>
            </w:r>
          </w:p>
        </w:tc>
        <w:tc>
          <w:tcPr>
            <w:tcW w:w="20" w:type="dxa"/>
            <w:vAlign w:val="bottom"/>
          </w:tcPr>
          <w:p>
            <w:pPr>
              <w:spacing w:after="0"/>
              <w:rPr>
                <w:sz w:val="9"/>
                <w:szCs w:val="9"/>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Eliminating</w:t>
            </w:r>
          </w:p>
        </w:tc>
        <w:tc>
          <w:tcPr>
            <w:tcW w:w="7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Consolidated</w:t>
            </w: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gridSpan w:val="2"/>
          </w:tcPr>
          <w:p>
            <w:pPr>
              <w:jc w:val="center"/>
              <w:ind w:right="40"/>
              <w:spacing w:after="0" w:line="107" w:lineRule="exact"/>
              <w:rPr>
                <w:sz w:val="20"/>
                <w:szCs w:val="20"/>
                <w:color w:val="auto"/>
              </w:rPr>
            </w:pPr>
            <w:r>
              <w:rPr>
                <w:rFonts w:ascii="Times New Roman" w:cs="Times New Roman" w:eastAsia="Times New Roman" w:hAnsi="Times New Roman"/>
                <w:sz w:val="10"/>
                <w:szCs w:val="10"/>
                <w:b w:val="1"/>
                <w:bCs w:val="1"/>
                <w:color w:val="auto"/>
              </w:rPr>
              <w:t>VIE and</w:t>
            </w:r>
          </w:p>
        </w:tc>
        <w:tc>
          <w:tcPr>
            <w:tcW w:w="40" w:type="dxa"/>
            <w:vAlign w:val="bottom"/>
          </w:tcPr>
          <w:p>
            <w:pPr>
              <w:spacing w:after="0"/>
              <w:rPr>
                <w:sz w:val="9"/>
                <w:szCs w:val="9"/>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Eliminating</w:t>
            </w:r>
          </w:p>
        </w:tc>
        <w:tc>
          <w:tcPr>
            <w:tcW w:w="7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Consolidated</w:t>
            </w: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gridSpan w:val="2"/>
          </w:tcPr>
          <w:p>
            <w:pPr>
              <w:jc w:val="center"/>
              <w:ind w:right="40"/>
              <w:spacing w:after="0" w:line="107" w:lineRule="exact"/>
              <w:rPr>
                <w:sz w:val="20"/>
                <w:szCs w:val="20"/>
                <w:color w:val="auto"/>
              </w:rPr>
            </w:pPr>
            <w:r>
              <w:rPr>
                <w:rFonts w:ascii="Times New Roman" w:cs="Times New Roman" w:eastAsia="Times New Roman" w:hAnsi="Times New Roman"/>
                <w:sz w:val="10"/>
                <w:szCs w:val="10"/>
                <w:b w:val="1"/>
                <w:bCs w:val="1"/>
                <w:color w:val="auto"/>
              </w:rPr>
              <w:t>VIE and</w:t>
            </w:r>
          </w:p>
        </w:tc>
        <w:tc>
          <w:tcPr>
            <w:tcW w:w="40" w:type="dxa"/>
            <w:vAlign w:val="bottom"/>
          </w:tcPr>
          <w:p>
            <w:pPr>
              <w:spacing w:after="0"/>
              <w:rPr>
                <w:sz w:val="9"/>
                <w:szCs w:val="9"/>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Eli</w:t>
            </w:r>
          </w:p>
        </w:tc>
        <w:tc>
          <w:tcPr>
            <w:tcW w:w="0" w:type="dxa"/>
            <w:vAlign w:val="bottom"/>
          </w:tcPr>
          <w:p>
            <w:pPr>
              <w:spacing w:after="0"/>
              <w:rPr>
                <w:sz w:val="1"/>
                <w:szCs w:val="1"/>
                <w:color w:val="auto"/>
              </w:rPr>
            </w:pPr>
          </w:p>
        </w:tc>
      </w:tr>
      <w:tr>
        <w:trPr>
          <w:trHeight w:val="107"/>
        </w:trPr>
        <w:tc>
          <w:tcPr>
            <w:tcW w:w="700" w:type="dxa"/>
            <w:vAlign w:val="bottom"/>
          </w:tcPr>
          <w:p>
            <w:pPr>
              <w:spacing w:after="0"/>
              <w:rPr>
                <w:sz w:val="9"/>
                <w:szCs w:val="9"/>
                <w:color w:val="auto"/>
              </w:rPr>
            </w:pPr>
          </w:p>
        </w:tc>
        <w:tc>
          <w:tcPr>
            <w:tcW w:w="3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Parent</w:t>
            </w:r>
          </w:p>
        </w:tc>
        <w:tc>
          <w:tcPr>
            <w:tcW w:w="2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400" w:type="dxa"/>
            <w:vAlign w:val="bottom"/>
            <w:gridSpan w:val="3"/>
            <w:vMerge w:val="restart"/>
          </w:tcPr>
          <w:p>
            <w:pPr>
              <w:jc w:val="right"/>
              <w:ind w:right="54"/>
              <w:spacing w:after="0"/>
              <w:rPr>
                <w:sz w:val="20"/>
                <w:szCs w:val="20"/>
                <w:color w:val="auto"/>
              </w:rPr>
            </w:pPr>
            <w:r>
              <w:rPr>
                <w:rFonts w:ascii="Times New Roman" w:cs="Times New Roman" w:eastAsia="Times New Roman" w:hAnsi="Times New Roman"/>
                <w:sz w:val="10"/>
                <w:szCs w:val="10"/>
                <w:b w:val="1"/>
                <w:bCs w:val="1"/>
                <w:color w:val="auto"/>
              </w:rPr>
              <w:t>WFOE</w:t>
            </w:r>
          </w:p>
        </w:tc>
        <w:tc>
          <w:tcPr>
            <w:tcW w:w="40" w:type="dxa"/>
            <w:vAlign w:val="bottom"/>
          </w:tcPr>
          <w:p>
            <w:pPr>
              <w:spacing w:after="0"/>
              <w:rPr>
                <w:sz w:val="9"/>
                <w:szCs w:val="9"/>
                <w:color w:val="auto"/>
              </w:rPr>
            </w:pPr>
          </w:p>
        </w:tc>
        <w:tc>
          <w:tcPr>
            <w:tcW w:w="580" w:type="dxa"/>
            <w:vAlign w:val="bottom"/>
            <w:gridSpan w:val="2"/>
          </w:tcPr>
          <w:p>
            <w:pPr>
              <w:jc w:val="center"/>
              <w:ind w:right="80"/>
              <w:spacing w:after="0" w:line="107" w:lineRule="exact"/>
              <w:rPr>
                <w:sz w:val="20"/>
                <w:szCs w:val="20"/>
                <w:color w:val="auto"/>
              </w:rPr>
            </w:pPr>
            <w:r>
              <w:rPr>
                <w:rFonts w:ascii="Times New Roman" w:cs="Times New Roman" w:eastAsia="Times New Roman" w:hAnsi="Times New Roman"/>
                <w:sz w:val="10"/>
                <w:szCs w:val="10"/>
                <w:b w:val="1"/>
                <w:bCs w:val="1"/>
                <w:color w:val="auto"/>
              </w:rPr>
              <w:t>VIE’s</w:t>
            </w:r>
          </w:p>
        </w:tc>
        <w:tc>
          <w:tcPr>
            <w:tcW w:w="2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3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Parent</w:t>
            </w:r>
          </w:p>
        </w:tc>
        <w:tc>
          <w:tcPr>
            <w:tcW w:w="2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WFOE</w:t>
            </w:r>
          </w:p>
        </w:tc>
        <w:tc>
          <w:tcPr>
            <w:tcW w:w="20" w:type="dxa"/>
            <w:vAlign w:val="bottom"/>
          </w:tcPr>
          <w:p>
            <w:pPr>
              <w:spacing w:after="0"/>
              <w:rPr>
                <w:sz w:val="9"/>
                <w:szCs w:val="9"/>
                <w:color w:val="auto"/>
              </w:rPr>
            </w:pPr>
          </w:p>
        </w:tc>
        <w:tc>
          <w:tcPr>
            <w:tcW w:w="580" w:type="dxa"/>
            <w:vAlign w:val="bottom"/>
            <w:gridSpan w:val="2"/>
          </w:tcPr>
          <w:p>
            <w:pPr>
              <w:jc w:val="center"/>
              <w:ind w:right="40"/>
              <w:spacing w:after="0" w:line="107" w:lineRule="exact"/>
              <w:rPr>
                <w:sz w:val="20"/>
                <w:szCs w:val="20"/>
                <w:color w:val="auto"/>
              </w:rPr>
            </w:pPr>
            <w:r>
              <w:rPr>
                <w:rFonts w:ascii="Times New Roman" w:cs="Times New Roman" w:eastAsia="Times New Roman" w:hAnsi="Times New Roman"/>
                <w:sz w:val="10"/>
                <w:szCs w:val="10"/>
                <w:b w:val="1"/>
                <w:bCs w:val="1"/>
                <w:color w:val="auto"/>
              </w:rPr>
              <w:t>VIE’s</w:t>
            </w:r>
          </w:p>
        </w:tc>
        <w:tc>
          <w:tcPr>
            <w:tcW w:w="4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420" w:type="dxa"/>
            <w:vAlign w:val="bottom"/>
            <w:gridSpan w:val="2"/>
            <w:vMerge w:val="restart"/>
          </w:tcPr>
          <w:p>
            <w:pPr>
              <w:jc w:val="right"/>
              <w:ind w:right="94"/>
              <w:spacing w:after="0"/>
              <w:rPr>
                <w:sz w:val="20"/>
                <w:szCs w:val="20"/>
                <w:color w:val="auto"/>
              </w:rPr>
            </w:pPr>
            <w:r>
              <w:rPr>
                <w:rFonts w:ascii="Times New Roman" w:cs="Times New Roman" w:eastAsia="Times New Roman" w:hAnsi="Times New Roman"/>
                <w:sz w:val="10"/>
                <w:szCs w:val="10"/>
                <w:b w:val="1"/>
                <w:bCs w:val="1"/>
                <w:color w:val="auto"/>
              </w:rPr>
              <w:t>Parent</w:t>
            </w:r>
          </w:p>
        </w:tc>
        <w:tc>
          <w:tcPr>
            <w:tcW w:w="2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420" w:type="dxa"/>
            <w:vAlign w:val="bottom"/>
            <w:gridSpan w:val="2"/>
            <w:vMerge w:val="restart"/>
          </w:tcPr>
          <w:p>
            <w:pPr>
              <w:jc w:val="right"/>
              <w:ind w:right="74"/>
              <w:spacing w:after="0"/>
              <w:rPr>
                <w:sz w:val="20"/>
                <w:szCs w:val="20"/>
                <w:color w:val="auto"/>
              </w:rPr>
            </w:pPr>
            <w:r>
              <w:rPr>
                <w:rFonts w:ascii="Times New Roman" w:cs="Times New Roman" w:eastAsia="Times New Roman" w:hAnsi="Times New Roman"/>
                <w:sz w:val="10"/>
                <w:szCs w:val="10"/>
                <w:b w:val="1"/>
                <w:bCs w:val="1"/>
                <w:color w:val="auto"/>
              </w:rPr>
              <w:t>WFOE</w:t>
            </w:r>
          </w:p>
        </w:tc>
        <w:tc>
          <w:tcPr>
            <w:tcW w:w="20" w:type="dxa"/>
            <w:vAlign w:val="bottom"/>
          </w:tcPr>
          <w:p>
            <w:pPr>
              <w:spacing w:after="0"/>
              <w:rPr>
                <w:sz w:val="9"/>
                <w:szCs w:val="9"/>
                <w:color w:val="auto"/>
              </w:rPr>
            </w:pPr>
          </w:p>
        </w:tc>
        <w:tc>
          <w:tcPr>
            <w:tcW w:w="580" w:type="dxa"/>
            <w:vAlign w:val="bottom"/>
            <w:gridSpan w:val="2"/>
          </w:tcPr>
          <w:p>
            <w:pPr>
              <w:jc w:val="center"/>
              <w:ind w:right="40"/>
              <w:spacing w:after="0" w:line="107" w:lineRule="exact"/>
              <w:rPr>
                <w:sz w:val="20"/>
                <w:szCs w:val="20"/>
                <w:color w:val="auto"/>
              </w:rPr>
            </w:pPr>
            <w:r>
              <w:rPr>
                <w:rFonts w:ascii="Times New Roman" w:cs="Times New Roman" w:eastAsia="Times New Roman" w:hAnsi="Times New Roman"/>
                <w:sz w:val="10"/>
                <w:szCs w:val="10"/>
                <w:b w:val="1"/>
                <w:bCs w:val="1"/>
                <w:color w:val="auto"/>
              </w:rPr>
              <w:t>VIE’s</w:t>
            </w:r>
          </w:p>
        </w:tc>
        <w:tc>
          <w:tcPr>
            <w:tcW w:w="4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700" w:type="dxa"/>
            <w:vAlign w:val="bottom"/>
          </w:tcPr>
          <w:p>
            <w:pPr>
              <w:spacing w:after="0"/>
              <w:rPr>
                <w:sz w:val="10"/>
                <w:szCs w:val="10"/>
                <w:color w:val="auto"/>
              </w:rPr>
            </w:pPr>
          </w:p>
        </w:tc>
        <w:tc>
          <w:tcPr>
            <w:tcW w:w="360" w:type="dxa"/>
            <w:vAlign w:val="bottom"/>
            <w:tcBorders>
              <w:bottom w:val="single" w:sz="8" w:color="auto"/>
            </w:tcBorders>
            <w:gridSpan w:val="2"/>
            <w:vMerge w:val="continue"/>
          </w:tcPr>
          <w:p>
            <w:pPr>
              <w:spacing w:after="0"/>
              <w:rPr>
                <w:sz w:val="10"/>
                <w:szCs w:val="10"/>
                <w:color w:val="auto"/>
              </w:rPr>
            </w:pPr>
          </w:p>
        </w:tc>
        <w:tc>
          <w:tcPr>
            <w:tcW w:w="6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subsidiaries</w:t>
            </w:r>
          </w:p>
        </w:tc>
        <w:tc>
          <w:tcPr>
            <w:tcW w:w="400" w:type="dxa"/>
            <w:vAlign w:val="bottom"/>
            <w:tcBorders>
              <w:bottom w:val="single" w:sz="8" w:color="auto"/>
            </w:tcBorders>
            <w:gridSpan w:val="3"/>
            <w:vMerge w:val="continue"/>
          </w:tcPr>
          <w:p>
            <w:pPr>
              <w:spacing w:after="0"/>
              <w:rPr>
                <w:sz w:val="10"/>
                <w:szCs w:val="10"/>
                <w:color w:val="auto"/>
              </w:rPr>
            </w:pPr>
          </w:p>
        </w:tc>
        <w:tc>
          <w:tcPr>
            <w:tcW w:w="62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subsidiaries</w:t>
            </w:r>
          </w:p>
        </w:tc>
        <w:tc>
          <w:tcPr>
            <w:tcW w:w="6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adjustments</w:t>
            </w:r>
          </w:p>
        </w:tc>
        <w:tc>
          <w:tcPr>
            <w:tcW w:w="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totals</w:t>
            </w:r>
          </w:p>
        </w:tc>
        <w:tc>
          <w:tcPr>
            <w:tcW w:w="380" w:type="dxa"/>
            <w:vAlign w:val="bottom"/>
            <w:tcBorders>
              <w:bottom w:val="single" w:sz="8" w:color="auto"/>
            </w:tcBorders>
            <w:gridSpan w:val="2"/>
            <w:vMerge w:val="continue"/>
          </w:tcPr>
          <w:p>
            <w:pPr>
              <w:spacing w:after="0"/>
              <w:rPr>
                <w:sz w:val="10"/>
                <w:szCs w:val="10"/>
                <w:color w:val="auto"/>
              </w:rPr>
            </w:pPr>
          </w:p>
        </w:tc>
        <w:tc>
          <w:tcPr>
            <w:tcW w:w="5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subsidiaries</w:t>
            </w: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gridSpan w:val="2"/>
            <w:vMerge w:val="continue"/>
          </w:tcPr>
          <w:p>
            <w:pPr>
              <w:spacing w:after="0"/>
              <w:rPr>
                <w:sz w:val="10"/>
                <w:szCs w:val="10"/>
                <w:color w:val="auto"/>
              </w:rPr>
            </w:pPr>
          </w:p>
        </w:tc>
        <w:tc>
          <w:tcPr>
            <w:tcW w:w="60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subsidiaries</w:t>
            </w:r>
          </w:p>
        </w:tc>
        <w:tc>
          <w:tcPr>
            <w:tcW w:w="6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adjustments</w:t>
            </w:r>
          </w:p>
        </w:tc>
        <w:tc>
          <w:tcPr>
            <w:tcW w:w="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totals</w:t>
            </w:r>
          </w:p>
        </w:tc>
        <w:tc>
          <w:tcPr>
            <w:tcW w:w="420" w:type="dxa"/>
            <w:vAlign w:val="bottom"/>
            <w:tcBorders>
              <w:bottom w:val="single" w:sz="8" w:color="auto"/>
            </w:tcBorders>
            <w:gridSpan w:val="2"/>
            <w:vMerge w:val="continue"/>
          </w:tcPr>
          <w:p>
            <w:pPr>
              <w:spacing w:after="0"/>
              <w:rPr>
                <w:sz w:val="10"/>
                <w:szCs w:val="10"/>
                <w:color w:val="auto"/>
              </w:rPr>
            </w:pPr>
          </w:p>
        </w:tc>
        <w:tc>
          <w:tcPr>
            <w:tcW w:w="6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subsidiaries</w:t>
            </w:r>
          </w:p>
        </w:tc>
        <w:tc>
          <w:tcPr>
            <w:tcW w:w="420" w:type="dxa"/>
            <w:vAlign w:val="bottom"/>
            <w:tcBorders>
              <w:bottom w:val="single" w:sz="8" w:color="auto"/>
            </w:tcBorders>
            <w:gridSpan w:val="2"/>
            <w:vMerge w:val="continue"/>
          </w:tcPr>
          <w:p>
            <w:pPr>
              <w:spacing w:after="0"/>
              <w:rPr>
                <w:sz w:val="10"/>
                <w:szCs w:val="10"/>
                <w:color w:val="auto"/>
              </w:rPr>
            </w:pPr>
          </w:p>
        </w:tc>
        <w:tc>
          <w:tcPr>
            <w:tcW w:w="60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subsidiaries</w:t>
            </w:r>
          </w:p>
        </w:tc>
        <w:tc>
          <w:tcPr>
            <w:tcW w:w="2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adj</w:t>
            </w:r>
          </w:p>
        </w:tc>
        <w:tc>
          <w:tcPr>
            <w:tcW w:w="0" w:type="dxa"/>
            <w:vAlign w:val="bottom"/>
          </w:tcPr>
          <w:p>
            <w:pPr>
              <w:spacing w:after="0"/>
              <w:rPr>
                <w:sz w:val="1"/>
                <w:szCs w:val="1"/>
                <w:color w:val="auto"/>
              </w:rPr>
            </w:pPr>
          </w:p>
        </w:tc>
      </w:tr>
      <w:tr>
        <w:trPr>
          <w:trHeight w:val="97"/>
        </w:trPr>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60" w:type="dxa"/>
            <w:vAlign w:val="bottom"/>
            <w:gridSpan w:val="8"/>
          </w:tcPr>
          <w:p>
            <w:pPr>
              <w:ind w:left="220"/>
              <w:spacing w:after="0" w:line="97" w:lineRule="exact"/>
              <w:rPr>
                <w:sz w:val="20"/>
                <w:szCs w:val="20"/>
                <w:color w:val="auto"/>
              </w:rPr>
            </w:pPr>
            <w:r>
              <w:rPr>
                <w:rFonts w:ascii="Times New Roman" w:cs="Times New Roman" w:eastAsia="Times New Roman" w:hAnsi="Times New Roman"/>
                <w:sz w:val="10"/>
                <w:szCs w:val="10"/>
                <w:b w:val="1"/>
                <w:bCs w:val="1"/>
                <w:color w:val="auto"/>
              </w:rPr>
              <w:t>(RMB in thousands)</w:t>
            </w: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70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9"/>
                <w:szCs w:val="9"/>
                <w:b w:val="1"/>
                <w:bCs w:val="1"/>
                <w:color w:val="auto"/>
              </w:rPr>
              <w:t>Revenues</w:t>
            </w:r>
          </w:p>
        </w:tc>
        <w:tc>
          <w:tcPr>
            <w:tcW w:w="360" w:type="dxa"/>
            <w:vAlign w:val="bottom"/>
            <w:gridSpan w:val="2"/>
            <w:shd w:val="clear" w:color="auto" w:fill="CCEEFF"/>
          </w:tcPr>
          <w:p>
            <w:pPr>
              <w:ind w:left="160"/>
              <w:spacing w:after="0" w:line="98" w:lineRule="exact"/>
              <w:rPr>
                <w:sz w:val="20"/>
                <w:szCs w:val="20"/>
                <w:color w:val="auto"/>
              </w:rPr>
            </w:pPr>
            <w:r>
              <w:rPr>
                <w:rFonts w:ascii="Times New Roman" w:cs="Times New Roman" w:eastAsia="Times New Roman" w:hAnsi="Times New Roman"/>
                <w:sz w:val="9"/>
                <w:szCs w:val="9"/>
                <w:b w:val="1"/>
                <w:bCs w:val="1"/>
                <w:color w:val="auto"/>
              </w:rPr>
              <w:t>—</w:t>
            </w:r>
          </w:p>
        </w:tc>
        <w:tc>
          <w:tcPr>
            <w:tcW w:w="560" w:type="dxa"/>
            <w:vAlign w:val="bottom"/>
            <w:gridSpan w:val="2"/>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8,728</w:t>
            </w: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94,865</w:t>
            </w:r>
          </w:p>
        </w:tc>
        <w:tc>
          <w:tcPr>
            <w:tcW w:w="6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62,288</w:t>
            </w:r>
          </w:p>
        </w:tc>
        <w:tc>
          <w:tcPr>
            <w:tcW w:w="60" w:type="dxa"/>
            <w:vAlign w:val="bottom"/>
            <w:shd w:val="clear" w:color="auto" w:fill="CCEEFF"/>
          </w:tcPr>
          <w:p>
            <w:pPr>
              <w:spacing w:after="0"/>
              <w:rPr>
                <w:sz w:val="8"/>
                <w:szCs w:val="8"/>
                <w:color w:val="auto"/>
              </w:rPr>
            </w:pPr>
          </w:p>
        </w:tc>
        <w:tc>
          <w:tcPr>
            <w:tcW w:w="620" w:type="dxa"/>
            <w:vAlign w:val="bottom"/>
            <w:gridSpan w:val="3"/>
            <w:shd w:val="clear" w:color="auto" w:fill="CCEEFF"/>
          </w:tcPr>
          <w:p>
            <w:pPr>
              <w:jc w:val="right"/>
              <w:ind w:right="20"/>
              <w:spacing w:after="0" w:line="98" w:lineRule="exact"/>
              <w:rPr>
                <w:sz w:val="20"/>
                <w:szCs w:val="20"/>
                <w:color w:val="auto"/>
              </w:rPr>
            </w:pPr>
            <w:r>
              <w:rPr>
                <w:rFonts w:ascii="Times New Roman" w:cs="Times New Roman" w:eastAsia="Times New Roman" w:hAnsi="Times New Roman"/>
                <w:sz w:val="9"/>
                <w:szCs w:val="9"/>
                <w:b w:val="1"/>
                <w:bCs w:val="1"/>
                <w:color w:val="auto"/>
              </w:rPr>
              <w:t>(44,067)</w:t>
            </w:r>
          </w:p>
        </w:tc>
        <w:tc>
          <w:tcPr>
            <w:tcW w:w="620" w:type="dxa"/>
            <w:vAlign w:val="bottom"/>
            <w:gridSpan w:val="2"/>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121,814</w:t>
            </w:r>
          </w:p>
        </w:tc>
        <w:tc>
          <w:tcPr>
            <w:tcW w:w="80" w:type="dxa"/>
            <w:vAlign w:val="bottom"/>
            <w:shd w:val="clear" w:color="auto" w:fill="CCEEFF"/>
          </w:tcPr>
          <w:p>
            <w:pPr>
              <w:spacing w:after="0"/>
              <w:rPr>
                <w:sz w:val="8"/>
                <w:szCs w:val="8"/>
                <w:color w:val="auto"/>
              </w:rPr>
            </w:pPr>
          </w:p>
        </w:tc>
        <w:tc>
          <w:tcPr>
            <w:tcW w:w="380" w:type="dxa"/>
            <w:vAlign w:val="bottom"/>
            <w:gridSpan w:val="2"/>
            <w:shd w:val="clear" w:color="auto" w:fill="CCEEFF"/>
          </w:tcPr>
          <w:p>
            <w:pPr>
              <w:ind w:left="180"/>
              <w:spacing w:after="0" w:line="98" w:lineRule="exact"/>
              <w:rPr>
                <w:sz w:val="20"/>
                <w:szCs w:val="20"/>
                <w:color w:val="auto"/>
              </w:rPr>
            </w:pPr>
            <w:r>
              <w:rPr>
                <w:rFonts w:ascii="Times New Roman" w:cs="Times New Roman" w:eastAsia="Times New Roman" w:hAnsi="Times New Roman"/>
                <w:sz w:val="9"/>
                <w:szCs w:val="9"/>
                <w:b w:val="1"/>
                <w:bCs w:val="1"/>
                <w:color w:val="auto"/>
              </w:rPr>
              <w:t>—</w:t>
            </w:r>
          </w:p>
        </w:tc>
        <w:tc>
          <w:tcPr>
            <w:tcW w:w="560" w:type="dxa"/>
            <w:vAlign w:val="bottom"/>
            <w:gridSpan w:val="2"/>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64</w:t>
            </w:r>
          </w:p>
        </w:tc>
        <w:tc>
          <w:tcPr>
            <w:tcW w:w="2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146,905</w:t>
            </w:r>
          </w:p>
        </w:tc>
        <w:tc>
          <w:tcPr>
            <w:tcW w:w="6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68,372</w:t>
            </w:r>
          </w:p>
        </w:tc>
        <w:tc>
          <w:tcPr>
            <w:tcW w:w="40" w:type="dxa"/>
            <w:vAlign w:val="bottom"/>
            <w:shd w:val="clear" w:color="auto" w:fill="CCEEFF"/>
          </w:tcPr>
          <w:p>
            <w:pPr>
              <w:spacing w:after="0"/>
              <w:rPr>
                <w:sz w:val="8"/>
                <w:szCs w:val="8"/>
                <w:color w:val="auto"/>
              </w:rPr>
            </w:pPr>
          </w:p>
        </w:tc>
        <w:tc>
          <w:tcPr>
            <w:tcW w:w="640" w:type="dxa"/>
            <w:vAlign w:val="bottom"/>
            <w:gridSpan w:val="3"/>
            <w:shd w:val="clear" w:color="auto" w:fill="CCEEFF"/>
          </w:tcPr>
          <w:p>
            <w:pPr>
              <w:jc w:val="right"/>
              <w:ind w:right="40"/>
              <w:spacing w:after="0" w:line="98" w:lineRule="exact"/>
              <w:rPr>
                <w:sz w:val="20"/>
                <w:szCs w:val="20"/>
                <w:color w:val="auto"/>
              </w:rPr>
            </w:pPr>
            <w:r>
              <w:rPr>
                <w:rFonts w:ascii="Times New Roman" w:cs="Times New Roman" w:eastAsia="Times New Roman" w:hAnsi="Times New Roman"/>
                <w:sz w:val="9"/>
                <w:szCs w:val="9"/>
                <w:b w:val="1"/>
                <w:bCs w:val="1"/>
                <w:color w:val="auto"/>
              </w:rPr>
              <w:t>(35,248)</w:t>
            </w:r>
          </w:p>
        </w:tc>
        <w:tc>
          <w:tcPr>
            <w:tcW w:w="620" w:type="dxa"/>
            <w:vAlign w:val="bottom"/>
            <w:gridSpan w:val="2"/>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180,093</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94"/>
              <w:spacing w:after="0" w:line="98" w:lineRule="exact"/>
              <w:rPr>
                <w:sz w:val="20"/>
                <w:szCs w:val="20"/>
                <w:color w:val="auto"/>
              </w:rPr>
            </w:pPr>
            <w:r>
              <w:rPr>
                <w:rFonts w:ascii="Times New Roman" w:cs="Times New Roman" w:eastAsia="Times New Roman" w:hAnsi="Times New Roman"/>
                <w:sz w:val="9"/>
                <w:szCs w:val="9"/>
                <w:b w:val="1"/>
                <w:bCs w:val="1"/>
                <w:color w:val="auto"/>
              </w:rPr>
              <w:t>—</w:t>
            </w:r>
          </w:p>
        </w:tc>
        <w:tc>
          <w:tcPr>
            <w:tcW w:w="560" w:type="dxa"/>
            <w:vAlign w:val="bottom"/>
            <w:gridSpan w:val="2"/>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2,199</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57,550</w:t>
            </w:r>
          </w:p>
        </w:tc>
        <w:tc>
          <w:tcPr>
            <w:tcW w:w="6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28,399</w:t>
            </w: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700" w:type="dxa"/>
            <w:vAlign w:val="bottom"/>
          </w:tcPr>
          <w:p>
            <w:pPr>
              <w:spacing w:after="0" w:line="85" w:lineRule="exact"/>
              <w:rPr>
                <w:sz w:val="20"/>
                <w:szCs w:val="20"/>
                <w:color w:val="auto"/>
              </w:rPr>
            </w:pPr>
            <w:r>
              <w:rPr>
                <w:rFonts w:ascii="Times New Roman" w:cs="Times New Roman" w:eastAsia="Times New Roman" w:hAnsi="Times New Roman"/>
                <w:sz w:val="9"/>
                <w:szCs w:val="9"/>
                <w:color w:val="auto"/>
              </w:rPr>
              <w:t>- Third-party</w:t>
            </w: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700" w:type="dxa"/>
            <w:vAlign w:val="bottom"/>
          </w:tcPr>
          <w:p>
            <w:pPr>
              <w:ind w:left="80"/>
              <w:spacing w:after="0"/>
              <w:rPr>
                <w:sz w:val="20"/>
                <w:szCs w:val="20"/>
                <w:color w:val="auto"/>
              </w:rPr>
            </w:pPr>
            <w:r>
              <w:rPr>
                <w:rFonts w:ascii="Times New Roman" w:cs="Times New Roman" w:eastAsia="Times New Roman" w:hAnsi="Times New Roman"/>
                <w:sz w:val="9"/>
                <w:szCs w:val="9"/>
                <w:color w:val="auto"/>
              </w:rPr>
              <w:t>revenues</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8,728</w:t>
            </w:r>
          </w:p>
        </w:tc>
        <w:tc>
          <w:tcPr>
            <w:tcW w:w="60" w:type="dxa"/>
            <w:vAlign w:val="bottom"/>
          </w:tcPr>
          <w:p>
            <w:pPr>
              <w:spacing w:after="0"/>
              <w:rPr>
                <w:sz w:val="9"/>
                <w:szCs w:val="9"/>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82,604</w:t>
            </w:r>
          </w:p>
        </w:tc>
        <w:tc>
          <w:tcPr>
            <w:tcW w:w="60" w:type="dxa"/>
            <w:vAlign w:val="bottom"/>
          </w:tcPr>
          <w:p>
            <w:pPr>
              <w:spacing w:after="0"/>
              <w:rPr>
                <w:sz w:val="9"/>
                <w:szCs w:val="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30,482</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gridSpan w:val="2"/>
          </w:tcPr>
          <w:p>
            <w:pPr>
              <w:ind w:left="40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121,814</w:t>
            </w:r>
          </w:p>
        </w:tc>
        <w:tc>
          <w:tcPr>
            <w:tcW w:w="80" w:type="dxa"/>
            <w:vAlign w:val="bottom"/>
          </w:tcPr>
          <w:p>
            <w:pPr>
              <w:spacing w:after="0"/>
              <w:rPr>
                <w:sz w:val="9"/>
                <w:szCs w:val="9"/>
                <w:color w:val="auto"/>
              </w:rPr>
            </w:pP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64</w:t>
            </w:r>
          </w:p>
        </w:tc>
        <w:tc>
          <w:tcPr>
            <w:tcW w:w="20" w:type="dxa"/>
            <w:vAlign w:val="bottom"/>
          </w:tcPr>
          <w:p>
            <w:pPr>
              <w:spacing w:after="0"/>
              <w:rPr>
                <w:sz w:val="9"/>
                <w:szCs w:val="9"/>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144,749</w:t>
            </w:r>
          </w:p>
        </w:tc>
        <w:tc>
          <w:tcPr>
            <w:tcW w:w="60" w:type="dxa"/>
            <w:vAlign w:val="bottom"/>
          </w:tcPr>
          <w:p>
            <w:pPr>
              <w:spacing w:after="0"/>
              <w:rPr>
                <w:sz w:val="9"/>
                <w:szCs w:val="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35,280</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gridSpan w:val="2"/>
          </w:tcPr>
          <w:p>
            <w:pPr>
              <w:ind w:left="40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180,093</w:t>
            </w:r>
          </w:p>
        </w:tc>
        <w:tc>
          <w:tcPr>
            <w:tcW w:w="80" w:type="dxa"/>
            <w:vAlign w:val="bottom"/>
          </w:tcPr>
          <w:p>
            <w:pPr>
              <w:spacing w:after="0"/>
              <w:rPr>
                <w:sz w:val="9"/>
                <w:szCs w:val="9"/>
                <w:color w:val="auto"/>
              </w:rPr>
            </w:pPr>
          </w:p>
        </w:tc>
        <w:tc>
          <w:tcPr>
            <w:tcW w:w="420" w:type="dxa"/>
            <w:vAlign w:val="bottom"/>
            <w:gridSpan w:val="2"/>
          </w:tcPr>
          <w:p>
            <w:pPr>
              <w:jc w:val="right"/>
              <w:ind w:right="94"/>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2,199</w:t>
            </w:r>
          </w:p>
        </w:tc>
        <w:tc>
          <w:tcPr>
            <w:tcW w:w="8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54,378</w:t>
            </w:r>
          </w:p>
        </w:tc>
        <w:tc>
          <w:tcPr>
            <w:tcW w:w="60" w:type="dxa"/>
            <w:vAlign w:val="bottom"/>
          </w:tcPr>
          <w:p>
            <w:pPr>
              <w:spacing w:after="0"/>
              <w:rPr>
                <w:sz w:val="9"/>
                <w:szCs w:val="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230</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700" w:type="dxa"/>
            <w:vAlign w:val="bottom"/>
            <w:shd w:val="clear" w:color="auto" w:fill="CCEEFF"/>
          </w:tcPr>
          <w:p>
            <w:pPr>
              <w:spacing w:after="0" w:line="85" w:lineRule="exact"/>
              <w:rPr>
                <w:sz w:val="20"/>
                <w:szCs w:val="20"/>
                <w:color w:val="auto"/>
              </w:rPr>
            </w:pPr>
            <w:r>
              <w:rPr>
                <w:rFonts w:ascii="Times New Roman" w:cs="Times New Roman" w:eastAsia="Times New Roman" w:hAnsi="Times New Roman"/>
                <w:sz w:val="9"/>
                <w:szCs w:val="9"/>
                <w:color w:val="auto"/>
              </w:rPr>
              <w:t>- Inter-company</w:t>
            </w: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revenues(1)</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12,261</w:t>
            </w:r>
          </w:p>
        </w:tc>
        <w:tc>
          <w:tcPr>
            <w:tcW w:w="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31,806</w:t>
            </w:r>
          </w:p>
        </w:tc>
        <w:tc>
          <w:tcPr>
            <w:tcW w:w="60" w:type="dxa"/>
            <w:vAlign w:val="bottom"/>
            <w:shd w:val="clear" w:color="auto" w:fill="CCEEFF"/>
          </w:tcPr>
          <w:p>
            <w:pPr>
              <w:spacing w:after="0"/>
              <w:rPr>
                <w:sz w:val="10"/>
                <w:szCs w:val="10"/>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9"/>
                <w:szCs w:val="9"/>
                <w:color w:val="auto"/>
              </w:rPr>
              <w:t>(44,067)</w:t>
            </w:r>
          </w:p>
        </w:tc>
        <w:tc>
          <w:tcPr>
            <w:tcW w:w="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2,156</w:t>
            </w:r>
          </w:p>
        </w:tc>
        <w:tc>
          <w:tcPr>
            <w:tcW w:w="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33,092</w:t>
            </w:r>
          </w:p>
        </w:tc>
        <w:tc>
          <w:tcPr>
            <w:tcW w:w="40" w:type="dxa"/>
            <w:vAlign w:val="bottom"/>
            <w:shd w:val="clear" w:color="auto" w:fill="CCEEFF"/>
          </w:tcPr>
          <w:p>
            <w:pPr>
              <w:spacing w:after="0"/>
              <w:rPr>
                <w:sz w:val="10"/>
                <w:szCs w:val="10"/>
                <w:color w:val="auto"/>
              </w:rPr>
            </w:pP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9"/>
                <w:szCs w:val="9"/>
                <w:color w:val="auto"/>
              </w:rPr>
              <w:t>(35,248)</w:t>
            </w:r>
          </w:p>
        </w:tc>
        <w:tc>
          <w:tcPr>
            <w:tcW w:w="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3,172</w:t>
            </w:r>
          </w:p>
        </w:tc>
        <w:tc>
          <w:tcPr>
            <w:tcW w:w="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28,169</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700" w:type="dxa"/>
            <w:vAlign w:val="bottom"/>
          </w:tcPr>
          <w:p>
            <w:pPr>
              <w:spacing w:after="0" w:line="82" w:lineRule="exact"/>
              <w:rPr>
                <w:sz w:val="20"/>
                <w:szCs w:val="20"/>
                <w:color w:val="auto"/>
              </w:rPr>
            </w:pPr>
            <w:r>
              <w:rPr>
                <w:rFonts w:ascii="Times New Roman" w:cs="Times New Roman" w:eastAsia="Times New Roman" w:hAnsi="Times New Roman"/>
                <w:sz w:val="9"/>
                <w:szCs w:val="9"/>
                <w:b w:val="1"/>
                <w:bCs w:val="1"/>
                <w:color w:val="auto"/>
              </w:rPr>
              <w:t>Costs of</w:t>
            </w: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700" w:type="dxa"/>
            <w:vAlign w:val="bottom"/>
          </w:tcPr>
          <w:p>
            <w:pPr>
              <w:ind w:left="80"/>
              <w:spacing w:after="0"/>
              <w:rPr>
                <w:sz w:val="20"/>
                <w:szCs w:val="20"/>
                <w:color w:val="auto"/>
              </w:rPr>
            </w:pPr>
            <w:r>
              <w:rPr>
                <w:rFonts w:ascii="Times New Roman" w:cs="Times New Roman" w:eastAsia="Times New Roman" w:hAnsi="Times New Roman"/>
                <w:sz w:val="9"/>
                <w:szCs w:val="9"/>
                <w:b w:val="1"/>
                <w:bCs w:val="1"/>
                <w:color w:val="auto"/>
              </w:rPr>
              <w:t>revenues</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9"/>
                <w:szCs w:val="9"/>
                <w:b w:val="1"/>
                <w:bCs w:val="1"/>
                <w:color w:val="auto"/>
              </w:rPr>
              <w:t>—</w:t>
            </w: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9"/>
                <w:szCs w:val="9"/>
                <w:b w:val="1"/>
                <w:bCs w:val="1"/>
                <w:color w:val="auto"/>
              </w:rPr>
              <w:t>(8,497)</w:t>
            </w:r>
          </w:p>
        </w:tc>
        <w:tc>
          <w:tcPr>
            <w:tcW w:w="400" w:type="dxa"/>
            <w:vAlign w:val="bottom"/>
            <w:gridSpan w:val="3"/>
          </w:tcPr>
          <w:p>
            <w:pPr>
              <w:jc w:val="right"/>
              <w:ind w:right="34"/>
              <w:spacing w:after="0"/>
              <w:rPr>
                <w:sz w:val="20"/>
                <w:szCs w:val="20"/>
                <w:color w:val="auto"/>
              </w:rPr>
            </w:pPr>
            <w:r>
              <w:rPr>
                <w:rFonts w:ascii="Times New Roman" w:cs="Times New Roman" w:eastAsia="Times New Roman" w:hAnsi="Times New Roman"/>
                <w:sz w:val="9"/>
                <w:szCs w:val="9"/>
                <w:b w:val="1"/>
                <w:bCs w:val="1"/>
                <w:color w:val="auto"/>
              </w:rPr>
              <w:t>(67,825)</w:t>
            </w: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9"/>
                <w:szCs w:val="9"/>
                <w:b w:val="1"/>
                <w:bCs w:val="1"/>
                <w:color w:val="auto"/>
              </w:rPr>
              <w:t>(17,640)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43,366</w:t>
            </w:r>
          </w:p>
        </w:tc>
        <w:tc>
          <w:tcPr>
            <w:tcW w:w="60" w:type="dxa"/>
            <w:vAlign w:val="bottom"/>
          </w:tcPr>
          <w:p>
            <w:pPr>
              <w:spacing w:after="0"/>
              <w:rPr>
                <w:sz w:val="9"/>
                <w:szCs w:val="9"/>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(50,596)</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9"/>
                <w:szCs w:val="9"/>
                <w:b w:val="1"/>
                <w:bCs w:val="1"/>
                <w:color w:val="auto"/>
              </w:rPr>
              <w:t>—</w:t>
            </w:r>
          </w:p>
        </w:tc>
        <w:tc>
          <w:tcPr>
            <w:tcW w:w="20" w:type="dxa"/>
            <w:vAlign w:val="bottom"/>
          </w:tcPr>
          <w:p>
            <w:pPr>
              <w:spacing w:after="0"/>
              <w:rPr>
                <w:sz w:val="9"/>
                <w:szCs w:val="9"/>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b w:val="1"/>
                <w:bCs w:val="1"/>
                <w:color w:val="auto"/>
              </w:rPr>
              <w:t>—</w:t>
            </w: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9"/>
                <w:szCs w:val="9"/>
                <w:b w:val="1"/>
                <w:bCs w:val="1"/>
                <w:color w:val="auto"/>
              </w:rPr>
              <w:t>(99,530)</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b w:val="1"/>
                <w:bCs w:val="1"/>
                <w:color w:val="auto"/>
              </w:rPr>
              <w:t>(10,239)</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35,855</w:t>
            </w:r>
          </w:p>
        </w:tc>
        <w:tc>
          <w:tcPr>
            <w:tcW w:w="60" w:type="dxa"/>
            <w:vAlign w:val="bottom"/>
          </w:tcPr>
          <w:p>
            <w:pPr>
              <w:spacing w:after="0"/>
              <w:rPr>
                <w:sz w:val="9"/>
                <w:szCs w:val="9"/>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(73,914)</w:t>
            </w:r>
          </w:p>
        </w:tc>
        <w:tc>
          <w:tcPr>
            <w:tcW w:w="420" w:type="dxa"/>
            <w:vAlign w:val="bottom"/>
            <w:gridSpan w:val="2"/>
          </w:tcPr>
          <w:p>
            <w:pPr>
              <w:jc w:val="right"/>
              <w:ind w:right="94"/>
              <w:spacing w:after="0"/>
              <w:rPr>
                <w:sz w:val="20"/>
                <w:szCs w:val="20"/>
                <w:color w:val="auto"/>
              </w:rPr>
            </w:pPr>
            <w:r>
              <w:rPr>
                <w:rFonts w:ascii="Times New Roman" w:cs="Times New Roman" w:eastAsia="Times New Roman" w:hAnsi="Times New Roman"/>
                <w:sz w:val="9"/>
                <w:szCs w:val="9"/>
                <w:b w:val="1"/>
                <w:bCs w:val="1"/>
                <w:color w:val="auto"/>
              </w:rPr>
              <w:t>—</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(1,616)</w:t>
            </w:r>
          </w:p>
        </w:tc>
        <w:tc>
          <w:tcPr>
            <w:tcW w:w="420" w:type="dxa"/>
            <w:vAlign w:val="bottom"/>
            <w:gridSpan w:val="2"/>
          </w:tcPr>
          <w:p>
            <w:pPr>
              <w:jc w:val="right"/>
              <w:ind w:right="34"/>
              <w:spacing w:after="0"/>
              <w:rPr>
                <w:sz w:val="20"/>
                <w:szCs w:val="20"/>
                <w:color w:val="auto"/>
              </w:rPr>
            </w:pPr>
            <w:r>
              <w:rPr>
                <w:rFonts w:ascii="Times New Roman" w:cs="Times New Roman" w:eastAsia="Times New Roman" w:hAnsi="Times New Roman"/>
                <w:sz w:val="9"/>
                <w:szCs w:val="9"/>
                <w:b w:val="1"/>
                <w:bCs w:val="1"/>
                <w:color w:val="auto"/>
              </w:rPr>
              <w:t>(49,098)</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b w:val="1"/>
                <w:bCs w:val="1"/>
                <w:color w:val="auto"/>
              </w:rPr>
              <w:t>(720)</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700" w:type="dxa"/>
            <w:vAlign w:val="bottom"/>
            <w:shd w:val="clear" w:color="auto" w:fill="CCEEFF"/>
          </w:tcPr>
          <w:p>
            <w:pPr>
              <w:spacing w:after="0" w:line="85" w:lineRule="exact"/>
              <w:rPr>
                <w:sz w:val="20"/>
                <w:szCs w:val="20"/>
                <w:color w:val="auto"/>
              </w:rPr>
            </w:pPr>
            <w:r>
              <w:rPr>
                <w:rFonts w:ascii="Times New Roman" w:cs="Times New Roman" w:eastAsia="Times New Roman" w:hAnsi="Times New Roman"/>
                <w:sz w:val="9"/>
                <w:szCs w:val="9"/>
                <w:color w:val="auto"/>
              </w:rPr>
              <w:t>- Third-party cost</w:t>
            </w: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of revenues</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9"/>
                <w:szCs w:val="9"/>
                <w:color w:val="auto"/>
              </w:rPr>
              <w:t>(153)</w:t>
            </w:r>
          </w:p>
        </w:tc>
        <w:tc>
          <w:tcPr>
            <w:tcW w:w="400" w:type="dxa"/>
            <w:vAlign w:val="bottom"/>
            <w:gridSpan w:val="3"/>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color w:val="auto"/>
              </w:rPr>
              <w:t>(39,744)</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9"/>
                <w:szCs w:val="9"/>
                <w:color w:val="auto"/>
              </w:rPr>
              <w:t>(10,699)</w:t>
            </w:r>
          </w:p>
        </w:tc>
        <w:tc>
          <w:tcPr>
            <w:tcW w:w="20" w:type="dxa"/>
            <w:vAlign w:val="bottom"/>
            <w:shd w:val="clear" w:color="auto" w:fill="CCEEFF"/>
          </w:tcPr>
          <w:p>
            <w:pPr>
              <w:spacing w:after="0"/>
              <w:rPr>
                <w:sz w:val="9"/>
                <w:szCs w:val="9"/>
                <w:color w:val="auto"/>
              </w:rPr>
            </w:pP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(50,596)</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9"/>
                <w:szCs w:val="9"/>
                <w:color w:val="auto"/>
              </w:rPr>
              <w:t>(66,438)</w:t>
            </w: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9"/>
                <w:szCs w:val="9"/>
                <w:color w:val="auto"/>
              </w:rPr>
              <w:t>(7,476)</w:t>
            </w:r>
          </w:p>
        </w:tc>
        <w:tc>
          <w:tcPr>
            <w:tcW w:w="40" w:type="dxa"/>
            <w:vAlign w:val="bottom"/>
            <w:shd w:val="clear" w:color="auto" w:fill="CCEEFF"/>
          </w:tcPr>
          <w:p>
            <w:pPr>
              <w:spacing w:after="0"/>
              <w:rPr>
                <w:sz w:val="9"/>
                <w:szCs w:val="9"/>
                <w:color w:val="auto"/>
              </w:rPr>
            </w:pP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(73,914)</w:t>
            </w:r>
          </w:p>
        </w:tc>
        <w:tc>
          <w:tcPr>
            <w:tcW w:w="42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(48)</w:t>
            </w:r>
          </w:p>
        </w:tc>
        <w:tc>
          <w:tcPr>
            <w:tcW w:w="42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color w:val="auto"/>
              </w:rPr>
              <w:t>(20,069)</w:t>
            </w: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9"/>
                <w:szCs w:val="9"/>
                <w:color w:val="auto"/>
              </w:rPr>
              <w:t>(660)</w:t>
            </w: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700" w:type="dxa"/>
            <w:vAlign w:val="bottom"/>
          </w:tcPr>
          <w:p>
            <w:pPr>
              <w:spacing w:after="0" w:line="85" w:lineRule="exact"/>
              <w:rPr>
                <w:sz w:val="20"/>
                <w:szCs w:val="20"/>
                <w:color w:val="auto"/>
              </w:rPr>
            </w:pPr>
            <w:r>
              <w:rPr>
                <w:rFonts w:ascii="Times New Roman" w:cs="Times New Roman" w:eastAsia="Times New Roman" w:hAnsi="Times New Roman"/>
                <w:sz w:val="9"/>
                <w:szCs w:val="9"/>
                <w:color w:val="auto"/>
              </w:rPr>
              <w:t>- Inter-company</w:t>
            </w: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700" w:type="dxa"/>
            <w:vAlign w:val="bottom"/>
          </w:tcPr>
          <w:p>
            <w:pPr>
              <w:ind w:left="80"/>
              <w:spacing w:after="0" w:line="98" w:lineRule="exact"/>
              <w:rPr>
                <w:sz w:val="20"/>
                <w:szCs w:val="20"/>
                <w:color w:val="auto"/>
              </w:rPr>
            </w:pPr>
            <w:r>
              <w:rPr>
                <w:rFonts w:ascii="Times New Roman" w:cs="Times New Roman" w:eastAsia="Times New Roman" w:hAnsi="Times New Roman"/>
                <w:sz w:val="9"/>
                <w:szCs w:val="9"/>
                <w:color w:val="auto"/>
              </w:rPr>
              <w:t>cost of</w:t>
            </w: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700" w:type="dxa"/>
            <w:vAlign w:val="bottom"/>
          </w:tcPr>
          <w:p>
            <w:pPr>
              <w:ind w:left="80"/>
              <w:spacing w:after="0"/>
              <w:rPr>
                <w:sz w:val="20"/>
                <w:szCs w:val="20"/>
                <w:color w:val="auto"/>
              </w:rPr>
            </w:pPr>
            <w:r>
              <w:rPr>
                <w:rFonts w:ascii="Times New Roman" w:cs="Times New Roman" w:eastAsia="Times New Roman" w:hAnsi="Times New Roman"/>
                <w:sz w:val="9"/>
                <w:szCs w:val="9"/>
                <w:color w:val="auto"/>
              </w:rPr>
              <w:t>revenues</w:t>
            </w:r>
            <w:r>
              <w:rPr>
                <w:rFonts w:ascii="Times New Roman" w:cs="Times New Roman" w:eastAsia="Times New Roman" w:hAnsi="Times New Roman"/>
                <w:sz w:val="6"/>
                <w:szCs w:val="6"/>
                <w:color w:val="auto"/>
              </w:rPr>
              <w:t>(1)</w:t>
            </w:r>
          </w:p>
        </w:tc>
        <w:tc>
          <w:tcPr>
            <w:tcW w:w="30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rPr>
              <w:t>(8,344)</w:t>
            </w:r>
          </w:p>
        </w:tc>
        <w:tc>
          <w:tcPr>
            <w:tcW w:w="400" w:type="dxa"/>
            <w:vAlign w:val="bottom"/>
            <w:gridSpan w:val="3"/>
          </w:tcPr>
          <w:p>
            <w:pPr>
              <w:jc w:val="right"/>
              <w:ind w:right="34"/>
              <w:spacing w:after="0"/>
              <w:rPr>
                <w:sz w:val="20"/>
                <w:szCs w:val="20"/>
                <w:color w:val="auto"/>
              </w:rPr>
            </w:pPr>
            <w:r>
              <w:rPr>
                <w:rFonts w:ascii="Times New Roman" w:cs="Times New Roman" w:eastAsia="Times New Roman" w:hAnsi="Times New Roman"/>
                <w:sz w:val="9"/>
                <w:szCs w:val="9"/>
                <w:color w:val="auto"/>
              </w:rPr>
              <w:t>(28,081)</w:t>
            </w: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9"/>
                <w:szCs w:val="9"/>
                <w:color w:val="auto"/>
              </w:rPr>
              <w:t>(6,941)</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43,366</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9"/>
                <w:szCs w:val="9"/>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9"/>
                <w:szCs w:val="9"/>
                <w:color w:val="auto"/>
              </w:rPr>
              <w:t>(33,092)</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(2,763)</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35,855</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gridSpan w:val="2"/>
          </w:tcPr>
          <w:p>
            <w:pPr>
              <w:jc w:val="right"/>
              <w:ind w:right="94"/>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9"/>
                <w:szCs w:val="9"/>
                <w:color w:val="auto"/>
              </w:rPr>
              <w:t>(1,568)</w:t>
            </w:r>
          </w:p>
        </w:tc>
        <w:tc>
          <w:tcPr>
            <w:tcW w:w="420" w:type="dxa"/>
            <w:vAlign w:val="bottom"/>
            <w:gridSpan w:val="2"/>
          </w:tcPr>
          <w:p>
            <w:pPr>
              <w:jc w:val="right"/>
              <w:ind w:right="34"/>
              <w:spacing w:after="0"/>
              <w:rPr>
                <w:sz w:val="20"/>
                <w:szCs w:val="20"/>
                <w:color w:val="auto"/>
              </w:rPr>
            </w:pPr>
            <w:r>
              <w:rPr>
                <w:rFonts w:ascii="Times New Roman" w:cs="Times New Roman" w:eastAsia="Times New Roman" w:hAnsi="Times New Roman"/>
                <w:sz w:val="9"/>
                <w:szCs w:val="9"/>
                <w:color w:val="auto"/>
              </w:rPr>
              <w:t>(29,029)</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(60)</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70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9"/>
                <w:szCs w:val="9"/>
                <w:b w:val="1"/>
                <w:bCs w:val="1"/>
                <w:color w:val="auto"/>
              </w:rPr>
              <w:t>Gross profit</w:t>
            </w:r>
          </w:p>
        </w:tc>
        <w:tc>
          <w:tcPr>
            <w:tcW w:w="300" w:type="dxa"/>
            <w:vAlign w:val="bottom"/>
            <w:shd w:val="clear" w:color="auto" w:fill="CCEEFF"/>
          </w:tcPr>
          <w:p>
            <w:pPr>
              <w:ind w:left="160"/>
              <w:spacing w:after="0" w:line="97" w:lineRule="exact"/>
              <w:rPr>
                <w:sz w:val="20"/>
                <w:szCs w:val="20"/>
                <w:color w:val="auto"/>
              </w:rPr>
            </w:pPr>
            <w:r>
              <w:rPr>
                <w:rFonts w:ascii="Times New Roman" w:cs="Times New Roman" w:eastAsia="Times New Roman" w:hAnsi="Times New Roman"/>
                <w:sz w:val="9"/>
                <w:szCs w:val="9"/>
                <w:b w:val="1"/>
                <w:bCs w:val="1"/>
                <w:color w:val="auto"/>
              </w:rPr>
              <w:t>—</w:t>
            </w: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b w:val="1"/>
                <w:bCs w:val="1"/>
                <w:color w:val="auto"/>
              </w:rPr>
              <w:t>231</w:t>
            </w: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b w:val="1"/>
                <w:bCs w:val="1"/>
                <w:color w:val="auto"/>
              </w:rPr>
              <w:t>27,040</w:t>
            </w: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b w:val="1"/>
                <w:bCs w:val="1"/>
                <w:color w:val="auto"/>
              </w:rPr>
              <w:t>44,648</w:t>
            </w: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20"/>
              <w:spacing w:after="0" w:line="97" w:lineRule="exact"/>
              <w:rPr>
                <w:sz w:val="20"/>
                <w:szCs w:val="20"/>
                <w:color w:val="auto"/>
              </w:rPr>
            </w:pPr>
            <w:r>
              <w:rPr>
                <w:rFonts w:ascii="Times New Roman" w:cs="Times New Roman" w:eastAsia="Times New Roman" w:hAnsi="Times New Roman"/>
                <w:sz w:val="9"/>
                <w:szCs w:val="9"/>
                <w:b w:val="1"/>
                <w:bCs w:val="1"/>
                <w:color w:val="auto"/>
              </w:rPr>
              <w:t>(701)</w:t>
            </w:r>
          </w:p>
        </w:tc>
        <w:tc>
          <w:tcPr>
            <w:tcW w:w="620" w:type="dxa"/>
            <w:vAlign w:val="bottom"/>
            <w:gridSpan w:val="2"/>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b w:val="1"/>
                <w:bCs w:val="1"/>
                <w:color w:val="auto"/>
              </w:rPr>
              <w:t>71,218</w:t>
            </w:r>
          </w:p>
        </w:tc>
        <w:tc>
          <w:tcPr>
            <w:tcW w:w="80" w:type="dxa"/>
            <w:vAlign w:val="bottom"/>
            <w:shd w:val="clear" w:color="auto" w:fill="CCEEFF"/>
          </w:tcPr>
          <w:p>
            <w:pPr>
              <w:spacing w:after="0"/>
              <w:rPr>
                <w:sz w:val="8"/>
                <w:szCs w:val="8"/>
                <w:color w:val="auto"/>
              </w:rPr>
            </w:pPr>
          </w:p>
        </w:tc>
        <w:tc>
          <w:tcPr>
            <w:tcW w:w="380" w:type="dxa"/>
            <w:vAlign w:val="bottom"/>
            <w:gridSpan w:val="2"/>
            <w:shd w:val="clear" w:color="auto" w:fill="CCEEFF"/>
          </w:tcPr>
          <w:p>
            <w:pPr>
              <w:ind w:left="180"/>
              <w:spacing w:after="0" w:line="97" w:lineRule="exact"/>
              <w:rPr>
                <w:sz w:val="20"/>
                <w:szCs w:val="20"/>
                <w:color w:val="auto"/>
              </w:rPr>
            </w:pPr>
            <w:r>
              <w:rPr>
                <w:rFonts w:ascii="Times New Roman" w:cs="Times New Roman" w:eastAsia="Times New Roman" w:hAnsi="Times New Roman"/>
                <w:sz w:val="9"/>
                <w:szCs w:val="9"/>
                <w:b w:val="1"/>
                <w:bCs w:val="1"/>
                <w:color w:val="auto"/>
              </w:rPr>
              <w:t>—</w:t>
            </w:r>
          </w:p>
        </w:tc>
        <w:tc>
          <w:tcPr>
            <w:tcW w:w="560" w:type="dxa"/>
            <w:vAlign w:val="bottom"/>
            <w:gridSpan w:val="2"/>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b w:val="1"/>
                <w:bCs w:val="1"/>
                <w:color w:val="auto"/>
              </w:rPr>
              <w:t>64</w:t>
            </w:r>
          </w:p>
        </w:tc>
        <w:tc>
          <w:tcPr>
            <w:tcW w:w="2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b w:val="1"/>
                <w:bCs w:val="1"/>
                <w:color w:val="auto"/>
              </w:rPr>
              <w:t>47,375</w:t>
            </w:r>
          </w:p>
        </w:tc>
        <w:tc>
          <w:tcPr>
            <w:tcW w:w="6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b w:val="1"/>
                <w:bCs w:val="1"/>
                <w:color w:val="auto"/>
              </w:rPr>
              <w:t>58,133</w:t>
            </w:r>
          </w:p>
        </w:tc>
        <w:tc>
          <w:tcPr>
            <w:tcW w:w="40" w:type="dxa"/>
            <w:vAlign w:val="bottom"/>
            <w:shd w:val="clear" w:color="auto" w:fill="CCEEFF"/>
          </w:tcPr>
          <w:p>
            <w:pPr>
              <w:spacing w:after="0"/>
              <w:rPr>
                <w:sz w:val="8"/>
                <w:szCs w:val="8"/>
                <w:color w:val="auto"/>
              </w:rPr>
            </w:pPr>
          </w:p>
        </w:tc>
        <w:tc>
          <w:tcPr>
            <w:tcW w:w="580" w:type="dxa"/>
            <w:vAlign w:val="bottom"/>
            <w:gridSpan w:val="2"/>
            <w:shd w:val="clear" w:color="auto" w:fill="CCEEFF"/>
          </w:tcPr>
          <w:p>
            <w:pPr>
              <w:ind w:left="440"/>
              <w:spacing w:after="0" w:line="97" w:lineRule="exact"/>
              <w:rPr>
                <w:sz w:val="20"/>
                <w:szCs w:val="20"/>
                <w:color w:val="auto"/>
              </w:rPr>
            </w:pPr>
            <w:r>
              <w:rPr>
                <w:rFonts w:ascii="Times New Roman" w:cs="Times New Roman" w:eastAsia="Times New Roman" w:hAnsi="Times New Roman"/>
                <w:sz w:val="9"/>
                <w:szCs w:val="9"/>
                <w:b w:val="1"/>
                <w:bCs w:val="1"/>
                <w:color w:val="auto"/>
                <w:w w:val="88"/>
              </w:rPr>
              <w:t>607</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b w:val="1"/>
                <w:bCs w:val="1"/>
                <w:color w:val="auto"/>
              </w:rPr>
              <w:t>106,179</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94"/>
              <w:spacing w:after="0" w:line="97" w:lineRule="exact"/>
              <w:rPr>
                <w:sz w:val="20"/>
                <w:szCs w:val="20"/>
                <w:color w:val="auto"/>
              </w:rPr>
            </w:pPr>
            <w:r>
              <w:rPr>
                <w:rFonts w:ascii="Times New Roman" w:cs="Times New Roman" w:eastAsia="Times New Roman" w:hAnsi="Times New Roman"/>
                <w:sz w:val="9"/>
                <w:szCs w:val="9"/>
                <w:b w:val="1"/>
                <w:bCs w:val="1"/>
                <w:color w:val="auto"/>
              </w:rPr>
              <w:t>—</w:t>
            </w:r>
          </w:p>
        </w:tc>
        <w:tc>
          <w:tcPr>
            <w:tcW w:w="560" w:type="dxa"/>
            <w:vAlign w:val="bottom"/>
            <w:gridSpan w:val="2"/>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b w:val="1"/>
                <w:bCs w:val="1"/>
                <w:color w:val="auto"/>
              </w:rPr>
              <w:t>583</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b w:val="1"/>
                <w:bCs w:val="1"/>
                <w:color w:val="auto"/>
              </w:rPr>
              <w:t>8,452</w:t>
            </w:r>
          </w:p>
        </w:tc>
        <w:tc>
          <w:tcPr>
            <w:tcW w:w="6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b w:val="1"/>
                <w:bCs w:val="1"/>
                <w:color w:val="auto"/>
              </w:rPr>
              <w:t>27,679</w:t>
            </w: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700" w:type="dxa"/>
            <w:vAlign w:val="bottom"/>
          </w:tcPr>
          <w:p>
            <w:pPr>
              <w:spacing w:after="0" w:line="85" w:lineRule="exact"/>
              <w:rPr>
                <w:sz w:val="20"/>
                <w:szCs w:val="20"/>
                <w:color w:val="auto"/>
              </w:rPr>
            </w:pPr>
            <w:r>
              <w:rPr>
                <w:rFonts w:ascii="Times New Roman" w:cs="Times New Roman" w:eastAsia="Times New Roman" w:hAnsi="Times New Roman"/>
                <w:sz w:val="9"/>
                <w:szCs w:val="9"/>
                <w:color w:val="auto"/>
              </w:rPr>
              <w:t>Sales and</w:t>
            </w: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700" w:type="dxa"/>
            <w:vAlign w:val="bottom"/>
          </w:tcPr>
          <w:p>
            <w:pPr>
              <w:ind w:left="80"/>
              <w:spacing w:after="0" w:line="98" w:lineRule="exact"/>
              <w:rPr>
                <w:sz w:val="20"/>
                <w:szCs w:val="20"/>
                <w:color w:val="auto"/>
              </w:rPr>
            </w:pPr>
            <w:r>
              <w:rPr>
                <w:rFonts w:ascii="Times New Roman" w:cs="Times New Roman" w:eastAsia="Times New Roman" w:hAnsi="Times New Roman"/>
                <w:sz w:val="9"/>
                <w:szCs w:val="9"/>
                <w:color w:val="auto"/>
              </w:rPr>
              <w:t>marketing</w:t>
            </w: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700" w:type="dxa"/>
            <w:vAlign w:val="bottom"/>
          </w:tcPr>
          <w:p>
            <w:pPr>
              <w:ind w:left="80"/>
              <w:spacing w:after="0"/>
              <w:rPr>
                <w:sz w:val="20"/>
                <w:szCs w:val="20"/>
                <w:color w:val="auto"/>
              </w:rPr>
            </w:pPr>
            <w:r>
              <w:rPr>
                <w:rFonts w:ascii="Times New Roman" w:cs="Times New Roman" w:eastAsia="Times New Roman" w:hAnsi="Times New Roman"/>
                <w:sz w:val="9"/>
                <w:szCs w:val="9"/>
                <w:color w:val="auto"/>
              </w:rPr>
              <w:t>expenses</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9"/>
                <w:szCs w:val="9"/>
                <w:color w:val="auto"/>
              </w:rPr>
              <w:t>(375)</w:t>
            </w:r>
          </w:p>
        </w:tc>
        <w:tc>
          <w:tcPr>
            <w:tcW w:w="400" w:type="dxa"/>
            <w:vAlign w:val="bottom"/>
            <w:gridSpan w:val="3"/>
          </w:tcPr>
          <w:p>
            <w:pPr>
              <w:jc w:val="right"/>
              <w:ind w:right="34"/>
              <w:spacing w:after="0"/>
              <w:rPr>
                <w:sz w:val="20"/>
                <w:szCs w:val="20"/>
                <w:color w:val="auto"/>
              </w:rPr>
            </w:pPr>
            <w:r>
              <w:rPr>
                <w:rFonts w:ascii="Times New Roman" w:cs="Times New Roman" w:eastAsia="Times New Roman" w:hAnsi="Times New Roman"/>
                <w:sz w:val="9"/>
                <w:szCs w:val="9"/>
                <w:color w:val="auto"/>
              </w:rPr>
              <w:t>(14,488)</w:t>
            </w: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9"/>
                <w:szCs w:val="9"/>
                <w:color w:val="auto"/>
              </w:rPr>
              <w:t>(12,093)</w:t>
            </w:r>
          </w:p>
        </w:tc>
        <w:tc>
          <w:tcPr>
            <w:tcW w:w="560" w:type="dxa"/>
            <w:vAlign w:val="bottom"/>
            <w:gridSpan w:val="2"/>
          </w:tcPr>
          <w:p>
            <w:pPr>
              <w:ind w:left="420"/>
              <w:spacing w:after="0"/>
              <w:rPr>
                <w:sz w:val="20"/>
                <w:szCs w:val="20"/>
                <w:color w:val="auto"/>
              </w:rPr>
            </w:pPr>
            <w:r>
              <w:rPr>
                <w:rFonts w:ascii="Times New Roman" w:cs="Times New Roman" w:eastAsia="Times New Roman" w:hAnsi="Times New Roman"/>
                <w:sz w:val="9"/>
                <w:szCs w:val="9"/>
                <w:color w:val="auto"/>
                <w:w w:val="88"/>
              </w:rPr>
              <w:t>101</w:t>
            </w:r>
          </w:p>
        </w:tc>
        <w:tc>
          <w:tcPr>
            <w:tcW w:w="60" w:type="dxa"/>
            <w:vAlign w:val="bottom"/>
          </w:tcPr>
          <w:p>
            <w:pPr>
              <w:spacing w:after="0"/>
              <w:rPr>
                <w:sz w:val="9"/>
                <w:szCs w:val="9"/>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9"/>
                <w:szCs w:val="9"/>
                <w:color w:val="auto"/>
              </w:rPr>
              <w:t>(26,855)</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9"/>
                <w:szCs w:val="9"/>
                <w:color w:val="auto"/>
              </w:rPr>
              <w:t>(4,419)</w:t>
            </w: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9"/>
                <w:szCs w:val="9"/>
                <w:color w:val="auto"/>
              </w:rPr>
              <w:t>(24,072)</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(8,695)</w:t>
            </w:r>
          </w:p>
        </w:tc>
        <w:tc>
          <w:tcPr>
            <w:tcW w:w="40" w:type="dxa"/>
            <w:vAlign w:val="bottom"/>
          </w:tcPr>
          <w:p>
            <w:pPr>
              <w:spacing w:after="0"/>
              <w:rPr>
                <w:sz w:val="9"/>
                <w:szCs w:val="9"/>
                <w:color w:val="auto"/>
              </w:rPr>
            </w:pPr>
          </w:p>
        </w:tc>
        <w:tc>
          <w:tcPr>
            <w:tcW w:w="600" w:type="dxa"/>
            <w:vAlign w:val="bottom"/>
            <w:gridSpan w:val="2"/>
          </w:tcPr>
          <w:p>
            <w:pPr>
              <w:ind w:left="40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9"/>
                <w:szCs w:val="9"/>
                <w:color w:val="auto"/>
              </w:rPr>
              <w:t>(37,186)</w:t>
            </w:r>
          </w:p>
        </w:tc>
        <w:tc>
          <w:tcPr>
            <w:tcW w:w="420" w:type="dxa"/>
            <w:vAlign w:val="bottom"/>
            <w:gridSpan w:val="2"/>
          </w:tcPr>
          <w:p>
            <w:pPr>
              <w:jc w:val="right"/>
              <w:ind w:right="94"/>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9"/>
                <w:szCs w:val="9"/>
                <w:color w:val="auto"/>
              </w:rPr>
              <w:t>(6,859)</w:t>
            </w:r>
          </w:p>
        </w:tc>
        <w:tc>
          <w:tcPr>
            <w:tcW w:w="420" w:type="dxa"/>
            <w:vAlign w:val="bottom"/>
            <w:gridSpan w:val="2"/>
          </w:tcPr>
          <w:p>
            <w:pPr>
              <w:jc w:val="right"/>
              <w:ind w:right="34"/>
              <w:spacing w:after="0"/>
              <w:rPr>
                <w:sz w:val="20"/>
                <w:szCs w:val="20"/>
                <w:color w:val="auto"/>
              </w:rPr>
            </w:pPr>
            <w:r>
              <w:rPr>
                <w:rFonts w:ascii="Times New Roman" w:cs="Times New Roman" w:eastAsia="Times New Roman" w:hAnsi="Times New Roman"/>
                <w:sz w:val="9"/>
                <w:szCs w:val="9"/>
                <w:color w:val="auto"/>
              </w:rPr>
              <w:t>(29,848)</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(7,105)</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700" w:type="dxa"/>
            <w:vAlign w:val="bottom"/>
            <w:shd w:val="clear" w:color="auto" w:fill="CCEEFF"/>
          </w:tcPr>
          <w:p>
            <w:pPr>
              <w:spacing w:after="0" w:line="85" w:lineRule="exact"/>
              <w:rPr>
                <w:sz w:val="20"/>
                <w:szCs w:val="20"/>
                <w:color w:val="auto"/>
              </w:rPr>
            </w:pPr>
            <w:r>
              <w:rPr>
                <w:rFonts w:ascii="Times New Roman" w:cs="Times New Roman" w:eastAsia="Times New Roman" w:hAnsi="Times New Roman"/>
                <w:sz w:val="9"/>
                <w:szCs w:val="9"/>
                <w:color w:val="auto"/>
              </w:rPr>
              <w:t>General and</w:t>
            </w: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700" w:type="dxa"/>
            <w:vAlign w:val="bottom"/>
            <w:shd w:val="clear" w:color="auto" w:fill="CCEEFF"/>
          </w:tcPr>
          <w:p>
            <w:pPr>
              <w:ind w:left="80"/>
              <w:spacing w:after="0" w:line="98" w:lineRule="exact"/>
              <w:rPr>
                <w:sz w:val="20"/>
                <w:szCs w:val="20"/>
                <w:color w:val="auto"/>
              </w:rPr>
            </w:pPr>
            <w:r>
              <w:rPr>
                <w:rFonts w:ascii="Times New Roman" w:cs="Times New Roman" w:eastAsia="Times New Roman" w:hAnsi="Times New Roman"/>
                <w:sz w:val="9"/>
                <w:szCs w:val="9"/>
                <w:color w:val="auto"/>
              </w:rPr>
              <w:t>administrative</w:t>
            </w: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expenses</w:t>
            </w:r>
          </w:p>
        </w:tc>
        <w:tc>
          <w:tcPr>
            <w:tcW w:w="36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color w:val="auto"/>
              </w:rPr>
              <w:t>(1,529)</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9"/>
                <w:szCs w:val="9"/>
                <w:color w:val="auto"/>
              </w:rPr>
              <w:t>(946)</w:t>
            </w:r>
          </w:p>
        </w:tc>
        <w:tc>
          <w:tcPr>
            <w:tcW w:w="400" w:type="dxa"/>
            <w:vAlign w:val="bottom"/>
            <w:gridSpan w:val="3"/>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color w:val="auto"/>
              </w:rPr>
              <w:t>(21,746)</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9"/>
                <w:szCs w:val="9"/>
                <w:color w:val="auto"/>
              </w:rPr>
              <w:t>(12,727)</w:t>
            </w:r>
          </w:p>
        </w:tc>
        <w:tc>
          <w:tcPr>
            <w:tcW w:w="20" w:type="dxa"/>
            <w:vAlign w:val="bottom"/>
            <w:shd w:val="clear" w:color="auto" w:fill="CCEEFF"/>
          </w:tcPr>
          <w:p>
            <w:pPr>
              <w:spacing w:after="0"/>
              <w:rPr>
                <w:sz w:val="9"/>
                <w:szCs w:val="9"/>
                <w:color w:val="auto"/>
              </w:rPr>
            </w:pP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(36,948)</w:t>
            </w:r>
          </w:p>
        </w:tc>
        <w:tc>
          <w:tcPr>
            <w:tcW w:w="3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color w:val="auto"/>
              </w:rPr>
              <w:t>(1,144)</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(3,537)</w:t>
            </w:r>
          </w:p>
        </w:tc>
        <w:tc>
          <w:tcPr>
            <w:tcW w:w="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9"/>
                <w:szCs w:val="9"/>
                <w:color w:val="auto"/>
              </w:rPr>
              <w:t>(44,442)</w:t>
            </w: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9"/>
                <w:szCs w:val="9"/>
                <w:color w:val="auto"/>
              </w:rPr>
              <w:t>(12,490)</w:t>
            </w:r>
          </w:p>
        </w:tc>
        <w:tc>
          <w:tcPr>
            <w:tcW w:w="40" w:type="dxa"/>
            <w:vAlign w:val="bottom"/>
            <w:shd w:val="clear" w:color="auto" w:fill="CCEEFF"/>
          </w:tcPr>
          <w:p>
            <w:pPr>
              <w:spacing w:after="0"/>
              <w:rPr>
                <w:sz w:val="9"/>
                <w:szCs w:val="9"/>
                <w:color w:val="auto"/>
              </w:rPr>
            </w:pP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(61,613)</w:t>
            </w:r>
          </w:p>
        </w:tc>
        <w:tc>
          <w:tcPr>
            <w:tcW w:w="42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color w:val="auto"/>
              </w:rPr>
              <w:t>(5,668)</w:t>
            </w: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(1,383)</w:t>
            </w:r>
          </w:p>
        </w:tc>
        <w:tc>
          <w:tcPr>
            <w:tcW w:w="42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color w:val="auto"/>
              </w:rPr>
              <w:t>(166,531)</w:t>
            </w: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9"/>
                <w:szCs w:val="9"/>
                <w:color w:val="auto"/>
              </w:rPr>
              <w:t>(13,889)</w:t>
            </w: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700" w:type="dxa"/>
            <w:vAlign w:val="bottom"/>
          </w:tcPr>
          <w:p>
            <w:pPr>
              <w:spacing w:after="0" w:line="85" w:lineRule="exact"/>
              <w:rPr>
                <w:sz w:val="20"/>
                <w:szCs w:val="20"/>
                <w:color w:val="auto"/>
              </w:rPr>
            </w:pPr>
            <w:r>
              <w:rPr>
                <w:rFonts w:ascii="Times New Roman" w:cs="Times New Roman" w:eastAsia="Times New Roman" w:hAnsi="Times New Roman"/>
                <w:sz w:val="9"/>
                <w:szCs w:val="9"/>
                <w:color w:val="auto"/>
              </w:rPr>
              <w:t>Research and</w:t>
            </w: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700" w:type="dxa"/>
            <w:vAlign w:val="bottom"/>
          </w:tcPr>
          <w:p>
            <w:pPr>
              <w:ind w:left="80"/>
              <w:spacing w:after="0" w:line="98" w:lineRule="exact"/>
              <w:rPr>
                <w:sz w:val="20"/>
                <w:szCs w:val="20"/>
                <w:color w:val="auto"/>
              </w:rPr>
            </w:pPr>
            <w:r>
              <w:rPr>
                <w:rFonts w:ascii="Times New Roman" w:cs="Times New Roman" w:eastAsia="Times New Roman" w:hAnsi="Times New Roman"/>
                <w:sz w:val="9"/>
                <w:szCs w:val="9"/>
                <w:color w:val="auto"/>
              </w:rPr>
              <w:t>development</w:t>
            </w: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700" w:type="dxa"/>
            <w:vAlign w:val="bottom"/>
          </w:tcPr>
          <w:p>
            <w:pPr>
              <w:ind w:left="80"/>
              <w:spacing w:after="0"/>
              <w:rPr>
                <w:sz w:val="20"/>
                <w:szCs w:val="20"/>
                <w:color w:val="auto"/>
              </w:rPr>
            </w:pPr>
            <w:r>
              <w:rPr>
                <w:rFonts w:ascii="Times New Roman" w:cs="Times New Roman" w:eastAsia="Times New Roman" w:hAnsi="Times New Roman"/>
                <w:sz w:val="9"/>
                <w:szCs w:val="9"/>
                <w:color w:val="auto"/>
              </w:rPr>
              <w:t>expenses</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9"/>
                <w:szCs w:val="9"/>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gridSpan w:val="3"/>
          </w:tcPr>
          <w:p>
            <w:pPr>
              <w:jc w:val="right"/>
              <w:ind w:right="34"/>
              <w:spacing w:after="0"/>
              <w:rPr>
                <w:sz w:val="20"/>
                <w:szCs w:val="20"/>
                <w:color w:val="auto"/>
              </w:rPr>
            </w:pPr>
            <w:r>
              <w:rPr>
                <w:rFonts w:ascii="Times New Roman" w:cs="Times New Roman" w:eastAsia="Times New Roman" w:hAnsi="Times New Roman"/>
                <w:sz w:val="9"/>
                <w:szCs w:val="9"/>
                <w:color w:val="auto"/>
              </w:rPr>
              <w:t>(38,232)</w:t>
            </w: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9"/>
                <w:szCs w:val="9"/>
                <w:color w:val="auto"/>
              </w:rPr>
              <w:t>(19,296)</w:t>
            </w:r>
          </w:p>
        </w:tc>
        <w:tc>
          <w:tcPr>
            <w:tcW w:w="560" w:type="dxa"/>
            <w:vAlign w:val="bottom"/>
            <w:gridSpan w:val="2"/>
          </w:tcPr>
          <w:p>
            <w:pPr>
              <w:ind w:left="420"/>
              <w:spacing w:after="0"/>
              <w:rPr>
                <w:sz w:val="20"/>
                <w:szCs w:val="20"/>
                <w:color w:val="auto"/>
              </w:rPr>
            </w:pPr>
            <w:r>
              <w:rPr>
                <w:rFonts w:ascii="Times New Roman" w:cs="Times New Roman" w:eastAsia="Times New Roman" w:hAnsi="Times New Roman"/>
                <w:sz w:val="9"/>
                <w:szCs w:val="9"/>
                <w:color w:val="auto"/>
                <w:w w:val="88"/>
              </w:rPr>
              <w:t>361</w:t>
            </w:r>
          </w:p>
        </w:tc>
        <w:tc>
          <w:tcPr>
            <w:tcW w:w="60" w:type="dxa"/>
            <w:vAlign w:val="bottom"/>
          </w:tcPr>
          <w:p>
            <w:pPr>
              <w:spacing w:after="0"/>
              <w:rPr>
                <w:sz w:val="9"/>
                <w:szCs w:val="9"/>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9"/>
                <w:szCs w:val="9"/>
                <w:color w:val="auto"/>
              </w:rPr>
              <w:t>(57,167)</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9"/>
                <w:szCs w:val="9"/>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9"/>
                <w:szCs w:val="9"/>
                <w:color w:val="auto"/>
              </w:rPr>
              <w:t>(91,967)</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(13,337)</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52</w:t>
            </w:r>
          </w:p>
        </w:tc>
        <w:tc>
          <w:tcPr>
            <w:tcW w:w="60" w:type="dxa"/>
            <w:vAlign w:val="bottom"/>
          </w:tcPr>
          <w:p>
            <w:pPr>
              <w:spacing w:after="0"/>
              <w:rPr>
                <w:sz w:val="9"/>
                <w:szCs w:val="9"/>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9"/>
                <w:szCs w:val="9"/>
                <w:color w:val="auto"/>
              </w:rPr>
              <w:t>(105,252)</w:t>
            </w:r>
          </w:p>
        </w:tc>
        <w:tc>
          <w:tcPr>
            <w:tcW w:w="420" w:type="dxa"/>
            <w:vAlign w:val="bottom"/>
            <w:gridSpan w:val="2"/>
          </w:tcPr>
          <w:p>
            <w:pPr>
              <w:jc w:val="right"/>
              <w:ind w:right="94"/>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9"/>
                <w:szCs w:val="9"/>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gridSpan w:val="2"/>
          </w:tcPr>
          <w:p>
            <w:pPr>
              <w:jc w:val="right"/>
              <w:ind w:right="34"/>
              <w:spacing w:after="0"/>
              <w:rPr>
                <w:sz w:val="20"/>
                <w:szCs w:val="20"/>
                <w:color w:val="auto"/>
              </w:rPr>
            </w:pPr>
            <w:r>
              <w:rPr>
                <w:rFonts w:ascii="Times New Roman" w:cs="Times New Roman" w:eastAsia="Times New Roman" w:hAnsi="Times New Roman"/>
                <w:sz w:val="9"/>
                <w:szCs w:val="9"/>
                <w:color w:val="auto"/>
              </w:rPr>
              <w:t>(115,141)</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(22,123)</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700" w:type="dxa"/>
            <w:vAlign w:val="bottom"/>
            <w:shd w:val="clear" w:color="auto" w:fill="CCEEFF"/>
          </w:tcPr>
          <w:p>
            <w:pPr>
              <w:spacing w:after="0" w:line="82" w:lineRule="exact"/>
              <w:rPr>
                <w:sz w:val="20"/>
                <w:szCs w:val="20"/>
                <w:color w:val="auto"/>
              </w:rPr>
            </w:pPr>
            <w:r>
              <w:rPr>
                <w:rFonts w:ascii="Times New Roman" w:cs="Times New Roman" w:eastAsia="Times New Roman" w:hAnsi="Times New Roman"/>
                <w:sz w:val="9"/>
                <w:szCs w:val="9"/>
                <w:b w:val="1"/>
                <w:bCs w:val="1"/>
                <w:color w:val="auto"/>
              </w:rPr>
              <w:t>Total operating</w:t>
            </w:r>
          </w:p>
        </w:tc>
        <w:tc>
          <w:tcPr>
            <w:tcW w:w="30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b w:val="1"/>
                <w:bCs w:val="1"/>
                <w:color w:val="auto"/>
              </w:rPr>
              <w:t>expenses</w:t>
            </w:r>
          </w:p>
        </w:tc>
        <w:tc>
          <w:tcPr>
            <w:tcW w:w="36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b w:val="1"/>
                <w:bCs w:val="1"/>
                <w:color w:val="auto"/>
              </w:rPr>
              <w:t>(1,529)</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9"/>
                <w:szCs w:val="9"/>
                <w:b w:val="1"/>
                <w:bCs w:val="1"/>
                <w:color w:val="auto"/>
              </w:rPr>
              <w:t>(1,321)</w:t>
            </w:r>
          </w:p>
        </w:tc>
        <w:tc>
          <w:tcPr>
            <w:tcW w:w="400" w:type="dxa"/>
            <w:vAlign w:val="bottom"/>
            <w:gridSpan w:val="3"/>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b w:val="1"/>
                <w:bCs w:val="1"/>
                <w:color w:val="auto"/>
              </w:rPr>
              <w:t>(74,466)</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9"/>
                <w:szCs w:val="9"/>
                <w:b w:val="1"/>
                <w:bCs w:val="1"/>
                <w:color w:val="auto"/>
              </w:rPr>
              <w:t>(44,116)</w:t>
            </w:r>
          </w:p>
        </w:tc>
        <w:tc>
          <w:tcPr>
            <w:tcW w:w="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9"/>
                <w:szCs w:val="9"/>
                <w:b w:val="1"/>
                <w:bCs w:val="1"/>
                <w:color w:val="auto"/>
                <w:w w:val="88"/>
              </w:rPr>
              <w:t>462</w:t>
            </w:r>
          </w:p>
        </w:tc>
        <w:tc>
          <w:tcPr>
            <w:tcW w:w="60" w:type="dxa"/>
            <w:vAlign w:val="bottom"/>
            <w:shd w:val="clear" w:color="auto" w:fill="CCEEFF"/>
          </w:tcPr>
          <w:p>
            <w:pPr>
              <w:spacing w:after="0"/>
              <w:rPr>
                <w:sz w:val="9"/>
                <w:szCs w:val="9"/>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(120,970)</w:t>
            </w:r>
          </w:p>
        </w:tc>
        <w:tc>
          <w:tcPr>
            <w:tcW w:w="3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b w:val="1"/>
                <w:bCs w:val="1"/>
                <w:color w:val="auto"/>
              </w:rPr>
              <w:t>(1,144)</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(7,956)</w:t>
            </w:r>
          </w:p>
        </w:tc>
        <w:tc>
          <w:tcPr>
            <w:tcW w:w="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9"/>
                <w:szCs w:val="9"/>
                <w:b w:val="1"/>
                <w:bCs w:val="1"/>
                <w:color w:val="auto"/>
              </w:rPr>
              <w:t>(160,481)</w:t>
            </w: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9"/>
                <w:szCs w:val="9"/>
                <w:b w:val="1"/>
                <w:bCs w:val="1"/>
                <w:color w:val="auto"/>
              </w:rPr>
              <w:t>(34,522)</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52</w:t>
            </w:r>
          </w:p>
        </w:tc>
        <w:tc>
          <w:tcPr>
            <w:tcW w:w="60" w:type="dxa"/>
            <w:vAlign w:val="bottom"/>
            <w:shd w:val="clear" w:color="auto" w:fill="CCEEFF"/>
          </w:tcPr>
          <w:p>
            <w:pPr>
              <w:spacing w:after="0"/>
              <w:rPr>
                <w:sz w:val="9"/>
                <w:szCs w:val="9"/>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(204,051)</w:t>
            </w:r>
          </w:p>
        </w:tc>
        <w:tc>
          <w:tcPr>
            <w:tcW w:w="42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b w:val="1"/>
                <w:bCs w:val="1"/>
                <w:color w:val="auto"/>
              </w:rPr>
              <w:t>(5,668)</w:t>
            </w: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(8,242)</w:t>
            </w:r>
          </w:p>
        </w:tc>
        <w:tc>
          <w:tcPr>
            <w:tcW w:w="42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b w:val="1"/>
                <w:bCs w:val="1"/>
                <w:color w:val="auto"/>
              </w:rPr>
              <w:t>(311,520)</w:t>
            </w: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9"/>
                <w:szCs w:val="9"/>
                <w:b w:val="1"/>
                <w:bCs w:val="1"/>
                <w:color w:val="auto"/>
              </w:rPr>
              <w:t>(43,117)</w:t>
            </w: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700" w:type="dxa"/>
            <w:vAlign w:val="bottom"/>
          </w:tcPr>
          <w:p>
            <w:pPr>
              <w:spacing w:after="0" w:line="85" w:lineRule="exact"/>
              <w:rPr>
                <w:sz w:val="20"/>
                <w:szCs w:val="20"/>
                <w:color w:val="auto"/>
              </w:rPr>
            </w:pPr>
            <w:r>
              <w:rPr>
                <w:rFonts w:ascii="Times New Roman" w:cs="Times New Roman" w:eastAsia="Times New Roman" w:hAnsi="Times New Roman"/>
                <w:sz w:val="9"/>
                <w:szCs w:val="9"/>
                <w:color w:val="auto"/>
              </w:rPr>
              <w:t>Other operating</w:t>
            </w: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700" w:type="dxa"/>
            <w:vAlign w:val="bottom"/>
          </w:tcPr>
          <w:p>
            <w:pPr>
              <w:ind w:left="80"/>
              <w:spacing w:after="0"/>
              <w:rPr>
                <w:sz w:val="20"/>
                <w:szCs w:val="20"/>
                <w:color w:val="auto"/>
              </w:rPr>
            </w:pPr>
            <w:r>
              <w:rPr>
                <w:rFonts w:ascii="Times New Roman" w:cs="Times New Roman" w:eastAsia="Times New Roman" w:hAnsi="Times New Roman"/>
                <w:sz w:val="9"/>
                <w:szCs w:val="9"/>
                <w:color w:val="auto"/>
              </w:rPr>
              <w:t>income</w:t>
            </w:r>
          </w:p>
        </w:tc>
        <w:tc>
          <w:tcPr>
            <w:tcW w:w="3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1,286</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2,121</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3,407</w:t>
            </w:r>
          </w:p>
        </w:tc>
        <w:tc>
          <w:tcPr>
            <w:tcW w:w="80" w:type="dxa"/>
            <w:vAlign w:val="bottom"/>
          </w:tcPr>
          <w:p>
            <w:pPr>
              <w:spacing w:after="0"/>
              <w:rPr>
                <w:sz w:val="9"/>
                <w:szCs w:val="9"/>
                <w:color w:val="auto"/>
              </w:rPr>
            </w:pPr>
          </w:p>
        </w:tc>
        <w:tc>
          <w:tcPr>
            <w:tcW w:w="3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466</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3,125</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2,985</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6,576</w:t>
            </w:r>
          </w:p>
        </w:tc>
        <w:tc>
          <w:tcPr>
            <w:tcW w:w="80" w:type="dxa"/>
            <w:vAlign w:val="bottom"/>
          </w:tcPr>
          <w:p>
            <w:pPr>
              <w:spacing w:after="0"/>
              <w:rPr>
                <w:sz w:val="9"/>
                <w:szCs w:val="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1,696</w:t>
            </w:r>
          </w:p>
        </w:tc>
        <w:tc>
          <w:tcPr>
            <w:tcW w:w="80" w:type="dxa"/>
            <w:vAlign w:val="bottom"/>
          </w:tcPr>
          <w:p>
            <w:pPr>
              <w:spacing w:after="0"/>
              <w:rPr>
                <w:sz w:val="9"/>
                <w:szCs w:val="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4,544</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4,959</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70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9"/>
                <w:szCs w:val="9"/>
                <w:b w:val="1"/>
                <w:bCs w:val="1"/>
                <w:color w:val="auto"/>
              </w:rPr>
              <w:t>Operating loss</w:t>
            </w:r>
          </w:p>
        </w:tc>
        <w:tc>
          <w:tcPr>
            <w:tcW w:w="360" w:type="dxa"/>
            <w:vAlign w:val="bottom"/>
            <w:gridSpan w:val="2"/>
            <w:shd w:val="clear" w:color="auto" w:fill="CCEEFF"/>
          </w:tcPr>
          <w:p>
            <w:pPr>
              <w:jc w:val="right"/>
              <w:ind w:right="34"/>
              <w:spacing w:after="0" w:line="97" w:lineRule="exact"/>
              <w:rPr>
                <w:sz w:val="20"/>
                <w:szCs w:val="20"/>
                <w:color w:val="auto"/>
              </w:rPr>
            </w:pPr>
            <w:r>
              <w:rPr>
                <w:rFonts w:ascii="Times New Roman" w:cs="Times New Roman" w:eastAsia="Times New Roman" w:hAnsi="Times New Roman"/>
                <w:sz w:val="9"/>
                <w:szCs w:val="9"/>
                <w:b w:val="1"/>
                <w:bCs w:val="1"/>
                <w:color w:val="auto"/>
              </w:rPr>
              <w:t>(1,529)</w:t>
            </w:r>
          </w:p>
        </w:tc>
        <w:tc>
          <w:tcPr>
            <w:tcW w:w="620" w:type="dxa"/>
            <w:vAlign w:val="bottom"/>
            <w:gridSpan w:val="3"/>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9"/>
                <w:szCs w:val="9"/>
                <w:b w:val="1"/>
                <w:bCs w:val="1"/>
                <w:color w:val="auto"/>
              </w:rPr>
              <w:t>(1,090)</w:t>
            </w:r>
          </w:p>
        </w:tc>
        <w:tc>
          <w:tcPr>
            <w:tcW w:w="400" w:type="dxa"/>
            <w:vAlign w:val="bottom"/>
            <w:gridSpan w:val="3"/>
            <w:shd w:val="clear" w:color="auto" w:fill="CCEEFF"/>
          </w:tcPr>
          <w:p>
            <w:pPr>
              <w:jc w:val="right"/>
              <w:ind w:right="34"/>
              <w:spacing w:after="0" w:line="97" w:lineRule="exact"/>
              <w:rPr>
                <w:sz w:val="20"/>
                <w:szCs w:val="20"/>
                <w:color w:val="auto"/>
              </w:rPr>
            </w:pPr>
            <w:r>
              <w:rPr>
                <w:rFonts w:ascii="Times New Roman" w:cs="Times New Roman" w:eastAsia="Times New Roman" w:hAnsi="Times New Roman"/>
                <w:sz w:val="9"/>
                <w:szCs w:val="9"/>
                <w:b w:val="1"/>
                <w:bCs w:val="1"/>
                <w:color w:val="auto"/>
              </w:rPr>
              <w:t>(46,140)</w:t>
            </w:r>
          </w:p>
        </w:tc>
        <w:tc>
          <w:tcPr>
            <w:tcW w:w="560" w:type="dxa"/>
            <w:vAlign w:val="bottom"/>
            <w:gridSpan w:val="2"/>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b w:val="1"/>
                <w:bCs w:val="1"/>
                <w:color w:val="auto"/>
              </w:rPr>
              <w:t>2,653</w:t>
            </w:r>
          </w:p>
        </w:tc>
        <w:tc>
          <w:tcPr>
            <w:tcW w:w="60" w:type="dxa"/>
            <w:vAlign w:val="bottom"/>
            <w:shd w:val="clear" w:color="auto" w:fill="CCEEFF"/>
          </w:tcPr>
          <w:p>
            <w:pPr>
              <w:spacing w:after="0"/>
              <w:rPr>
                <w:sz w:val="8"/>
                <w:szCs w:val="8"/>
                <w:color w:val="auto"/>
              </w:rPr>
            </w:pPr>
          </w:p>
        </w:tc>
        <w:tc>
          <w:tcPr>
            <w:tcW w:w="620" w:type="dxa"/>
            <w:vAlign w:val="bottom"/>
            <w:gridSpan w:val="3"/>
            <w:shd w:val="clear" w:color="auto" w:fill="CCEEFF"/>
          </w:tcPr>
          <w:p>
            <w:pPr>
              <w:jc w:val="right"/>
              <w:ind w:right="20"/>
              <w:spacing w:after="0" w:line="97" w:lineRule="exact"/>
              <w:rPr>
                <w:sz w:val="20"/>
                <w:szCs w:val="20"/>
                <w:color w:val="auto"/>
              </w:rPr>
            </w:pPr>
            <w:r>
              <w:rPr>
                <w:rFonts w:ascii="Times New Roman" w:cs="Times New Roman" w:eastAsia="Times New Roman" w:hAnsi="Times New Roman"/>
                <w:sz w:val="9"/>
                <w:szCs w:val="9"/>
                <w:b w:val="1"/>
                <w:bCs w:val="1"/>
                <w:color w:val="auto"/>
              </w:rPr>
              <w:t>(239)</w:t>
            </w:r>
          </w:p>
        </w:tc>
        <w:tc>
          <w:tcPr>
            <w:tcW w:w="700" w:type="dxa"/>
            <w:vAlign w:val="bottom"/>
            <w:gridSpan w:val="3"/>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9"/>
                <w:szCs w:val="9"/>
                <w:b w:val="1"/>
                <w:bCs w:val="1"/>
                <w:color w:val="auto"/>
              </w:rPr>
              <w:t>(46,345)</w:t>
            </w:r>
          </w:p>
        </w:tc>
        <w:tc>
          <w:tcPr>
            <w:tcW w:w="380" w:type="dxa"/>
            <w:vAlign w:val="bottom"/>
            <w:gridSpan w:val="2"/>
            <w:shd w:val="clear" w:color="auto" w:fill="CCEEFF"/>
          </w:tcPr>
          <w:p>
            <w:pPr>
              <w:jc w:val="right"/>
              <w:ind w:right="34"/>
              <w:spacing w:after="0" w:line="97" w:lineRule="exact"/>
              <w:rPr>
                <w:sz w:val="20"/>
                <w:szCs w:val="20"/>
                <w:color w:val="auto"/>
              </w:rPr>
            </w:pPr>
            <w:r>
              <w:rPr>
                <w:rFonts w:ascii="Times New Roman" w:cs="Times New Roman" w:eastAsia="Times New Roman" w:hAnsi="Times New Roman"/>
                <w:sz w:val="9"/>
                <w:szCs w:val="9"/>
                <w:b w:val="1"/>
                <w:bCs w:val="1"/>
                <w:color w:val="auto"/>
              </w:rPr>
              <w:t>(1,144)</w:t>
            </w:r>
          </w:p>
        </w:tc>
        <w:tc>
          <w:tcPr>
            <w:tcW w:w="580" w:type="dxa"/>
            <w:vAlign w:val="bottom"/>
            <w:gridSpan w:val="3"/>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b w:val="1"/>
                <w:bCs w:val="1"/>
                <w:color w:val="auto"/>
              </w:rPr>
              <w:t>(7,426)</w:t>
            </w:r>
          </w:p>
        </w:tc>
        <w:tc>
          <w:tcPr>
            <w:tcW w:w="480" w:type="dxa"/>
            <w:vAlign w:val="bottom"/>
            <w:gridSpan w:val="3"/>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9"/>
                <w:szCs w:val="9"/>
                <w:b w:val="1"/>
                <w:bCs w:val="1"/>
                <w:color w:val="auto"/>
              </w:rPr>
              <w:t>(109,981)</w:t>
            </w:r>
          </w:p>
        </w:tc>
        <w:tc>
          <w:tcPr>
            <w:tcW w:w="560" w:type="dxa"/>
            <w:vAlign w:val="bottom"/>
            <w:gridSpan w:val="2"/>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b w:val="1"/>
                <w:bCs w:val="1"/>
                <w:color w:val="auto"/>
              </w:rPr>
              <w:t>26,596</w:t>
            </w:r>
          </w:p>
        </w:tc>
        <w:tc>
          <w:tcPr>
            <w:tcW w:w="40" w:type="dxa"/>
            <w:vAlign w:val="bottom"/>
            <w:shd w:val="clear" w:color="auto" w:fill="CCEEFF"/>
          </w:tcPr>
          <w:p>
            <w:pPr>
              <w:spacing w:after="0"/>
              <w:rPr>
                <w:sz w:val="8"/>
                <w:szCs w:val="8"/>
                <w:color w:val="auto"/>
              </w:rPr>
            </w:pPr>
          </w:p>
        </w:tc>
        <w:tc>
          <w:tcPr>
            <w:tcW w:w="580" w:type="dxa"/>
            <w:vAlign w:val="bottom"/>
            <w:gridSpan w:val="2"/>
            <w:shd w:val="clear" w:color="auto" w:fill="CCEEFF"/>
          </w:tcPr>
          <w:p>
            <w:pPr>
              <w:ind w:left="440"/>
              <w:spacing w:after="0" w:line="97" w:lineRule="exact"/>
              <w:rPr>
                <w:sz w:val="20"/>
                <w:szCs w:val="20"/>
                <w:color w:val="auto"/>
              </w:rPr>
            </w:pPr>
            <w:r>
              <w:rPr>
                <w:rFonts w:ascii="Times New Roman" w:cs="Times New Roman" w:eastAsia="Times New Roman" w:hAnsi="Times New Roman"/>
                <w:sz w:val="9"/>
                <w:szCs w:val="9"/>
                <w:b w:val="1"/>
                <w:bCs w:val="1"/>
                <w:color w:val="auto"/>
                <w:w w:val="88"/>
              </w:rPr>
              <w:t>659</w:t>
            </w:r>
          </w:p>
        </w:tc>
        <w:tc>
          <w:tcPr>
            <w:tcW w:w="60" w:type="dxa"/>
            <w:vAlign w:val="bottom"/>
            <w:shd w:val="clear" w:color="auto" w:fill="CCEEFF"/>
          </w:tcPr>
          <w:p>
            <w:pPr>
              <w:spacing w:after="0"/>
              <w:rPr>
                <w:sz w:val="8"/>
                <w:szCs w:val="8"/>
                <w:color w:val="auto"/>
              </w:rPr>
            </w:pPr>
          </w:p>
        </w:tc>
        <w:tc>
          <w:tcPr>
            <w:tcW w:w="700" w:type="dxa"/>
            <w:vAlign w:val="bottom"/>
            <w:gridSpan w:val="3"/>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9"/>
                <w:szCs w:val="9"/>
                <w:b w:val="1"/>
                <w:bCs w:val="1"/>
                <w:color w:val="auto"/>
              </w:rPr>
              <w:t>(91,296)</w:t>
            </w:r>
          </w:p>
        </w:tc>
        <w:tc>
          <w:tcPr>
            <w:tcW w:w="420" w:type="dxa"/>
            <w:vAlign w:val="bottom"/>
            <w:gridSpan w:val="2"/>
            <w:shd w:val="clear" w:color="auto" w:fill="CCEEFF"/>
          </w:tcPr>
          <w:p>
            <w:pPr>
              <w:jc w:val="right"/>
              <w:ind w:right="34"/>
              <w:spacing w:after="0" w:line="97" w:lineRule="exact"/>
              <w:rPr>
                <w:sz w:val="20"/>
                <w:szCs w:val="20"/>
                <w:color w:val="auto"/>
              </w:rPr>
            </w:pPr>
            <w:r>
              <w:rPr>
                <w:rFonts w:ascii="Times New Roman" w:cs="Times New Roman" w:eastAsia="Times New Roman" w:hAnsi="Times New Roman"/>
                <w:sz w:val="9"/>
                <w:szCs w:val="9"/>
                <w:b w:val="1"/>
                <w:bCs w:val="1"/>
                <w:color w:val="auto"/>
              </w:rPr>
              <w:t>(5,668)</w:t>
            </w:r>
          </w:p>
        </w:tc>
        <w:tc>
          <w:tcPr>
            <w:tcW w:w="640" w:type="dxa"/>
            <w:vAlign w:val="bottom"/>
            <w:gridSpan w:val="3"/>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9"/>
                <w:szCs w:val="9"/>
                <w:b w:val="1"/>
                <w:bCs w:val="1"/>
                <w:color w:val="auto"/>
              </w:rPr>
              <w:t>(5,963)</w:t>
            </w:r>
          </w:p>
        </w:tc>
        <w:tc>
          <w:tcPr>
            <w:tcW w:w="420" w:type="dxa"/>
            <w:vAlign w:val="bottom"/>
            <w:gridSpan w:val="2"/>
            <w:shd w:val="clear" w:color="auto" w:fill="CCEEFF"/>
          </w:tcPr>
          <w:p>
            <w:pPr>
              <w:jc w:val="right"/>
              <w:ind w:right="34"/>
              <w:spacing w:after="0" w:line="97" w:lineRule="exact"/>
              <w:rPr>
                <w:sz w:val="20"/>
                <w:szCs w:val="20"/>
                <w:color w:val="auto"/>
              </w:rPr>
            </w:pPr>
            <w:r>
              <w:rPr>
                <w:rFonts w:ascii="Times New Roman" w:cs="Times New Roman" w:eastAsia="Times New Roman" w:hAnsi="Times New Roman"/>
                <w:sz w:val="9"/>
                <w:szCs w:val="9"/>
                <w:b w:val="1"/>
                <w:bCs w:val="1"/>
                <w:color w:val="auto"/>
              </w:rPr>
              <w:t>(298,524)</w:t>
            </w:r>
          </w:p>
        </w:tc>
        <w:tc>
          <w:tcPr>
            <w:tcW w:w="600" w:type="dxa"/>
            <w:vAlign w:val="bottom"/>
            <w:gridSpan w:val="3"/>
            <w:shd w:val="clear" w:color="auto" w:fill="CCEEFF"/>
          </w:tcPr>
          <w:p>
            <w:pPr>
              <w:jc w:val="right"/>
              <w:ind w:right="20"/>
              <w:spacing w:after="0" w:line="97" w:lineRule="exact"/>
              <w:rPr>
                <w:sz w:val="20"/>
                <w:szCs w:val="20"/>
                <w:color w:val="auto"/>
              </w:rPr>
            </w:pPr>
            <w:r>
              <w:rPr>
                <w:rFonts w:ascii="Times New Roman" w:cs="Times New Roman" w:eastAsia="Times New Roman" w:hAnsi="Times New Roman"/>
                <w:sz w:val="9"/>
                <w:szCs w:val="9"/>
                <w:b w:val="1"/>
                <w:bCs w:val="1"/>
                <w:color w:val="auto"/>
              </w:rPr>
              <w:t>(10,479)</w:t>
            </w: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700" w:type="dxa"/>
            <w:vAlign w:val="bottom"/>
          </w:tcPr>
          <w:p>
            <w:pPr>
              <w:spacing w:after="0" w:line="85" w:lineRule="exact"/>
              <w:rPr>
                <w:sz w:val="20"/>
                <w:szCs w:val="20"/>
                <w:color w:val="auto"/>
              </w:rPr>
            </w:pPr>
            <w:r>
              <w:rPr>
                <w:rFonts w:ascii="Times New Roman" w:cs="Times New Roman" w:eastAsia="Times New Roman" w:hAnsi="Times New Roman"/>
                <w:sz w:val="9"/>
                <w:szCs w:val="9"/>
                <w:color w:val="auto"/>
              </w:rPr>
              <w:t>Share of (loss)</w:t>
            </w: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700" w:type="dxa"/>
            <w:vAlign w:val="bottom"/>
          </w:tcPr>
          <w:p>
            <w:pPr>
              <w:ind w:left="80"/>
              <w:spacing w:after="0" w:line="98" w:lineRule="exact"/>
              <w:rPr>
                <w:sz w:val="20"/>
                <w:szCs w:val="20"/>
                <w:color w:val="auto"/>
              </w:rPr>
            </w:pPr>
            <w:r>
              <w:rPr>
                <w:rFonts w:ascii="Times New Roman" w:cs="Times New Roman" w:eastAsia="Times New Roman" w:hAnsi="Times New Roman"/>
                <w:sz w:val="9"/>
                <w:szCs w:val="9"/>
                <w:color w:val="auto"/>
              </w:rPr>
              <w:t>income from</w:t>
            </w: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700" w:type="dxa"/>
            <w:vAlign w:val="bottom"/>
          </w:tcPr>
          <w:p>
            <w:pPr>
              <w:ind w:left="80"/>
              <w:spacing w:after="0" w:line="98" w:lineRule="exact"/>
              <w:rPr>
                <w:sz w:val="20"/>
                <w:szCs w:val="20"/>
                <w:color w:val="auto"/>
              </w:rPr>
            </w:pPr>
            <w:r>
              <w:rPr>
                <w:rFonts w:ascii="Times New Roman" w:cs="Times New Roman" w:eastAsia="Times New Roman" w:hAnsi="Times New Roman"/>
                <w:sz w:val="9"/>
                <w:szCs w:val="9"/>
                <w:color w:val="auto"/>
              </w:rPr>
              <w:t>subsidiaries</w:t>
            </w: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700" w:type="dxa"/>
            <w:vAlign w:val="bottom"/>
          </w:tcPr>
          <w:p>
            <w:pPr>
              <w:ind w:left="80"/>
              <w:spacing w:after="0"/>
              <w:rPr>
                <w:sz w:val="20"/>
                <w:szCs w:val="20"/>
                <w:color w:val="auto"/>
              </w:rPr>
            </w:pPr>
            <w:r>
              <w:rPr>
                <w:rFonts w:ascii="Times New Roman" w:cs="Times New Roman" w:eastAsia="Times New Roman" w:hAnsi="Times New Roman"/>
                <w:sz w:val="9"/>
                <w:szCs w:val="9"/>
                <w:color w:val="auto"/>
              </w:rPr>
              <w:t>and VIEs</w:t>
            </w:r>
            <w:r>
              <w:rPr>
                <w:rFonts w:ascii="Times New Roman" w:cs="Times New Roman" w:eastAsia="Times New Roman" w:hAnsi="Times New Roman"/>
                <w:sz w:val="6"/>
                <w:szCs w:val="6"/>
                <w:color w:val="auto"/>
              </w:rPr>
              <w:t>(2)</w:t>
            </w:r>
          </w:p>
        </w:tc>
        <w:tc>
          <w:tcPr>
            <w:tcW w:w="360" w:type="dxa"/>
            <w:vAlign w:val="bottom"/>
            <w:gridSpan w:val="2"/>
          </w:tcPr>
          <w:p>
            <w:pPr>
              <w:jc w:val="right"/>
              <w:ind w:right="34"/>
              <w:spacing w:after="0"/>
              <w:rPr>
                <w:sz w:val="20"/>
                <w:szCs w:val="20"/>
                <w:color w:val="auto"/>
              </w:rPr>
            </w:pPr>
            <w:r>
              <w:rPr>
                <w:rFonts w:ascii="Times New Roman" w:cs="Times New Roman" w:eastAsia="Times New Roman" w:hAnsi="Times New Roman"/>
                <w:sz w:val="9"/>
                <w:szCs w:val="9"/>
                <w:color w:val="auto"/>
                <w:w w:val="97"/>
              </w:rPr>
              <w:t>(47,151)</w:t>
            </w: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9"/>
                <w:szCs w:val="9"/>
                <w:color w:val="auto"/>
              </w:rPr>
              <w:t>(44,997)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2,815</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89,333</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gridSpan w:val="2"/>
          </w:tcPr>
          <w:p>
            <w:pPr>
              <w:jc w:val="right"/>
              <w:ind w:right="34"/>
              <w:spacing w:after="0"/>
              <w:rPr>
                <w:sz w:val="20"/>
                <w:szCs w:val="20"/>
                <w:color w:val="auto"/>
              </w:rPr>
            </w:pPr>
            <w:r>
              <w:rPr>
                <w:rFonts w:ascii="Times New Roman" w:cs="Times New Roman" w:eastAsia="Times New Roman" w:hAnsi="Times New Roman"/>
                <w:sz w:val="9"/>
                <w:szCs w:val="9"/>
                <w:color w:val="auto"/>
              </w:rPr>
              <w:t>(86,938)</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9"/>
                <w:szCs w:val="9"/>
                <w:color w:val="auto"/>
              </w:rPr>
              <w:t>(80,960)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30,740</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137,158</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gridSpan w:val="2"/>
          </w:tcPr>
          <w:p>
            <w:pPr>
              <w:jc w:val="right"/>
              <w:ind w:right="34"/>
              <w:spacing w:after="0"/>
              <w:rPr>
                <w:sz w:val="20"/>
                <w:szCs w:val="20"/>
                <w:color w:val="auto"/>
              </w:rPr>
            </w:pPr>
            <w:r>
              <w:rPr>
                <w:rFonts w:ascii="Times New Roman" w:cs="Times New Roman" w:eastAsia="Times New Roman" w:hAnsi="Times New Roman"/>
                <w:sz w:val="9"/>
                <w:szCs w:val="9"/>
                <w:color w:val="auto"/>
              </w:rPr>
              <w:t>(308,305)</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9"/>
                <w:szCs w:val="9"/>
                <w:color w:val="auto"/>
              </w:rPr>
              <w:t>(306,742)</w:t>
            </w:r>
          </w:p>
        </w:tc>
        <w:tc>
          <w:tcPr>
            <w:tcW w:w="420" w:type="dxa"/>
            <w:vAlign w:val="bottom"/>
            <w:gridSpan w:val="2"/>
          </w:tcPr>
          <w:p>
            <w:pPr>
              <w:jc w:val="right"/>
              <w:ind w:right="34"/>
              <w:spacing w:after="0"/>
              <w:rPr>
                <w:sz w:val="20"/>
                <w:szCs w:val="20"/>
                <w:color w:val="auto"/>
              </w:rPr>
            </w:pPr>
            <w:r>
              <w:rPr>
                <w:rFonts w:ascii="Times New Roman" w:cs="Times New Roman" w:eastAsia="Times New Roman" w:hAnsi="Times New Roman"/>
                <w:sz w:val="9"/>
                <w:szCs w:val="9"/>
                <w:color w:val="auto"/>
              </w:rPr>
              <w:t>(8,730)</w:t>
            </w:r>
          </w:p>
        </w:tc>
        <w:tc>
          <w:tcPr>
            <w:tcW w:w="20" w:type="dxa"/>
            <w:vAlign w:val="bottom"/>
          </w:tcPr>
          <w:p>
            <w:pPr>
              <w:spacing w:after="0"/>
              <w:rPr>
                <w:sz w:val="9"/>
                <w:szCs w:val="9"/>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700" w:type="dxa"/>
            <w:vAlign w:val="bottom"/>
            <w:shd w:val="clear" w:color="auto" w:fill="CCEEFF"/>
          </w:tcPr>
          <w:p>
            <w:pPr>
              <w:spacing w:after="0" w:line="85" w:lineRule="exact"/>
              <w:rPr>
                <w:sz w:val="20"/>
                <w:szCs w:val="20"/>
                <w:color w:val="auto"/>
              </w:rPr>
            </w:pPr>
            <w:r>
              <w:rPr>
                <w:rFonts w:ascii="Times New Roman" w:cs="Times New Roman" w:eastAsia="Times New Roman" w:hAnsi="Times New Roman"/>
                <w:sz w:val="9"/>
                <w:szCs w:val="9"/>
                <w:color w:val="auto"/>
              </w:rPr>
              <w:t>Interest and</w:t>
            </w: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700" w:type="dxa"/>
            <w:vAlign w:val="bottom"/>
            <w:shd w:val="clear" w:color="auto" w:fill="CCEEFF"/>
          </w:tcPr>
          <w:p>
            <w:pPr>
              <w:ind w:left="80"/>
              <w:spacing w:after="0" w:line="98" w:lineRule="exact"/>
              <w:rPr>
                <w:sz w:val="20"/>
                <w:szCs w:val="20"/>
                <w:color w:val="auto"/>
              </w:rPr>
            </w:pPr>
            <w:r>
              <w:rPr>
                <w:rFonts w:ascii="Times New Roman" w:cs="Times New Roman" w:eastAsia="Times New Roman" w:hAnsi="Times New Roman"/>
                <w:sz w:val="9"/>
                <w:szCs w:val="9"/>
                <w:color w:val="auto"/>
              </w:rPr>
              <w:t>investment</w:t>
            </w: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income</w:t>
            </w:r>
          </w:p>
        </w:tc>
        <w:tc>
          <w:tcPr>
            <w:tcW w:w="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9"/>
                <w:szCs w:val="9"/>
                <w:color w:val="auto"/>
                <w:w w:val="88"/>
              </w:rPr>
              <w:t>135</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239</w:t>
            </w:r>
          </w:p>
        </w:tc>
        <w:tc>
          <w:tcPr>
            <w:tcW w:w="6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292</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217</w:t>
            </w: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883</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9"/>
                <w:szCs w:val="9"/>
                <w:color w:val="auto"/>
                <w:w w:val="88"/>
              </w:rPr>
              <w:t>463</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1,741</w:t>
            </w:r>
          </w:p>
        </w:tc>
        <w:tc>
          <w:tcPr>
            <w:tcW w:w="2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1,468</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123</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3,795</w:t>
            </w: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14</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3,965</w:t>
            </w: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891</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273</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700" w:type="dxa"/>
            <w:vAlign w:val="bottom"/>
          </w:tcPr>
          <w:p>
            <w:pPr>
              <w:spacing w:after="0" w:line="98" w:lineRule="exact"/>
              <w:rPr>
                <w:sz w:val="20"/>
                <w:szCs w:val="20"/>
                <w:color w:val="auto"/>
              </w:rPr>
            </w:pPr>
            <w:r>
              <w:rPr>
                <w:rFonts w:ascii="Times New Roman" w:cs="Times New Roman" w:eastAsia="Times New Roman" w:hAnsi="Times New Roman"/>
                <w:sz w:val="9"/>
                <w:szCs w:val="9"/>
                <w:color w:val="auto"/>
              </w:rPr>
              <w:t>Interest expenses</w:t>
            </w:r>
          </w:p>
        </w:tc>
        <w:tc>
          <w:tcPr>
            <w:tcW w:w="360" w:type="dxa"/>
            <w:vAlign w:val="bottom"/>
            <w:gridSpan w:val="2"/>
          </w:tcPr>
          <w:p>
            <w:pPr>
              <w:ind w:left="160"/>
              <w:spacing w:after="0" w:line="98"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600" w:type="dxa"/>
            <w:vAlign w:val="bottom"/>
            <w:gridSpan w:val="2"/>
          </w:tcPr>
          <w:p>
            <w:pPr>
              <w:jc w:val="right"/>
              <w:ind w:right="120"/>
              <w:spacing w:after="0" w:line="98" w:lineRule="exact"/>
              <w:rPr>
                <w:sz w:val="20"/>
                <w:szCs w:val="20"/>
                <w:color w:val="auto"/>
              </w:rPr>
            </w:pPr>
            <w:r>
              <w:rPr>
                <w:rFonts w:ascii="Times New Roman" w:cs="Times New Roman" w:eastAsia="Times New Roman" w:hAnsi="Times New Roman"/>
                <w:sz w:val="9"/>
                <w:szCs w:val="9"/>
                <w:color w:val="auto"/>
              </w:rPr>
              <w:t>—</w:t>
            </w:r>
          </w:p>
        </w:tc>
        <w:tc>
          <w:tcPr>
            <w:tcW w:w="400" w:type="dxa"/>
            <w:vAlign w:val="bottom"/>
            <w:gridSpan w:val="3"/>
          </w:tcPr>
          <w:p>
            <w:pPr>
              <w:jc w:val="right"/>
              <w:ind w:right="34"/>
              <w:spacing w:after="0" w:line="98" w:lineRule="exact"/>
              <w:rPr>
                <w:sz w:val="20"/>
                <w:szCs w:val="20"/>
                <w:color w:val="auto"/>
              </w:rPr>
            </w:pPr>
            <w:r>
              <w:rPr>
                <w:rFonts w:ascii="Times New Roman" w:cs="Times New Roman" w:eastAsia="Times New Roman" w:hAnsi="Times New Roman"/>
                <w:sz w:val="9"/>
                <w:szCs w:val="9"/>
                <w:color w:val="auto"/>
              </w:rPr>
              <w:t>(588)</w:t>
            </w:r>
          </w:p>
        </w:tc>
        <w:tc>
          <w:tcPr>
            <w:tcW w:w="620" w:type="dxa"/>
            <w:vAlign w:val="bottom"/>
            <w:gridSpan w:val="3"/>
          </w:tcPr>
          <w:p>
            <w:pPr>
              <w:jc w:val="right"/>
              <w:ind w:right="40"/>
              <w:spacing w:after="0" w:line="98" w:lineRule="exact"/>
              <w:rPr>
                <w:sz w:val="20"/>
                <w:szCs w:val="20"/>
                <w:color w:val="auto"/>
              </w:rPr>
            </w:pPr>
            <w:r>
              <w:rPr>
                <w:rFonts w:ascii="Times New Roman" w:cs="Times New Roman" w:eastAsia="Times New Roman" w:hAnsi="Times New Roman"/>
                <w:sz w:val="9"/>
                <w:szCs w:val="9"/>
                <w:color w:val="auto"/>
              </w:rPr>
              <w:t>(249)</w:t>
            </w:r>
          </w:p>
        </w:tc>
        <w:tc>
          <w:tcPr>
            <w:tcW w:w="20" w:type="dxa"/>
            <w:vAlign w:val="bottom"/>
          </w:tcPr>
          <w:p>
            <w:pPr>
              <w:spacing w:after="0"/>
              <w:rPr>
                <w:sz w:val="8"/>
                <w:szCs w:val="8"/>
                <w:color w:val="auto"/>
              </w:rPr>
            </w:pPr>
          </w:p>
        </w:tc>
        <w:tc>
          <w:tcPr>
            <w:tcW w:w="600" w:type="dxa"/>
            <w:vAlign w:val="bottom"/>
            <w:gridSpan w:val="2"/>
          </w:tcPr>
          <w:p>
            <w:pPr>
              <w:ind w:left="400"/>
              <w:spacing w:after="0" w:line="98" w:lineRule="exact"/>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3"/>
          </w:tcPr>
          <w:p>
            <w:pPr>
              <w:jc w:val="right"/>
              <w:ind w:right="60"/>
              <w:spacing w:after="0" w:line="98" w:lineRule="exact"/>
              <w:rPr>
                <w:sz w:val="20"/>
                <w:szCs w:val="20"/>
                <w:color w:val="auto"/>
              </w:rPr>
            </w:pPr>
            <w:r>
              <w:rPr>
                <w:rFonts w:ascii="Times New Roman" w:cs="Times New Roman" w:eastAsia="Times New Roman" w:hAnsi="Times New Roman"/>
                <w:sz w:val="9"/>
                <w:szCs w:val="9"/>
                <w:color w:val="auto"/>
              </w:rPr>
              <w:t>(837)</w:t>
            </w:r>
          </w:p>
        </w:tc>
        <w:tc>
          <w:tcPr>
            <w:tcW w:w="380" w:type="dxa"/>
            <w:vAlign w:val="bottom"/>
            <w:gridSpan w:val="2"/>
          </w:tcPr>
          <w:p>
            <w:pPr>
              <w:ind w:left="180"/>
              <w:spacing w:after="0" w:line="98"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560" w:type="dxa"/>
            <w:vAlign w:val="bottom"/>
            <w:gridSpan w:val="2"/>
          </w:tcPr>
          <w:p>
            <w:pPr>
              <w:jc w:val="right"/>
              <w:ind w:right="80"/>
              <w:spacing w:after="0" w:line="98" w:lineRule="exact"/>
              <w:rPr>
                <w:sz w:val="20"/>
                <w:szCs w:val="20"/>
                <w:color w:val="auto"/>
              </w:rPr>
            </w:pPr>
            <w:r>
              <w:rPr>
                <w:rFonts w:ascii="Times New Roman" w:cs="Times New Roman" w:eastAsia="Times New Roman" w:hAnsi="Times New Roman"/>
                <w:sz w:val="9"/>
                <w:szCs w:val="9"/>
                <w:color w:val="auto"/>
              </w:rPr>
              <w:t>—</w:t>
            </w:r>
          </w:p>
        </w:tc>
        <w:tc>
          <w:tcPr>
            <w:tcW w:w="480" w:type="dxa"/>
            <w:vAlign w:val="bottom"/>
            <w:gridSpan w:val="3"/>
          </w:tcPr>
          <w:p>
            <w:pPr>
              <w:jc w:val="right"/>
              <w:ind w:right="40"/>
              <w:spacing w:after="0" w:line="98" w:lineRule="exact"/>
              <w:rPr>
                <w:sz w:val="20"/>
                <w:szCs w:val="20"/>
                <w:color w:val="auto"/>
              </w:rPr>
            </w:pPr>
            <w:r>
              <w:rPr>
                <w:rFonts w:ascii="Times New Roman" w:cs="Times New Roman" w:eastAsia="Times New Roman" w:hAnsi="Times New Roman"/>
                <w:sz w:val="9"/>
                <w:szCs w:val="9"/>
                <w:color w:val="auto"/>
              </w:rPr>
              <w:t>(2,131)</w:t>
            </w:r>
          </w:p>
        </w:tc>
        <w:tc>
          <w:tcPr>
            <w:tcW w:w="600" w:type="dxa"/>
            <w:vAlign w:val="bottom"/>
            <w:gridSpan w:val="3"/>
          </w:tcPr>
          <w:p>
            <w:pPr>
              <w:jc w:val="right"/>
              <w:ind w:right="20"/>
              <w:spacing w:after="0" w:line="98" w:lineRule="exact"/>
              <w:rPr>
                <w:sz w:val="20"/>
                <w:szCs w:val="20"/>
                <w:color w:val="auto"/>
              </w:rPr>
            </w:pPr>
            <w:r>
              <w:rPr>
                <w:rFonts w:ascii="Times New Roman" w:cs="Times New Roman" w:eastAsia="Times New Roman" w:hAnsi="Times New Roman"/>
                <w:sz w:val="9"/>
                <w:szCs w:val="9"/>
                <w:color w:val="auto"/>
              </w:rPr>
              <w:t>(206)</w:t>
            </w:r>
          </w:p>
        </w:tc>
        <w:tc>
          <w:tcPr>
            <w:tcW w:w="40" w:type="dxa"/>
            <w:vAlign w:val="bottom"/>
          </w:tcPr>
          <w:p>
            <w:pPr>
              <w:spacing w:after="0"/>
              <w:rPr>
                <w:sz w:val="8"/>
                <w:szCs w:val="8"/>
                <w:color w:val="auto"/>
              </w:rPr>
            </w:pPr>
          </w:p>
        </w:tc>
        <w:tc>
          <w:tcPr>
            <w:tcW w:w="600" w:type="dxa"/>
            <w:vAlign w:val="bottom"/>
            <w:gridSpan w:val="2"/>
          </w:tcPr>
          <w:p>
            <w:pPr>
              <w:ind w:left="400"/>
              <w:spacing w:after="0" w:line="98" w:lineRule="exact"/>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3"/>
          </w:tcPr>
          <w:p>
            <w:pPr>
              <w:jc w:val="right"/>
              <w:ind w:right="60"/>
              <w:spacing w:after="0" w:line="98" w:lineRule="exact"/>
              <w:rPr>
                <w:sz w:val="20"/>
                <w:szCs w:val="20"/>
                <w:color w:val="auto"/>
              </w:rPr>
            </w:pPr>
            <w:r>
              <w:rPr>
                <w:rFonts w:ascii="Times New Roman" w:cs="Times New Roman" w:eastAsia="Times New Roman" w:hAnsi="Times New Roman"/>
                <w:sz w:val="9"/>
                <w:szCs w:val="9"/>
                <w:color w:val="auto"/>
              </w:rPr>
              <w:t>(2,337)</w:t>
            </w:r>
          </w:p>
        </w:tc>
        <w:tc>
          <w:tcPr>
            <w:tcW w:w="420" w:type="dxa"/>
            <w:vAlign w:val="bottom"/>
            <w:gridSpan w:val="2"/>
          </w:tcPr>
          <w:p>
            <w:pPr>
              <w:jc w:val="right"/>
              <w:ind w:right="94"/>
              <w:spacing w:after="0" w:line="98"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620" w:type="dxa"/>
            <w:vAlign w:val="bottom"/>
            <w:gridSpan w:val="2"/>
          </w:tcPr>
          <w:p>
            <w:pPr>
              <w:jc w:val="right"/>
              <w:ind w:right="140"/>
              <w:spacing w:after="0" w:line="98" w:lineRule="exact"/>
              <w:rPr>
                <w:sz w:val="20"/>
                <w:szCs w:val="20"/>
                <w:color w:val="auto"/>
              </w:rPr>
            </w:pPr>
            <w:r>
              <w:rPr>
                <w:rFonts w:ascii="Times New Roman" w:cs="Times New Roman" w:eastAsia="Times New Roman" w:hAnsi="Times New Roman"/>
                <w:sz w:val="9"/>
                <w:szCs w:val="9"/>
                <w:color w:val="auto"/>
              </w:rPr>
              <w:t>—</w:t>
            </w:r>
          </w:p>
        </w:tc>
        <w:tc>
          <w:tcPr>
            <w:tcW w:w="420" w:type="dxa"/>
            <w:vAlign w:val="bottom"/>
            <w:gridSpan w:val="2"/>
          </w:tcPr>
          <w:p>
            <w:pPr>
              <w:jc w:val="right"/>
              <w:ind w:right="34"/>
              <w:spacing w:after="0" w:line="98" w:lineRule="exact"/>
              <w:rPr>
                <w:sz w:val="20"/>
                <w:szCs w:val="20"/>
                <w:color w:val="auto"/>
              </w:rPr>
            </w:pPr>
            <w:r>
              <w:rPr>
                <w:rFonts w:ascii="Times New Roman" w:cs="Times New Roman" w:eastAsia="Times New Roman" w:hAnsi="Times New Roman"/>
                <w:sz w:val="9"/>
                <w:szCs w:val="9"/>
                <w:color w:val="auto"/>
              </w:rPr>
              <w:t>(1,445)</w:t>
            </w:r>
          </w:p>
        </w:tc>
        <w:tc>
          <w:tcPr>
            <w:tcW w:w="600" w:type="dxa"/>
            <w:vAlign w:val="bottom"/>
            <w:gridSpan w:val="3"/>
          </w:tcPr>
          <w:p>
            <w:pPr>
              <w:jc w:val="right"/>
              <w:ind w:right="20"/>
              <w:spacing w:after="0" w:line="98" w:lineRule="exact"/>
              <w:rPr>
                <w:sz w:val="20"/>
                <w:szCs w:val="20"/>
                <w:color w:val="auto"/>
              </w:rPr>
            </w:pPr>
            <w:r>
              <w:rPr>
                <w:rFonts w:ascii="Times New Roman" w:cs="Times New Roman" w:eastAsia="Times New Roman" w:hAnsi="Times New Roman"/>
                <w:sz w:val="9"/>
                <w:szCs w:val="9"/>
                <w:color w:val="auto"/>
              </w:rPr>
              <w:t>(358)</w:t>
            </w: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700" w:type="dxa"/>
            <w:vAlign w:val="bottom"/>
            <w:shd w:val="clear" w:color="auto" w:fill="CCEEFF"/>
          </w:tcPr>
          <w:p>
            <w:pPr>
              <w:spacing w:after="0" w:line="85" w:lineRule="exact"/>
              <w:rPr>
                <w:sz w:val="20"/>
                <w:szCs w:val="20"/>
                <w:color w:val="auto"/>
              </w:rPr>
            </w:pPr>
            <w:r>
              <w:rPr>
                <w:rFonts w:ascii="Times New Roman" w:cs="Times New Roman" w:eastAsia="Times New Roman" w:hAnsi="Times New Roman"/>
                <w:sz w:val="9"/>
                <w:szCs w:val="9"/>
                <w:color w:val="auto"/>
              </w:rPr>
              <w:t>Foreign exchange</w:t>
            </w: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gain (loss)</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81</w:t>
            </w:r>
          </w:p>
        </w:tc>
        <w:tc>
          <w:tcPr>
            <w:tcW w:w="60" w:type="dxa"/>
            <w:vAlign w:val="bottom"/>
            <w:shd w:val="clear" w:color="auto" w:fill="CCEEFF"/>
          </w:tcPr>
          <w:p>
            <w:pPr>
              <w:spacing w:after="0"/>
              <w:rPr>
                <w:sz w:val="9"/>
                <w:szCs w:val="9"/>
                <w:color w:val="auto"/>
              </w:rPr>
            </w:pPr>
          </w:p>
        </w:tc>
        <w:tc>
          <w:tcPr>
            <w:tcW w:w="400" w:type="dxa"/>
            <w:vAlign w:val="bottom"/>
            <w:gridSpan w:val="3"/>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color w:val="auto"/>
              </w:rPr>
              <w:t>(160)</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188</w:t>
            </w: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109</w:t>
            </w:r>
          </w:p>
        </w:tc>
        <w:tc>
          <w:tcPr>
            <w:tcW w:w="80" w:type="dxa"/>
            <w:vAlign w:val="bottom"/>
            <w:shd w:val="clear" w:color="auto" w:fill="CCEEFF"/>
          </w:tcPr>
          <w:p>
            <w:pPr>
              <w:spacing w:after="0"/>
              <w:rPr>
                <w:sz w:val="9"/>
                <w:szCs w:val="9"/>
                <w:color w:val="auto"/>
              </w:rPr>
            </w:pP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144</w:t>
            </w:r>
          </w:p>
        </w:tc>
        <w:tc>
          <w:tcPr>
            <w:tcW w:w="20" w:type="dxa"/>
            <w:vAlign w:val="bottom"/>
            <w:shd w:val="clear" w:color="auto" w:fill="CCEEFF"/>
          </w:tcPr>
          <w:p>
            <w:pPr>
              <w:spacing w:after="0"/>
              <w:rPr>
                <w:sz w:val="9"/>
                <w:szCs w:val="9"/>
                <w:color w:val="auto"/>
              </w:rPr>
            </w:pPr>
          </w:p>
        </w:tc>
        <w:tc>
          <w:tcPr>
            <w:tcW w:w="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9"/>
                <w:szCs w:val="9"/>
                <w:color w:val="auto"/>
              </w:rPr>
              <w:t>(107)</w:t>
            </w: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9"/>
                <w:szCs w:val="9"/>
                <w:color w:val="auto"/>
              </w:rPr>
              <w:t>(370)</w:t>
            </w:r>
          </w:p>
        </w:tc>
        <w:tc>
          <w:tcPr>
            <w:tcW w:w="40" w:type="dxa"/>
            <w:vAlign w:val="bottom"/>
            <w:shd w:val="clear" w:color="auto" w:fill="CCEEFF"/>
          </w:tcPr>
          <w:p>
            <w:pPr>
              <w:spacing w:after="0"/>
              <w:rPr>
                <w:sz w:val="9"/>
                <w:szCs w:val="9"/>
                <w:color w:val="auto"/>
              </w:rPr>
            </w:pP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(333)</w:t>
            </w:r>
          </w:p>
        </w:tc>
        <w:tc>
          <w:tcPr>
            <w:tcW w:w="42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(450)</w:t>
            </w:r>
          </w:p>
        </w:tc>
        <w:tc>
          <w:tcPr>
            <w:tcW w:w="42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color w:val="auto"/>
              </w:rPr>
              <w:t>(253)</w:t>
            </w: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9"/>
                <w:szCs w:val="9"/>
                <w:color w:val="auto"/>
              </w:rPr>
              <w:t>(124)</w:t>
            </w: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700" w:type="dxa"/>
            <w:vAlign w:val="bottom"/>
          </w:tcPr>
          <w:p>
            <w:pPr>
              <w:spacing w:after="0" w:line="98" w:lineRule="exact"/>
              <w:rPr>
                <w:sz w:val="20"/>
                <w:szCs w:val="20"/>
                <w:color w:val="auto"/>
              </w:rPr>
            </w:pPr>
            <w:r>
              <w:rPr>
                <w:rFonts w:ascii="Times New Roman" w:cs="Times New Roman" w:eastAsia="Times New Roman" w:hAnsi="Times New Roman"/>
                <w:sz w:val="9"/>
                <w:szCs w:val="9"/>
                <w:color w:val="auto"/>
              </w:rPr>
              <w:t>Other income</w:t>
            </w:r>
          </w:p>
        </w:tc>
        <w:tc>
          <w:tcPr>
            <w:tcW w:w="360" w:type="dxa"/>
            <w:vAlign w:val="bottom"/>
            <w:gridSpan w:val="2"/>
          </w:tcPr>
          <w:p>
            <w:pPr>
              <w:ind w:left="160"/>
              <w:spacing w:after="0" w:line="98"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600" w:type="dxa"/>
            <w:vAlign w:val="bottom"/>
            <w:gridSpan w:val="2"/>
          </w:tcPr>
          <w:p>
            <w:pPr>
              <w:jc w:val="right"/>
              <w:ind w:right="120"/>
              <w:spacing w:after="0" w:line="98" w:lineRule="exact"/>
              <w:rPr>
                <w:sz w:val="20"/>
                <w:szCs w:val="20"/>
                <w:color w:val="auto"/>
              </w:rPr>
            </w:pPr>
            <w:r>
              <w:rPr>
                <w:rFonts w:ascii="Times New Roman" w:cs="Times New Roman" w:eastAsia="Times New Roman" w:hAnsi="Times New Roman"/>
                <w:sz w:val="9"/>
                <w:szCs w:val="9"/>
                <w:color w:val="auto"/>
              </w:rPr>
              <w:t>—</w:t>
            </w:r>
          </w:p>
        </w:tc>
        <w:tc>
          <w:tcPr>
            <w:tcW w:w="340" w:type="dxa"/>
            <w:vAlign w:val="bottom"/>
            <w:gridSpan w:val="2"/>
          </w:tcPr>
          <w:p>
            <w:pPr>
              <w:jc w:val="right"/>
              <w:spacing w:after="0" w:line="98" w:lineRule="exact"/>
              <w:rPr>
                <w:sz w:val="20"/>
                <w:szCs w:val="20"/>
                <w:color w:val="auto"/>
              </w:rPr>
            </w:pPr>
            <w:r>
              <w:rPr>
                <w:rFonts w:ascii="Times New Roman" w:cs="Times New Roman" w:eastAsia="Times New Roman" w:hAnsi="Times New Roman"/>
                <w:sz w:val="9"/>
                <w:szCs w:val="9"/>
                <w:color w:val="auto"/>
              </w:rPr>
              <w:t>184</w:t>
            </w:r>
          </w:p>
        </w:tc>
        <w:tc>
          <w:tcPr>
            <w:tcW w:w="60" w:type="dxa"/>
            <w:vAlign w:val="bottom"/>
          </w:tcPr>
          <w:p>
            <w:pPr>
              <w:spacing w:after="0"/>
              <w:rPr>
                <w:sz w:val="8"/>
                <w:szCs w:val="8"/>
                <w:color w:val="auto"/>
              </w:rPr>
            </w:pPr>
          </w:p>
        </w:tc>
        <w:tc>
          <w:tcPr>
            <w:tcW w:w="560" w:type="dxa"/>
            <w:vAlign w:val="bottom"/>
            <w:gridSpan w:val="2"/>
          </w:tcPr>
          <w:p>
            <w:pPr>
              <w:jc w:val="right"/>
              <w:spacing w:after="0" w:line="98" w:lineRule="exact"/>
              <w:rPr>
                <w:sz w:val="20"/>
                <w:szCs w:val="20"/>
                <w:color w:val="auto"/>
              </w:rPr>
            </w:pPr>
            <w:r>
              <w:rPr>
                <w:rFonts w:ascii="Times New Roman" w:cs="Times New Roman" w:eastAsia="Times New Roman" w:hAnsi="Times New Roman"/>
                <w:sz w:val="9"/>
                <w:szCs w:val="9"/>
                <w:color w:val="auto"/>
              </w:rPr>
              <w:t>256</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gridSpan w:val="2"/>
          </w:tcPr>
          <w:p>
            <w:pPr>
              <w:ind w:left="400"/>
              <w:spacing w:after="0" w:line="98" w:lineRule="exact"/>
              <w:rPr>
                <w:sz w:val="20"/>
                <w:szCs w:val="20"/>
                <w:color w:val="auto"/>
              </w:rPr>
            </w:pPr>
            <w:r>
              <w:rPr>
                <w:rFonts w:ascii="Times New Roman" w:cs="Times New Roman" w:eastAsia="Times New Roman" w:hAnsi="Times New Roman"/>
                <w:sz w:val="9"/>
                <w:szCs w:val="9"/>
                <w:color w:val="auto"/>
              </w:rPr>
              <w:t>—</w:t>
            </w:r>
          </w:p>
        </w:tc>
        <w:tc>
          <w:tcPr>
            <w:tcW w:w="620" w:type="dxa"/>
            <w:vAlign w:val="bottom"/>
            <w:gridSpan w:val="2"/>
          </w:tcPr>
          <w:p>
            <w:pPr>
              <w:jc w:val="right"/>
              <w:spacing w:after="0" w:line="98" w:lineRule="exact"/>
              <w:rPr>
                <w:sz w:val="20"/>
                <w:szCs w:val="20"/>
                <w:color w:val="auto"/>
              </w:rPr>
            </w:pPr>
            <w:r>
              <w:rPr>
                <w:rFonts w:ascii="Times New Roman" w:cs="Times New Roman" w:eastAsia="Times New Roman" w:hAnsi="Times New Roman"/>
                <w:sz w:val="9"/>
                <w:szCs w:val="9"/>
                <w:color w:val="auto"/>
              </w:rPr>
              <w:t>440</w:t>
            </w:r>
          </w:p>
        </w:tc>
        <w:tc>
          <w:tcPr>
            <w:tcW w:w="80" w:type="dxa"/>
            <w:vAlign w:val="bottom"/>
          </w:tcPr>
          <w:p>
            <w:pPr>
              <w:spacing w:after="0"/>
              <w:rPr>
                <w:sz w:val="8"/>
                <w:szCs w:val="8"/>
                <w:color w:val="auto"/>
              </w:rPr>
            </w:pPr>
          </w:p>
        </w:tc>
        <w:tc>
          <w:tcPr>
            <w:tcW w:w="380" w:type="dxa"/>
            <w:vAlign w:val="bottom"/>
            <w:gridSpan w:val="2"/>
          </w:tcPr>
          <w:p>
            <w:pPr>
              <w:ind w:left="180"/>
              <w:spacing w:after="0" w:line="98" w:lineRule="exact"/>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tcPr>
          <w:p>
            <w:pPr>
              <w:jc w:val="right"/>
              <w:spacing w:after="0" w:line="98" w:lineRule="exact"/>
              <w:rPr>
                <w:sz w:val="20"/>
                <w:szCs w:val="20"/>
                <w:color w:val="auto"/>
              </w:rPr>
            </w:pPr>
            <w:r>
              <w:rPr>
                <w:rFonts w:ascii="Times New Roman" w:cs="Times New Roman" w:eastAsia="Times New Roman" w:hAnsi="Times New Roman"/>
                <w:sz w:val="9"/>
                <w:szCs w:val="9"/>
                <w:color w:val="auto"/>
              </w:rPr>
              <w:t>820</w:t>
            </w:r>
          </w:p>
        </w:tc>
        <w:tc>
          <w:tcPr>
            <w:tcW w:w="20" w:type="dxa"/>
            <w:vAlign w:val="bottom"/>
          </w:tcPr>
          <w:p>
            <w:pPr>
              <w:spacing w:after="0"/>
              <w:rPr>
                <w:sz w:val="8"/>
                <w:szCs w:val="8"/>
                <w:color w:val="auto"/>
              </w:rPr>
            </w:pPr>
          </w:p>
        </w:tc>
        <w:tc>
          <w:tcPr>
            <w:tcW w:w="420" w:type="dxa"/>
            <w:vAlign w:val="bottom"/>
            <w:gridSpan w:val="2"/>
          </w:tcPr>
          <w:p>
            <w:pPr>
              <w:jc w:val="right"/>
              <w:spacing w:after="0" w:line="98" w:lineRule="exact"/>
              <w:rPr>
                <w:sz w:val="20"/>
                <w:szCs w:val="20"/>
                <w:color w:val="auto"/>
              </w:rPr>
            </w:pPr>
            <w:r>
              <w:rPr>
                <w:rFonts w:ascii="Times New Roman" w:cs="Times New Roman" w:eastAsia="Times New Roman" w:hAnsi="Times New Roman"/>
                <w:sz w:val="9"/>
                <w:szCs w:val="9"/>
                <w:color w:val="auto"/>
              </w:rPr>
              <w:t>318</w:t>
            </w:r>
          </w:p>
        </w:tc>
        <w:tc>
          <w:tcPr>
            <w:tcW w:w="60" w:type="dxa"/>
            <w:vAlign w:val="bottom"/>
          </w:tcPr>
          <w:p>
            <w:pPr>
              <w:spacing w:after="0"/>
              <w:rPr>
                <w:sz w:val="8"/>
                <w:szCs w:val="8"/>
                <w:color w:val="auto"/>
              </w:rPr>
            </w:pPr>
          </w:p>
        </w:tc>
        <w:tc>
          <w:tcPr>
            <w:tcW w:w="560" w:type="dxa"/>
            <w:vAlign w:val="bottom"/>
            <w:gridSpan w:val="2"/>
          </w:tcPr>
          <w:p>
            <w:pPr>
              <w:jc w:val="right"/>
              <w:spacing w:after="0" w:line="98" w:lineRule="exact"/>
              <w:rPr>
                <w:sz w:val="20"/>
                <w:szCs w:val="20"/>
                <w:color w:val="auto"/>
              </w:rPr>
            </w:pPr>
            <w:r>
              <w:rPr>
                <w:rFonts w:ascii="Times New Roman" w:cs="Times New Roman" w:eastAsia="Times New Roman" w:hAnsi="Times New Roman"/>
                <w:sz w:val="9"/>
                <w:szCs w:val="9"/>
                <w:color w:val="auto"/>
              </w:rPr>
              <w:t>89</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gridSpan w:val="2"/>
          </w:tcPr>
          <w:p>
            <w:pPr>
              <w:ind w:left="400"/>
              <w:spacing w:after="0" w:line="98" w:lineRule="exact"/>
              <w:rPr>
                <w:sz w:val="20"/>
                <w:szCs w:val="20"/>
                <w:color w:val="auto"/>
              </w:rPr>
            </w:pPr>
            <w:r>
              <w:rPr>
                <w:rFonts w:ascii="Times New Roman" w:cs="Times New Roman" w:eastAsia="Times New Roman" w:hAnsi="Times New Roman"/>
                <w:sz w:val="9"/>
                <w:szCs w:val="9"/>
                <w:color w:val="auto"/>
              </w:rPr>
              <w:t>—</w:t>
            </w:r>
          </w:p>
        </w:tc>
        <w:tc>
          <w:tcPr>
            <w:tcW w:w="620" w:type="dxa"/>
            <w:vAlign w:val="bottom"/>
            <w:gridSpan w:val="2"/>
          </w:tcPr>
          <w:p>
            <w:pPr>
              <w:jc w:val="right"/>
              <w:spacing w:after="0" w:line="98" w:lineRule="exact"/>
              <w:rPr>
                <w:sz w:val="20"/>
                <w:szCs w:val="20"/>
                <w:color w:val="auto"/>
              </w:rPr>
            </w:pPr>
            <w:r>
              <w:rPr>
                <w:rFonts w:ascii="Times New Roman" w:cs="Times New Roman" w:eastAsia="Times New Roman" w:hAnsi="Times New Roman"/>
                <w:sz w:val="9"/>
                <w:szCs w:val="9"/>
                <w:color w:val="auto"/>
              </w:rPr>
              <w:t>1,227</w:t>
            </w:r>
          </w:p>
        </w:tc>
        <w:tc>
          <w:tcPr>
            <w:tcW w:w="80" w:type="dxa"/>
            <w:vAlign w:val="bottom"/>
          </w:tcPr>
          <w:p>
            <w:pPr>
              <w:spacing w:after="0"/>
              <w:rPr>
                <w:sz w:val="8"/>
                <w:szCs w:val="8"/>
                <w:color w:val="auto"/>
              </w:rPr>
            </w:pPr>
          </w:p>
        </w:tc>
        <w:tc>
          <w:tcPr>
            <w:tcW w:w="420" w:type="dxa"/>
            <w:vAlign w:val="bottom"/>
            <w:gridSpan w:val="2"/>
          </w:tcPr>
          <w:p>
            <w:pPr>
              <w:jc w:val="right"/>
              <w:ind w:right="94"/>
              <w:spacing w:after="0" w:line="98" w:lineRule="exact"/>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tcPr>
          <w:p>
            <w:pPr>
              <w:jc w:val="right"/>
              <w:spacing w:after="0" w:line="98" w:lineRule="exact"/>
              <w:rPr>
                <w:sz w:val="20"/>
                <w:szCs w:val="20"/>
                <w:color w:val="auto"/>
              </w:rPr>
            </w:pPr>
            <w:r>
              <w:rPr>
                <w:rFonts w:ascii="Times New Roman" w:cs="Times New Roman" w:eastAsia="Times New Roman" w:hAnsi="Times New Roman"/>
                <w:sz w:val="9"/>
                <w:szCs w:val="9"/>
                <w:color w:val="auto"/>
              </w:rPr>
              <w:t>742</w:t>
            </w:r>
          </w:p>
        </w:tc>
        <w:tc>
          <w:tcPr>
            <w:tcW w:w="80" w:type="dxa"/>
            <w:vAlign w:val="bottom"/>
          </w:tcPr>
          <w:p>
            <w:pPr>
              <w:spacing w:after="0"/>
              <w:rPr>
                <w:sz w:val="8"/>
                <w:szCs w:val="8"/>
                <w:color w:val="auto"/>
              </w:rPr>
            </w:pPr>
          </w:p>
        </w:tc>
        <w:tc>
          <w:tcPr>
            <w:tcW w:w="360" w:type="dxa"/>
            <w:vAlign w:val="bottom"/>
          </w:tcPr>
          <w:p>
            <w:pPr>
              <w:jc w:val="right"/>
              <w:spacing w:after="0" w:line="98" w:lineRule="exact"/>
              <w:rPr>
                <w:sz w:val="20"/>
                <w:szCs w:val="20"/>
                <w:color w:val="auto"/>
              </w:rPr>
            </w:pPr>
            <w:r>
              <w:rPr>
                <w:rFonts w:ascii="Times New Roman" w:cs="Times New Roman" w:eastAsia="Times New Roman" w:hAnsi="Times New Roman"/>
                <w:sz w:val="9"/>
                <w:szCs w:val="9"/>
                <w:color w:val="auto"/>
              </w:rPr>
              <w:t>2,735</w:t>
            </w:r>
          </w:p>
        </w:tc>
        <w:tc>
          <w:tcPr>
            <w:tcW w:w="60" w:type="dxa"/>
            <w:vAlign w:val="bottom"/>
          </w:tcPr>
          <w:p>
            <w:pPr>
              <w:spacing w:after="0"/>
              <w:rPr>
                <w:sz w:val="8"/>
                <w:szCs w:val="8"/>
                <w:color w:val="auto"/>
              </w:rPr>
            </w:pPr>
          </w:p>
        </w:tc>
        <w:tc>
          <w:tcPr>
            <w:tcW w:w="560" w:type="dxa"/>
            <w:vAlign w:val="bottom"/>
            <w:gridSpan w:val="2"/>
          </w:tcPr>
          <w:p>
            <w:pPr>
              <w:jc w:val="right"/>
              <w:spacing w:after="0" w:line="98" w:lineRule="exact"/>
              <w:rPr>
                <w:sz w:val="20"/>
                <w:szCs w:val="20"/>
                <w:color w:val="auto"/>
              </w:rPr>
            </w:pPr>
            <w:r>
              <w:rPr>
                <w:rFonts w:ascii="Times New Roman" w:cs="Times New Roman" w:eastAsia="Times New Roman" w:hAnsi="Times New Roman"/>
                <w:sz w:val="9"/>
                <w:szCs w:val="9"/>
                <w:color w:val="auto"/>
              </w:rPr>
              <w:t>2,610</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70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9"/>
                <w:szCs w:val="9"/>
                <w:color w:val="auto"/>
              </w:rPr>
              <w:t>Other expenses</w:t>
            </w:r>
          </w:p>
        </w:tc>
        <w:tc>
          <w:tcPr>
            <w:tcW w:w="360" w:type="dxa"/>
            <w:vAlign w:val="bottom"/>
            <w:gridSpan w:val="2"/>
            <w:shd w:val="clear" w:color="auto" w:fill="CCEEFF"/>
          </w:tcPr>
          <w:p>
            <w:pPr>
              <w:ind w:left="160"/>
              <w:spacing w:after="0" w:line="98" w:lineRule="exact"/>
              <w:rPr>
                <w:sz w:val="20"/>
                <w:szCs w:val="20"/>
                <w:color w:val="auto"/>
              </w:rPr>
            </w:pPr>
            <w:r>
              <w:rPr>
                <w:rFonts w:ascii="Times New Roman" w:cs="Times New Roman" w:eastAsia="Times New Roman" w:hAnsi="Times New Roman"/>
                <w:sz w:val="9"/>
                <w:szCs w:val="9"/>
                <w:color w:val="auto"/>
              </w:rPr>
              <w:t>—</w:t>
            </w:r>
          </w:p>
        </w:tc>
        <w:tc>
          <w:tcPr>
            <w:tcW w:w="620" w:type="dxa"/>
            <w:vAlign w:val="bottom"/>
            <w:gridSpan w:val="3"/>
            <w:shd w:val="clear" w:color="auto" w:fill="CCEEFF"/>
          </w:tcPr>
          <w:p>
            <w:pPr>
              <w:jc w:val="right"/>
              <w:ind w:right="40"/>
              <w:spacing w:after="0" w:line="98" w:lineRule="exact"/>
              <w:rPr>
                <w:sz w:val="20"/>
                <w:szCs w:val="20"/>
                <w:color w:val="auto"/>
              </w:rPr>
            </w:pPr>
            <w:r>
              <w:rPr>
                <w:rFonts w:ascii="Times New Roman" w:cs="Times New Roman" w:eastAsia="Times New Roman" w:hAnsi="Times New Roman"/>
                <w:sz w:val="9"/>
                <w:szCs w:val="9"/>
                <w:color w:val="auto"/>
              </w:rPr>
              <w:t>(1,384)</w:t>
            </w:r>
          </w:p>
        </w:tc>
        <w:tc>
          <w:tcPr>
            <w:tcW w:w="400" w:type="dxa"/>
            <w:vAlign w:val="bottom"/>
            <w:gridSpan w:val="3"/>
            <w:shd w:val="clear" w:color="auto" w:fill="CCEEFF"/>
          </w:tcPr>
          <w:p>
            <w:pPr>
              <w:jc w:val="right"/>
              <w:ind w:right="34"/>
              <w:spacing w:after="0" w:line="98" w:lineRule="exact"/>
              <w:rPr>
                <w:sz w:val="20"/>
                <w:szCs w:val="20"/>
                <w:color w:val="auto"/>
              </w:rPr>
            </w:pPr>
            <w:r>
              <w:rPr>
                <w:rFonts w:ascii="Times New Roman" w:cs="Times New Roman" w:eastAsia="Times New Roman" w:hAnsi="Times New Roman"/>
                <w:sz w:val="9"/>
                <w:szCs w:val="9"/>
                <w:color w:val="auto"/>
              </w:rPr>
              <w:t>(6)</w:t>
            </w:r>
          </w:p>
        </w:tc>
        <w:tc>
          <w:tcPr>
            <w:tcW w:w="620" w:type="dxa"/>
            <w:vAlign w:val="bottom"/>
            <w:gridSpan w:val="3"/>
            <w:shd w:val="clear" w:color="auto" w:fill="CCEEFF"/>
          </w:tcPr>
          <w:p>
            <w:pPr>
              <w:jc w:val="right"/>
              <w:ind w:right="40"/>
              <w:spacing w:after="0" w:line="98" w:lineRule="exact"/>
              <w:rPr>
                <w:sz w:val="20"/>
                <w:szCs w:val="20"/>
                <w:color w:val="auto"/>
              </w:rPr>
            </w:pPr>
            <w:r>
              <w:rPr>
                <w:rFonts w:ascii="Times New Roman" w:cs="Times New Roman" w:eastAsia="Times New Roman" w:hAnsi="Times New Roman"/>
                <w:sz w:val="9"/>
                <w:szCs w:val="9"/>
                <w:color w:val="auto"/>
              </w:rPr>
              <w:t>(26)</w:t>
            </w:r>
          </w:p>
        </w:tc>
        <w:tc>
          <w:tcPr>
            <w:tcW w:w="20" w:type="dxa"/>
            <w:vAlign w:val="bottom"/>
            <w:shd w:val="clear" w:color="auto" w:fill="CCEEFF"/>
          </w:tcPr>
          <w:p>
            <w:pPr>
              <w:spacing w:after="0"/>
              <w:rPr>
                <w:sz w:val="8"/>
                <w:szCs w:val="8"/>
                <w:color w:val="auto"/>
              </w:rPr>
            </w:pPr>
          </w:p>
        </w:tc>
        <w:tc>
          <w:tcPr>
            <w:tcW w:w="600" w:type="dxa"/>
            <w:vAlign w:val="bottom"/>
            <w:gridSpan w:val="2"/>
            <w:shd w:val="clear" w:color="auto" w:fill="CCEEFF"/>
          </w:tcPr>
          <w:p>
            <w:pPr>
              <w:ind w:left="400"/>
              <w:spacing w:after="0" w:line="98" w:lineRule="exact"/>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3"/>
            <w:shd w:val="clear" w:color="auto" w:fill="CCEEFF"/>
          </w:tcPr>
          <w:p>
            <w:pPr>
              <w:jc w:val="right"/>
              <w:ind w:right="60"/>
              <w:spacing w:after="0" w:line="98" w:lineRule="exact"/>
              <w:rPr>
                <w:sz w:val="20"/>
                <w:szCs w:val="20"/>
                <w:color w:val="auto"/>
              </w:rPr>
            </w:pPr>
            <w:r>
              <w:rPr>
                <w:rFonts w:ascii="Times New Roman" w:cs="Times New Roman" w:eastAsia="Times New Roman" w:hAnsi="Times New Roman"/>
                <w:sz w:val="9"/>
                <w:szCs w:val="9"/>
                <w:color w:val="auto"/>
              </w:rPr>
              <w:t>(1,416)</w:t>
            </w:r>
          </w:p>
        </w:tc>
        <w:tc>
          <w:tcPr>
            <w:tcW w:w="380" w:type="dxa"/>
            <w:vAlign w:val="bottom"/>
            <w:gridSpan w:val="2"/>
            <w:shd w:val="clear" w:color="auto" w:fill="CCEEFF"/>
          </w:tcPr>
          <w:p>
            <w:pPr>
              <w:ind w:left="180"/>
              <w:spacing w:after="0" w:line="98"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3"/>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auto"/>
              </w:rPr>
              <w:t>(1,350)</w:t>
            </w:r>
          </w:p>
        </w:tc>
        <w:tc>
          <w:tcPr>
            <w:tcW w:w="480" w:type="dxa"/>
            <w:vAlign w:val="bottom"/>
            <w:gridSpan w:val="3"/>
            <w:shd w:val="clear" w:color="auto" w:fill="CCEEFF"/>
          </w:tcPr>
          <w:p>
            <w:pPr>
              <w:jc w:val="right"/>
              <w:ind w:right="40"/>
              <w:spacing w:after="0" w:line="98" w:lineRule="exact"/>
              <w:rPr>
                <w:sz w:val="20"/>
                <w:szCs w:val="20"/>
                <w:color w:val="auto"/>
              </w:rPr>
            </w:pPr>
            <w:r>
              <w:rPr>
                <w:rFonts w:ascii="Times New Roman" w:cs="Times New Roman" w:eastAsia="Times New Roman" w:hAnsi="Times New Roman"/>
                <w:sz w:val="9"/>
                <w:szCs w:val="9"/>
                <w:color w:val="auto"/>
              </w:rPr>
              <w:t>(1,270)</w:t>
            </w:r>
          </w:p>
        </w:tc>
        <w:tc>
          <w:tcPr>
            <w:tcW w:w="600" w:type="dxa"/>
            <w:vAlign w:val="bottom"/>
            <w:gridSpan w:val="3"/>
            <w:shd w:val="clear" w:color="auto" w:fill="CCEEFF"/>
          </w:tcPr>
          <w:p>
            <w:pPr>
              <w:jc w:val="right"/>
              <w:ind w:right="20"/>
              <w:spacing w:after="0" w:line="98" w:lineRule="exact"/>
              <w:rPr>
                <w:sz w:val="20"/>
                <w:szCs w:val="20"/>
                <w:color w:val="auto"/>
              </w:rPr>
            </w:pPr>
            <w:r>
              <w:rPr>
                <w:rFonts w:ascii="Times New Roman" w:cs="Times New Roman" w:eastAsia="Times New Roman" w:hAnsi="Times New Roman"/>
                <w:sz w:val="9"/>
                <w:szCs w:val="9"/>
                <w:color w:val="auto"/>
              </w:rPr>
              <w:t>(507)</w:t>
            </w:r>
          </w:p>
        </w:tc>
        <w:tc>
          <w:tcPr>
            <w:tcW w:w="40" w:type="dxa"/>
            <w:vAlign w:val="bottom"/>
            <w:shd w:val="clear" w:color="auto" w:fill="CCEEFF"/>
          </w:tcPr>
          <w:p>
            <w:pPr>
              <w:spacing w:after="0"/>
              <w:rPr>
                <w:sz w:val="8"/>
                <w:szCs w:val="8"/>
                <w:color w:val="auto"/>
              </w:rPr>
            </w:pPr>
          </w:p>
        </w:tc>
        <w:tc>
          <w:tcPr>
            <w:tcW w:w="600" w:type="dxa"/>
            <w:vAlign w:val="bottom"/>
            <w:gridSpan w:val="2"/>
            <w:shd w:val="clear" w:color="auto" w:fill="CCEEFF"/>
          </w:tcPr>
          <w:p>
            <w:pPr>
              <w:ind w:left="400"/>
              <w:spacing w:after="0" w:line="98" w:lineRule="exact"/>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3"/>
            <w:shd w:val="clear" w:color="auto" w:fill="CCEEFF"/>
          </w:tcPr>
          <w:p>
            <w:pPr>
              <w:jc w:val="right"/>
              <w:ind w:right="60"/>
              <w:spacing w:after="0" w:line="98" w:lineRule="exact"/>
              <w:rPr>
                <w:sz w:val="20"/>
                <w:szCs w:val="20"/>
                <w:color w:val="auto"/>
              </w:rPr>
            </w:pPr>
            <w:r>
              <w:rPr>
                <w:rFonts w:ascii="Times New Roman" w:cs="Times New Roman" w:eastAsia="Times New Roman" w:hAnsi="Times New Roman"/>
                <w:sz w:val="9"/>
                <w:szCs w:val="9"/>
                <w:color w:val="auto"/>
              </w:rPr>
              <w:t>(3,127)</w:t>
            </w:r>
          </w:p>
        </w:tc>
        <w:tc>
          <w:tcPr>
            <w:tcW w:w="420" w:type="dxa"/>
            <w:vAlign w:val="bottom"/>
            <w:gridSpan w:val="2"/>
            <w:shd w:val="clear" w:color="auto" w:fill="CCEEFF"/>
          </w:tcPr>
          <w:p>
            <w:pPr>
              <w:jc w:val="right"/>
              <w:ind w:right="94"/>
              <w:spacing w:after="0" w:line="98"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3"/>
            <w:shd w:val="clear" w:color="auto" w:fill="CCEEFF"/>
          </w:tcPr>
          <w:p>
            <w:pPr>
              <w:jc w:val="right"/>
              <w:ind w:right="60"/>
              <w:spacing w:after="0" w:line="98" w:lineRule="exact"/>
              <w:rPr>
                <w:sz w:val="20"/>
                <w:szCs w:val="20"/>
                <w:color w:val="auto"/>
              </w:rPr>
            </w:pPr>
            <w:r>
              <w:rPr>
                <w:rFonts w:ascii="Times New Roman" w:cs="Times New Roman" w:eastAsia="Times New Roman" w:hAnsi="Times New Roman"/>
                <w:sz w:val="9"/>
                <w:szCs w:val="9"/>
                <w:color w:val="auto"/>
              </w:rPr>
              <w:t>(6)</w:t>
            </w:r>
          </w:p>
        </w:tc>
        <w:tc>
          <w:tcPr>
            <w:tcW w:w="420" w:type="dxa"/>
            <w:vAlign w:val="bottom"/>
            <w:gridSpan w:val="2"/>
            <w:shd w:val="clear" w:color="auto" w:fill="CCEEFF"/>
          </w:tcPr>
          <w:p>
            <w:pPr>
              <w:jc w:val="right"/>
              <w:ind w:right="34"/>
              <w:spacing w:after="0" w:line="98" w:lineRule="exact"/>
              <w:rPr>
                <w:sz w:val="20"/>
                <w:szCs w:val="20"/>
                <w:color w:val="auto"/>
              </w:rPr>
            </w:pPr>
            <w:r>
              <w:rPr>
                <w:rFonts w:ascii="Times New Roman" w:cs="Times New Roman" w:eastAsia="Times New Roman" w:hAnsi="Times New Roman"/>
                <w:sz w:val="9"/>
                <w:szCs w:val="9"/>
                <w:color w:val="auto"/>
              </w:rPr>
              <w:t>(1,340)</w:t>
            </w:r>
          </w:p>
        </w:tc>
        <w:tc>
          <w:tcPr>
            <w:tcW w:w="600" w:type="dxa"/>
            <w:vAlign w:val="bottom"/>
            <w:gridSpan w:val="3"/>
            <w:shd w:val="clear" w:color="auto" w:fill="CCEEFF"/>
          </w:tcPr>
          <w:p>
            <w:pPr>
              <w:jc w:val="right"/>
              <w:ind w:right="20"/>
              <w:spacing w:after="0" w:line="98" w:lineRule="exact"/>
              <w:rPr>
                <w:sz w:val="20"/>
                <w:szCs w:val="20"/>
                <w:color w:val="auto"/>
              </w:rPr>
            </w:pPr>
            <w:r>
              <w:rPr>
                <w:rFonts w:ascii="Times New Roman" w:cs="Times New Roman" w:eastAsia="Times New Roman" w:hAnsi="Times New Roman"/>
                <w:sz w:val="9"/>
                <w:szCs w:val="9"/>
                <w:color w:val="auto"/>
              </w:rPr>
              <w:t>(343)</w:t>
            </w: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700" w:type="dxa"/>
            <w:vAlign w:val="bottom"/>
          </w:tcPr>
          <w:p>
            <w:pPr>
              <w:spacing w:after="0" w:line="82" w:lineRule="exact"/>
              <w:rPr>
                <w:sz w:val="20"/>
                <w:szCs w:val="20"/>
                <w:color w:val="auto"/>
              </w:rPr>
            </w:pPr>
            <w:r>
              <w:rPr>
                <w:rFonts w:ascii="Times New Roman" w:cs="Times New Roman" w:eastAsia="Times New Roman" w:hAnsi="Times New Roman"/>
                <w:sz w:val="9"/>
                <w:szCs w:val="9"/>
                <w:b w:val="1"/>
                <w:bCs w:val="1"/>
                <w:color w:val="auto"/>
              </w:rPr>
              <w:t>Loss before</w:t>
            </w: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700" w:type="dxa"/>
            <w:vAlign w:val="bottom"/>
          </w:tcPr>
          <w:p>
            <w:pPr>
              <w:ind w:left="80"/>
              <w:spacing w:after="0" w:line="98" w:lineRule="exact"/>
              <w:rPr>
                <w:sz w:val="20"/>
                <w:szCs w:val="20"/>
                <w:color w:val="auto"/>
              </w:rPr>
            </w:pPr>
            <w:r>
              <w:rPr>
                <w:rFonts w:ascii="Times New Roman" w:cs="Times New Roman" w:eastAsia="Times New Roman" w:hAnsi="Times New Roman"/>
                <w:sz w:val="9"/>
                <w:szCs w:val="9"/>
                <w:b w:val="1"/>
                <w:bCs w:val="1"/>
                <w:color w:val="auto"/>
              </w:rPr>
              <w:t>income tax</w:t>
            </w: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700" w:type="dxa"/>
            <w:vAlign w:val="bottom"/>
          </w:tcPr>
          <w:p>
            <w:pPr>
              <w:ind w:left="80"/>
              <w:spacing w:after="0" w:line="98" w:lineRule="exact"/>
              <w:rPr>
                <w:sz w:val="20"/>
                <w:szCs w:val="20"/>
                <w:color w:val="auto"/>
              </w:rPr>
            </w:pPr>
            <w:r>
              <w:rPr>
                <w:rFonts w:ascii="Times New Roman" w:cs="Times New Roman" w:eastAsia="Times New Roman" w:hAnsi="Times New Roman"/>
                <w:sz w:val="9"/>
                <w:szCs w:val="9"/>
                <w:b w:val="1"/>
                <w:bCs w:val="1"/>
                <w:color w:val="auto"/>
              </w:rPr>
              <w:t>and (loss)</w:t>
            </w: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700" w:type="dxa"/>
            <w:vAlign w:val="bottom"/>
          </w:tcPr>
          <w:p>
            <w:pPr>
              <w:ind w:left="80"/>
              <w:spacing w:after="0" w:line="98" w:lineRule="exact"/>
              <w:rPr>
                <w:sz w:val="20"/>
                <w:szCs w:val="20"/>
                <w:color w:val="auto"/>
              </w:rPr>
            </w:pPr>
            <w:r>
              <w:rPr>
                <w:rFonts w:ascii="Times New Roman" w:cs="Times New Roman" w:eastAsia="Times New Roman" w:hAnsi="Times New Roman"/>
                <w:sz w:val="9"/>
                <w:szCs w:val="9"/>
                <w:b w:val="1"/>
                <w:bCs w:val="1"/>
                <w:color w:val="auto"/>
              </w:rPr>
              <w:t>income from</w:t>
            </w: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700" w:type="dxa"/>
            <w:vAlign w:val="bottom"/>
          </w:tcPr>
          <w:p>
            <w:pPr>
              <w:ind w:left="80"/>
              <w:spacing w:after="0" w:line="98" w:lineRule="exact"/>
              <w:rPr>
                <w:sz w:val="20"/>
                <w:szCs w:val="20"/>
                <w:color w:val="auto"/>
              </w:rPr>
            </w:pPr>
            <w:r>
              <w:rPr>
                <w:rFonts w:ascii="Times New Roman" w:cs="Times New Roman" w:eastAsia="Times New Roman" w:hAnsi="Times New Roman"/>
                <w:sz w:val="9"/>
                <w:szCs w:val="9"/>
                <w:b w:val="1"/>
                <w:bCs w:val="1"/>
                <w:color w:val="auto"/>
              </w:rPr>
              <w:t>equity method</w:t>
            </w: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700" w:type="dxa"/>
            <w:vAlign w:val="bottom"/>
          </w:tcPr>
          <w:p>
            <w:pPr>
              <w:ind w:left="80"/>
              <w:spacing w:after="0"/>
              <w:rPr>
                <w:sz w:val="20"/>
                <w:szCs w:val="20"/>
                <w:color w:val="auto"/>
              </w:rPr>
            </w:pPr>
            <w:r>
              <w:rPr>
                <w:rFonts w:ascii="Times New Roman" w:cs="Times New Roman" w:eastAsia="Times New Roman" w:hAnsi="Times New Roman"/>
                <w:sz w:val="9"/>
                <w:szCs w:val="9"/>
                <w:b w:val="1"/>
                <w:bCs w:val="1"/>
                <w:color w:val="auto"/>
              </w:rPr>
              <w:t>investment</w:t>
            </w:r>
          </w:p>
        </w:tc>
        <w:tc>
          <w:tcPr>
            <w:tcW w:w="360" w:type="dxa"/>
            <w:vAlign w:val="bottom"/>
            <w:gridSpan w:val="2"/>
          </w:tcPr>
          <w:p>
            <w:pPr>
              <w:jc w:val="right"/>
              <w:ind w:right="34"/>
              <w:spacing w:after="0"/>
              <w:rPr>
                <w:sz w:val="20"/>
                <w:szCs w:val="20"/>
                <w:color w:val="auto"/>
              </w:rPr>
            </w:pPr>
            <w:r>
              <w:rPr>
                <w:rFonts w:ascii="Times New Roman" w:cs="Times New Roman" w:eastAsia="Times New Roman" w:hAnsi="Times New Roman"/>
                <w:sz w:val="9"/>
                <w:szCs w:val="9"/>
                <w:b w:val="1"/>
                <w:bCs w:val="1"/>
                <w:color w:val="auto"/>
                <w:w w:val="97"/>
              </w:rPr>
              <w:t>(48,545)</w:t>
            </w: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9"/>
                <w:szCs w:val="9"/>
                <w:b w:val="1"/>
                <w:bCs w:val="1"/>
                <w:color w:val="auto"/>
              </w:rPr>
              <w:t>(47,151)</w:t>
            </w:r>
          </w:p>
        </w:tc>
        <w:tc>
          <w:tcPr>
            <w:tcW w:w="400" w:type="dxa"/>
            <w:vAlign w:val="bottom"/>
            <w:gridSpan w:val="3"/>
          </w:tcPr>
          <w:p>
            <w:pPr>
              <w:jc w:val="right"/>
              <w:ind w:right="34"/>
              <w:spacing w:after="0"/>
              <w:rPr>
                <w:sz w:val="20"/>
                <w:szCs w:val="20"/>
                <w:color w:val="auto"/>
              </w:rPr>
            </w:pPr>
            <w:r>
              <w:rPr>
                <w:rFonts w:ascii="Times New Roman" w:cs="Times New Roman" w:eastAsia="Times New Roman" w:hAnsi="Times New Roman"/>
                <w:sz w:val="9"/>
                <w:szCs w:val="9"/>
                <w:b w:val="1"/>
                <w:bCs w:val="1"/>
                <w:color w:val="auto"/>
              </w:rPr>
              <w:t>(43,603)</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3,039</w:t>
            </w:r>
          </w:p>
        </w:tc>
        <w:tc>
          <w:tcPr>
            <w:tcW w:w="60" w:type="dxa"/>
            <w:vAlign w:val="bottom"/>
          </w:tcPr>
          <w:p>
            <w:pPr>
              <w:spacing w:after="0"/>
              <w:rPr>
                <w:sz w:val="9"/>
                <w:szCs w:val="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89,094</w:t>
            </w:r>
          </w:p>
        </w:tc>
        <w:tc>
          <w:tcPr>
            <w:tcW w:w="60" w:type="dxa"/>
            <w:vAlign w:val="bottom"/>
          </w:tcPr>
          <w:p>
            <w:pPr>
              <w:spacing w:after="0"/>
              <w:rPr>
                <w:sz w:val="9"/>
                <w:szCs w:val="9"/>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(47,166)</w:t>
            </w:r>
          </w:p>
        </w:tc>
        <w:tc>
          <w:tcPr>
            <w:tcW w:w="380" w:type="dxa"/>
            <w:vAlign w:val="bottom"/>
            <w:gridSpan w:val="2"/>
          </w:tcPr>
          <w:p>
            <w:pPr>
              <w:jc w:val="right"/>
              <w:ind w:right="34"/>
              <w:spacing w:after="0"/>
              <w:rPr>
                <w:sz w:val="20"/>
                <w:szCs w:val="20"/>
                <w:color w:val="auto"/>
              </w:rPr>
            </w:pPr>
            <w:r>
              <w:rPr>
                <w:rFonts w:ascii="Times New Roman" w:cs="Times New Roman" w:eastAsia="Times New Roman" w:hAnsi="Times New Roman"/>
                <w:sz w:val="9"/>
                <w:szCs w:val="9"/>
                <w:b w:val="1"/>
                <w:bCs w:val="1"/>
                <w:color w:val="auto"/>
              </w:rPr>
              <w:t>(87,619)</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9"/>
                <w:szCs w:val="9"/>
                <w:b w:val="1"/>
                <w:bCs w:val="1"/>
                <w:color w:val="auto"/>
              </w:rPr>
              <w:t>(87,031)</w:t>
            </w: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9"/>
                <w:szCs w:val="9"/>
                <w:b w:val="1"/>
                <w:bCs w:val="1"/>
                <w:color w:val="auto"/>
              </w:rPr>
              <w:t>(80,963)</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25,725</w:t>
            </w:r>
          </w:p>
        </w:tc>
        <w:tc>
          <w:tcPr>
            <w:tcW w:w="40" w:type="dxa"/>
            <w:vAlign w:val="bottom"/>
          </w:tcPr>
          <w:p>
            <w:pPr>
              <w:spacing w:after="0"/>
              <w:rPr>
                <w:sz w:val="9"/>
                <w:szCs w:val="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137,817</w:t>
            </w:r>
          </w:p>
        </w:tc>
        <w:tc>
          <w:tcPr>
            <w:tcW w:w="60" w:type="dxa"/>
            <w:vAlign w:val="bottom"/>
          </w:tcPr>
          <w:p>
            <w:pPr>
              <w:spacing w:after="0"/>
              <w:rPr>
                <w:sz w:val="9"/>
                <w:szCs w:val="9"/>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(92,071)</w:t>
            </w:r>
          </w:p>
        </w:tc>
        <w:tc>
          <w:tcPr>
            <w:tcW w:w="420" w:type="dxa"/>
            <w:vAlign w:val="bottom"/>
            <w:gridSpan w:val="2"/>
          </w:tcPr>
          <w:p>
            <w:pPr>
              <w:jc w:val="right"/>
              <w:ind w:right="34"/>
              <w:spacing w:after="0"/>
              <w:rPr>
                <w:sz w:val="20"/>
                <w:szCs w:val="20"/>
                <w:color w:val="auto"/>
              </w:rPr>
            </w:pPr>
            <w:r>
              <w:rPr>
                <w:rFonts w:ascii="Times New Roman" w:cs="Times New Roman" w:eastAsia="Times New Roman" w:hAnsi="Times New Roman"/>
                <w:sz w:val="9"/>
                <w:szCs w:val="9"/>
                <w:b w:val="1"/>
                <w:bCs w:val="1"/>
                <w:color w:val="auto"/>
              </w:rPr>
              <w:t>(313,959)</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(308,454)</w:t>
            </w:r>
          </w:p>
        </w:tc>
        <w:tc>
          <w:tcPr>
            <w:tcW w:w="420" w:type="dxa"/>
            <w:vAlign w:val="bottom"/>
            <w:gridSpan w:val="2"/>
          </w:tcPr>
          <w:p>
            <w:pPr>
              <w:jc w:val="right"/>
              <w:ind w:right="34"/>
              <w:spacing w:after="0"/>
              <w:rPr>
                <w:sz w:val="20"/>
                <w:szCs w:val="20"/>
                <w:color w:val="auto"/>
              </w:rPr>
            </w:pPr>
            <w:r>
              <w:rPr>
                <w:rFonts w:ascii="Times New Roman" w:cs="Times New Roman" w:eastAsia="Times New Roman" w:hAnsi="Times New Roman"/>
                <w:sz w:val="9"/>
                <w:szCs w:val="9"/>
                <w:b w:val="1"/>
                <w:bCs w:val="1"/>
                <w:color w:val="auto"/>
              </w:rPr>
              <w:t>(306,666)</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b w:val="1"/>
                <w:bCs w:val="1"/>
                <w:color w:val="auto"/>
              </w:rPr>
              <w:t>(8,421)</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700" w:type="dxa"/>
            <w:vAlign w:val="bottom"/>
            <w:shd w:val="clear" w:color="auto" w:fill="CCEEFF"/>
          </w:tcPr>
          <w:p>
            <w:pPr>
              <w:spacing w:after="0" w:line="84" w:lineRule="exact"/>
              <w:rPr>
                <w:sz w:val="20"/>
                <w:szCs w:val="20"/>
                <w:color w:val="auto"/>
              </w:rPr>
            </w:pPr>
            <w:r>
              <w:rPr>
                <w:rFonts w:ascii="Times New Roman" w:cs="Times New Roman" w:eastAsia="Times New Roman" w:hAnsi="Times New Roman"/>
                <w:sz w:val="9"/>
                <w:szCs w:val="9"/>
                <w:color w:val="auto"/>
              </w:rPr>
              <w:t>Income tax</w:t>
            </w:r>
          </w:p>
        </w:tc>
        <w:tc>
          <w:tcPr>
            <w:tcW w:w="30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expenses</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9"/>
                <w:szCs w:val="9"/>
                <w:color w:val="auto"/>
              </w:rPr>
              <w:t>(754)</w:t>
            </w:r>
          </w:p>
        </w:tc>
        <w:tc>
          <w:tcPr>
            <w:tcW w:w="20" w:type="dxa"/>
            <w:vAlign w:val="bottom"/>
            <w:shd w:val="clear" w:color="auto" w:fill="CCEEFF"/>
          </w:tcPr>
          <w:p>
            <w:pPr>
              <w:spacing w:after="0"/>
              <w:rPr>
                <w:sz w:val="9"/>
                <w:szCs w:val="9"/>
                <w:color w:val="auto"/>
              </w:rPr>
            </w:pP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(754)</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9"/>
                <w:szCs w:val="9"/>
                <w:color w:val="auto"/>
              </w:rPr>
              <w:t>(206)</w:t>
            </w:r>
          </w:p>
        </w:tc>
        <w:tc>
          <w:tcPr>
            <w:tcW w:w="40" w:type="dxa"/>
            <w:vAlign w:val="bottom"/>
            <w:shd w:val="clear" w:color="auto" w:fill="CCEEFF"/>
          </w:tcPr>
          <w:p>
            <w:pPr>
              <w:spacing w:after="0"/>
              <w:rPr>
                <w:sz w:val="9"/>
                <w:szCs w:val="9"/>
                <w:color w:val="auto"/>
              </w:rPr>
            </w:pP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(206</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(21)</w:t>
            </w:r>
          </w:p>
        </w:tc>
        <w:tc>
          <w:tcPr>
            <w:tcW w:w="42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9"/>
                <w:szCs w:val="9"/>
                <w:color w:val="auto"/>
              </w:rPr>
              <w:t>(113)</w:t>
            </w: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700" w:type="dxa"/>
            <w:vAlign w:val="bottom"/>
          </w:tcPr>
          <w:p>
            <w:pPr>
              <w:spacing w:after="0" w:line="82" w:lineRule="exact"/>
              <w:rPr>
                <w:sz w:val="20"/>
                <w:szCs w:val="20"/>
                <w:color w:val="auto"/>
              </w:rPr>
            </w:pPr>
            <w:r>
              <w:rPr>
                <w:rFonts w:ascii="Times New Roman" w:cs="Times New Roman" w:eastAsia="Times New Roman" w:hAnsi="Times New Roman"/>
                <w:sz w:val="9"/>
                <w:szCs w:val="9"/>
                <w:b w:val="1"/>
                <w:bCs w:val="1"/>
                <w:color w:val="auto"/>
              </w:rPr>
              <w:t>Loss before</w:t>
            </w:r>
          </w:p>
        </w:tc>
        <w:tc>
          <w:tcPr>
            <w:tcW w:w="3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700" w:type="dxa"/>
            <w:vAlign w:val="bottom"/>
          </w:tcPr>
          <w:p>
            <w:pPr>
              <w:ind w:left="80"/>
              <w:spacing w:after="0" w:line="98" w:lineRule="exact"/>
              <w:rPr>
                <w:sz w:val="20"/>
                <w:szCs w:val="20"/>
                <w:color w:val="auto"/>
              </w:rPr>
            </w:pPr>
            <w:r>
              <w:rPr>
                <w:rFonts w:ascii="Times New Roman" w:cs="Times New Roman" w:eastAsia="Times New Roman" w:hAnsi="Times New Roman"/>
                <w:sz w:val="9"/>
                <w:szCs w:val="9"/>
                <w:b w:val="1"/>
                <w:bCs w:val="1"/>
                <w:color w:val="auto"/>
              </w:rPr>
              <w:t>(loss) income</w:t>
            </w: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700" w:type="dxa"/>
            <w:vAlign w:val="bottom"/>
          </w:tcPr>
          <w:p>
            <w:pPr>
              <w:ind w:left="80"/>
              <w:spacing w:after="0" w:line="98" w:lineRule="exact"/>
              <w:rPr>
                <w:sz w:val="20"/>
                <w:szCs w:val="20"/>
                <w:color w:val="auto"/>
              </w:rPr>
            </w:pPr>
            <w:r>
              <w:rPr>
                <w:rFonts w:ascii="Times New Roman" w:cs="Times New Roman" w:eastAsia="Times New Roman" w:hAnsi="Times New Roman"/>
                <w:sz w:val="9"/>
                <w:szCs w:val="9"/>
                <w:b w:val="1"/>
                <w:bCs w:val="1"/>
                <w:color w:val="auto"/>
              </w:rPr>
              <w:t>from equity</w:t>
            </w: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700" w:type="dxa"/>
            <w:vAlign w:val="bottom"/>
          </w:tcPr>
          <w:p>
            <w:pPr>
              <w:ind w:left="80"/>
              <w:spacing w:after="0" w:line="98" w:lineRule="exact"/>
              <w:rPr>
                <w:sz w:val="20"/>
                <w:szCs w:val="20"/>
                <w:color w:val="auto"/>
              </w:rPr>
            </w:pPr>
            <w:r>
              <w:rPr>
                <w:rFonts w:ascii="Times New Roman" w:cs="Times New Roman" w:eastAsia="Times New Roman" w:hAnsi="Times New Roman"/>
                <w:sz w:val="9"/>
                <w:szCs w:val="9"/>
                <w:b w:val="1"/>
                <w:bCs w:val="1"/>
                <w:color w:val="auto"/>
              </w:rPr>
              <w:t>method</w:t>
            </w: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700" w:type="dxa"/>
            <w:vAlign w:val="bottom"/>
          </w:tcPr>
          <w:p>
            <w:pPr>
              <w:ind w:left="80"/>
              <w:spacing w:after="0"/>
              <w:rPr>
                <w:sz w:val="20"/>
                <w:szCs w:val="20"/>
                <w:color w:val="auto"/>
              </w:rPr>
            </w:pPr>
            <w:r>
              <w:rPr>
                <w:rFonts w:ascii="Times New Roman" w:cs="Times New Roman" w:eastAsia="Times New Roman" w:hAnsi="Times New Roman"/>
                <w:sz w:val="9"/>
                <w:szCs w:val="9"/>
                <w:b w:val="1"/>
                <w:bCs w:val="1"/>
                <w:color w:val="auto"/>
              </w:rPr>
              <w:t>investment</w:t>
            </w:r>
          </w:p>
        </w:tc>
        <w:tc>
          <w:tcPr>
            <w:tcW w:w="360" w:type="dxa"/>
            <w:vAlign w:val="bottom"/>
            <w:gridSpan w:val="2"/>
          </w:tcPr>
          <w:p>
            <w:pPr>
              <w:jc w:val="right"/>
              <w:ind w:right="34"/>
              <w:spacing w:after="0"/>
              <w:rPr>
                <w:sz w:val="20"/>
                <w:szCs w:val="20"/>
                <w:color w:val="auto"/>
              </w:rPr>
            </w:pPr>
            <w:r>
              <w:rPr>
                <w:rFonts w:ascii="Times New Roman" w:cs="Times New Roman" w:eastAsia="Times New Roman" w:hAnsi="Times New Roman"/>
                <w:sz w:val="9"/>
                <w:szCs w:val="9"/>
                <w:b w:val="1"/>
                <w:bCs w:val="1"/>
                <w:color w:val="auto"/>
                <w:w w:val="97"/>
              </w:rPr>
              <w:t>(48,545)</w:t>
            </w: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9"/>
                <w:szCs w:val="9"/>
                <w:b w:val="1"/>
                <w:bCs w:val="1"/>
                <w:color w:val="auto"/>
              </w:rPr>
              <w:t>(47,151)</w:t>
            </w:r>
          </w:p>
        </w:tc>
        <w:tc>
          <w:tcPr>
            <w:tcW w:w="400" w:type="dxa"/>
            <w:vAlign w:val="bottom"/>
            <w:gridSpan w:val="3"/>
          </w:tcPr>
          <w:p>
            <w:pPr>
              <w:jc w:val="right"/>
              <w:ind w:right="34"/>
              <w:spacing w:after="0"/>
              <w:rPr>
                <w:sz w:val="20"/>
                <w:szCs w:val="20"/>
                <w:color w:val="auto"/>
              </w:rPr>
            </w:pPr>
            <w:r>
              <w:rPr>
                <w:rFonts w:ascii="Times New Roman" w:cs="Times New Roman" w:eastAsia="Times New Roman" w:hAnsi="Times New Roman"/>
                <w:sz w:val="9"/>
                <w:szCs w:val="9"/>
                <w:b w:val="1"/>
                <w:bCs w:val="1"/>
                <w:color w:val="auto"/>
              </w:rPr>
              <w:t>(43,603)</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2,285</w:t>
            </w:r>
          </w:p>
        </w:tc>
        <w:tc>
          <w:tcPr>
            <w:tcW w:w="60" w:type="dxa"/>
            <w:vAlign w:val="bottom"/>
          </w:tcPr>
          <w:p>
            <w:pPr>
              <w:spacing w:after="0"/>
              <w:rPr>
                <w:sz w:val="9"/>
                <w:szCs w:val="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89,094</w:t>
            </w:r>
          </w:p>
        </w:tc>
        <w:tc>
          <w:tcPr>
            <w:tcW w:w="60" w:type="dxa"/>
            <w:vAlign w:val="bottom"/>
          </w:tcPr>
          <w:p>
            <w:pPr>
              <w:spacing w:after="0"/>
              <w:rPr>
                <w:sz w:val="9"/>
                <w:szCs w:val="9"/>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(47,920)</w:t>
            </w:r>
          </w:p>
        </w:tc>
        <w:tc>
          <w:tcPr>
            <w:tcW w:w="380" w:type="dxa"/>
            <w:vAlign w:val="bottom"/>
            <w:gridSpan w:val="2"/>
          </w:tcPr>
          <w:p>
            <w:pPr>
              <w:jc w:val="right"/>
              <w:ind w:right="34"/>
              <w:spacing w:after="0"/>
              <w:rPr>
                <w:sz w:val="20"/>
                <w:szCs w:val="20"/>
                <w:color w:val="auto"/>
              </w:rPr>
            </w:pPr>
            <w:r>
              <w:rPr>
                <w:rFonts w:ascii="Times New Roman" w:cs="Times New Roman" w:eastAsia="Times New Roman" w:hAnsi="Times New Roman"/>
                <w:sz w:val="9"/>
                <w:szCs w:val="9"/>
                <w:b w:val="1"/>
                <w:bCs w:val="1"/>
                <w:color w:val="auto"/>
              </w:rPr>
              <w:t>(87,619)</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9"/>
                <w:szCs w:val="9"/>
                <w:b w:val="1"/>
                <w:bCs w:val="1"/>
                <w:color w:val="auto"/>
              </w:rPr>
              <w:t>(87,031)</w:t>
            </w: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9"/>
                <w:szCs w:val="9"/>
                <w:b w:val="1"/>
                <w:bCs w:val="1"/>
                <w:color w:val="auto"/>
              </w:rPr>
              <w:t>(80,963)</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25,519</w:t>
            </w:r>
          </w:p>
        </w:tc>
        <w:tc>
          <w:tcPr>
            <w:tcW w:w="40" w:type="dxa"/>
            <w:vAlign w:val="bottom"/>
          </w:tcPr>
          <w:p>
            <w:pPr>
              <w:spacing w:after="0"/>
              <w:rPr>
                <w:sz w:val="9"/>
                <w:szCs w:val="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137,817</w:t>
            </w:r>
          </w:p>
        </w:tc>
        <w:tc>
          <w:tcPr>
            <w:tcW w:w="60" w:type="dxa"/>
            <w:vAlign w:val="bottom"/>
          </w:tcPr>
          <w:p>
            <w:pPr>
              <w:spacing w:after="0"/>
              <w:rPr>
                <w:sz w:val="9"/>
                <w:szCs w:val="9"/>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(92,277)</w:t>
            </w:r>
          </w:p>
        </w:tc>
        <w:tc>
          <w:tcPr>
            <w:tcW w:w="420" w:type="dxa"/>
            <w:vAlign w:val="bottom"/>
            <w:gridSpan w:val="2"/>
          </w:tcPr>
          <w:p>
            <w:pPr>
              <w:jc w:val="right"/>
              <w:ind w:right="34"/>
              <w:spacing w:after="0"/>
              <w:rPr>
                <w:sz w:val="20"/>
                <w:szCs w:val="20"/>
                <w:color w:val="auto"/>
              </w:rPr>
            </w:pPr>
            <w:r>
              <w:rPr>
                <w:rFonts w:ascii="Times New Roman" w:cs="Times New Roman" w:eastAsia="Times New Roman" w:hAnsi="Times New Roman"/>
                <w:sz w:val="9"/>
                <w:szCs w:val="9"/>
                <w:b w:val="1"/>
                <w:bCs w:val="1"/>
                <w:color w:val="auto"/>
              </w:rPr>
              <w:t>(313,959)</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(308,475)</w:t>
            </w:r>
          </w:p>
        </w:tc>
        <w:tc>
          <w:tcPr>
            <w:tcW w:w="420" w:type="dxa"/>
            <w:vAlign w:val="bottom"/>
            <w:gridSpan w:val="2"/>
          </w:tcPr>
          <w:p>
            <w:pPr>
              <w:jc w:val="right"/>
              <w:ind w:right="34"/>
              <w:spacing w:after="0"/>
              <w:rPr>
                <w:sz w:val="20"/>
                <w:szCs w:val="20"/>
                <w:color w:val="auto"/>
              </w:rPr>
            </w:pPr>
            <w:r>
              <w:rPr>
                <w:rFonts w:ascii="Times New Roman" w:cs="Times New Roman" w:eastAsia="Times New Roman" w:hAnsi="Times New Roman"/>
                <w:sz w:val="9"/>
                <w:szCs w:val="9"/>
                <w:b w:val="1"/>
                <w:bCs w:val="1"/>
                <w:color w:val="auto"/>
              </w:rPr>
              <w:t>(306,666)</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b w:val="1"/>
                <w:bCs w:val="1"/>
                <w:color w:val="auto"/>
              </w:rPr>
              <w:t>(8,534)</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700" w:type="dxa"/>
            <w:vAlign w:val="bottom"/>
            <w:shd w:val="clear" w:color="auto" w:fill="CCEEFF"/>
          </w:tcPr>
          <w:p>
            <w:pPr>
              <w:spacing w:after="0" w:line="85" w:lineRule="exact"/>
              <w:rPr>
                <w:sz w:val="20"/>
                <w:szCs w:val="20"/>
                <w:color w:val="auto"/>
              </w:rPr>
            </w:pPr>
            <w:r>
              <w:rPr>
                <w:rFonts w:ascii="Times New Roman" w:cs="Times New Roman" w:eastAsia="Times New Roman" w:hAnsi="Times New Roman"/>
                <w:sz w:val="9"/>
                <w:szCs w:val="9"/>
                <w:color w:val="auto"/>
              </w:rPr>
              <w:t>(Loss) income</w:t>
            </w: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700" w:type="dxa"/>
            <w:vAlign w:val="bottom"/>
            <w:shd w:val="clear" w:color="auto" w:fill="CCEEFF"/>
          </w:tcPr>
          <w:p>
            <w:pPr>
              <w:ind w:left="80"/>
              <w:spacing w:after="0" w:line="98" w:lineRule="exact"/>
              <w:rPr>
                <w:sz w:val="20"/>
                <w:szCs w:val="20"/>
                <w:color w:val="auto"/>
              </w:rPr>
            </w:pPr>
            <w:r>
              <w:rPr>
                <w:rFonts w:ascii="Times New Roman" w:cs="Times New Roman" w:eastAsia="Times New Roman" w:hAnsi="Times New Roman"/>
                <w:sz w:val="9"/>
                <w:szCs w:val="9"/>
                <w:color w:val="auto"/>
              </w:rPr>
              <w:t>from equity</w:t>
            </w: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700" w:type="dxa"/>
            <w:vAlign w:val="bottom"/>
            <w:shd w:val="clear" w:color="auto" w:fill="CCEEFF"/>
          </w:tcPr>
          <w:p>
            <w:pPr>
              <w:ind w:left="80"/>
              <w:spacing w:after="0" w:line="98" w:lineRule="exact"/>
              <w:rPr>
                <w:sz w:val="20"/>
                <w:szCs w:val="20"/>
                <w:color w:val="auto"/>
              </w:rPr>
            </w:pPr>
            <w:r>
              <w:rPr>
                <w:rFonts w:ascii="Times New Roman" w:cs="Times New Roman" w:eastAsia="Times New Roman" w:hAnsi="Times New Roman"/>
                <w:sz w:val="9"/>
                <w:szCs w:val="9"/>
                <w:color w:val="auto"/>
              </w:rPr>
              <w:t>method</w:t>
            </w: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investments</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9"/>
                <w:szCs w:val="9"/>
                <w:color w:val="auto"/>
              </w:rPr>
              <w:t>(74)</w:t>
            </w:r>
          </w:p>
        </w:tc>
        <w:tc>
          <w:tcPr>
            <w:tcW w:w="20" w:type="dxa"/>
            <w:vAlign w:val="bottom"/>
            <w:shd w:val="clear" w:color="auto" w:fill="CCEEFF"/>
          </w:tcPr>
          <w:p>
            <w:pPr>
              <w:spacing w:after="0"/>
              <w:rPr>
                <w:sz w:val="9"/>
                <w:szCs w:val="9"/>
                <w:color w:val="auto"/>
              </w:rPr>
            </w:pP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(74)</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236</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236</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color w:val="auto"/>
              </w:rPr>
              <w:t>(276)</w:t>
            </w:r>
          </w:p>
        </w:tc>
        <w:tc>
          <w:tcPr>
            <w:tcW w:w="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700" w:type="dxa"/>
            <w:vAlign w:val="bottom"/>
          </w:tcPr>
          <w:p>
            <w:pPr>
              <w:spacing w:after="0" w:line="97" w:lineRule="exact"/>
              <w:rPr>
                <w:sz w:val="20"/>
                <w:szCs w:val="20"/>
                <w:color w:val="auto"/>
              </w:rPr>
            </w:pPr>
            <w:r>
              <w:rPr>
                <w:rFonts w:ascii="Times New Roman" w:cs="Times New Roman" w:eastAsia="Times New Roman" w:hAnsi="Times New Roman"/>
                <w:sz w:val="9"/>
                <w:szCs w:val="9"/>
                <w:b w:val="1"/>
                <w:bCs w:val="1"/>
                <w:color w:val="auto"/>
              </w:rPr>
              <w:t>Net (loss) income</w:t>
            </w:r>
          </w:p>
        </w:tc>
        <w:tc>
          <w:tcPr>
            <w:tcW w:w="30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b w:val="1"/>
                <w:bCs w:val="1"/>
                <w:color w:val="auto"/>
              </w:rPr>
              <w:t>(48,545</w:t>
            </w:r>
          </w:p>
        </w:tc>
        <w:tc>
          <w:tcPr>
            <w:tcW w:w="60" w:type="dxa"/>
            <w:vAlign w:val="bottom"/>
          </w:tcPr>
          <w:p>
            <w:pPr>
              <w:jc w:val="right"/>
              <w:ind w:right="34"/>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20" w:type="dxa"/>
            <w:vAlign w:val="bottom"/>
          </w:tcPr>
          <w:p>
            <w:pPr>
              <w:spacing w:after="0"/>
              <w:rPr>
                <w:sz w:val="8"/>
                <w:szCs w:val="8"/>
                <w:color w:val="auto"/>
              </w:rPr>
            </w:pPr>
          </w:p>
        </w:tc>
        <w:tc>
          <w:tcPr>
            <w:tcW w:w="54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b w:val="1"/>
                <w:bCs w:val="1"/>
                <w:color w:val="auto"/>
              </w:rPr>
              <w:t>(47,151)</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b w:val="1"/>
                <w:bCs w:val="1"/>
                <w:color w:val="auto"/>
              </w:rPr>
              <w:t>(43,603</w:t>
            </w:r>
          </w:p>
        </w:tc>
        <w:tc>
          <w:tcPr>
            <w:tcW w:w="60" w:type="dxa"/>
            <w:vAlign w:val="bottom"/>
          </w:tcPr>
          <w:p>
            <w:pPr>
              <w:jc w:val="right"/>
              <w:ind w:right="34"/>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40" w:type="dxa"/>
            <w:vAlign w:val="bottom"/>
          </w:tcPr>
          <w:p>
            <w:pPr>
              <w:spacing w:after="0"/>
              <w:rPr>
                <w:sz w:val="8"/>
                <w:szCs w:val="8"/>
                <w:color w:val="auto"/>
              </w:rPr>
            </w:pPr>
          </w:p>
        </w:tc>
        <w:tc>
          <w:tcPr>
            <w:tcW w:w="52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b w:val="1"/>
                <w:bCs w:val="1"/>
                <w:color w:val="auto"/>
              </w:rPr>
              <w:t>2,211</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b w:val="1"/>
                <w:bCs w:val="1"/>
                <w:color w:val="auto"/>
              </w:rPr>
              <w:t>89,094</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b w:val="1"/>
                <w:bCs w:val="1"/>
                <w:color w:val="auto"/>
              </w:rPr>
              <w:t>(47,994)</w:t>
            </w:r>
          </w:p>
        </w:tc>
        <w:tc>
          <w:tcPr>
            <w:tcW w:w="80" w:type="dxa"/>
            <w:vAlign w:val="bottom"/>
          </w:tcPr>
          <w:p>
            <w:pPr>
              <w:spacing w:after="0"/>
              <w:rPr>
                <w:sz w:val="8"/>
                <w:szCs w:val="8"/>
                <w:color w:val="auto"/>
              </w:rPr>
            </w:pPr>
          </w:p>
        </w:tc>
        <w:tc>
          <w:tcPr>
            <w:tcW w:w="32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b w:val="1"/>
                <w:bCs w:val="1"/>
                <w:color w:val="auto"/>
              </w:rPr>
              <w:t>(87,619</w:t>
            </w:r>
          </w:p>
        </w:tc>
        <w:tc>
          <w:tcPr>
            <w:tcW w:w="60" w:type="dxa"/>
            <w:vAlign w:val="bottom"/>
          </w:tcPr>
          <w:p>
            <w:pPr>
              <w:jc w:val="right"/>
              <w:ind w:right="34"/>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20" w:type="dxa"/>
            <w:vAlign w:val="bottom"/>
          </w:tcPr>
          <w:p>
            <w:pPr>
              <w:spacing w:after="0"/>
              <w:rPr>
                <w:sz w:val="8"/>
                <w:szCs w:val="8"/>
                <w:color w:val="auto"/>
              </w:rPr>
            </w:pPr>
          </w:p>
        </w:tc>
        <w:tc>
          <w:tcPr>
            <w:tcW w:w="54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b w:val="1"/>
                <w:bCs w:val="1"/>
                <w:color w:val="auto"/>
              </w:rPr>
              <w:t>(87,031)</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b w:val="1"/>
                <w:bCs w:val="1"/>
                <w:color w:val="auto"/>
              </w:rPr>
              <w:t>(80,963)</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b w:val="1"/>
                <w:bCs w:val="1"/>
                <w:color w:val="auto"/>
              </w:rPr>
              <w:t>25,755</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b w:val="1"/>
                <w:bCs w:val="1"/>
                <w:color w:val="auto"/>
              </w:rPr>
              <w:t>137,817</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b w:val="1"/>
                <w:bCs w:val="1"/>
                <w:color w:val="auto"/>
              </w:rPr>
              <w:t>(92,041)</w:t>
            </w:r>
          </w:p>
        </w:tc>
        <w:tc>
          <w:tcPr>
            <w:tcW w:w="80" w:type="dxa"/>
            <w:vAlign w:val="bottom"/>
          </w:tcPr>
          <w:p>
            <w:pPr>
              <w:spacing w:after="0"/>
              <w:rPr>
                <w:sz w:val="8"/>
                <w:szCs w:val="8"/>
                <w:color w:val="auto"/>
              </w:rPr>
            </w:pPr>
          </w:p>
        </w:tc>
        <w:tc>
          <w:tcPr>
            <w:tcW w:w="36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b w:val="1"/>
                <w:bCs w:val="1"/>
                <w:color w:val="auto"/>
              </w:rPr>
              <w:t>(313,959</w:t>
            </w:r>
          </w:p>
        </w:tc>
        <w:tc>
          <w:tcPr>
            <w:tcW w:w="60" w:type="dxa"/>
            <w:vAlign w:val="bottom"/>
          </w:tcPr>
          <w:p>
            <w:pPr>
              <w:jc w:val="right"/>
              <w:ind w:right="34"/>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20" w:type="dxa"/>
            <w:vAlign w:val="bottom"/>
          </w:tcPr>
          <w:p>
            <w:pPr>
              <w:spacing w:after="0"/>
              <w:rPr>
                <w:sz w:val="8"/>
                <w:szCs w:val="8"/>
                <w:color w:val="auto"/>
              </w:rPr>
            </w:pPr>
          </w:p>
        </w:tc>
        <w:tc>
          <w:tcPr>
            <w:tcW w:w="54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b w:val="1"/>
                <w:bCs w:val="1"/>
                <w:color w:val="auto"/>
              </w:rPr>
              <w:t>(308,475)</w:t>
            </w:r>
          </w:p>
        </w:tc>
        <w:tc>
          <w:tcPr>
            <w:tcW w:w="80" w:type="dxa"/>
            <w:vAlign w:val="bottom"/>
          </w:tcPr>
          <w:p>
            <w:pPr>
              <w:spacing w:after="0"/>
              <w:rPr>
                <w:sz w:val="8"/>
                <w:szCs w:val="8"/>
                <w:color w:val="auto"/>
              </w:rPr>
            </w:pPr>
          </w:p>
        </w:tc>
        <w:tc>
          <w:tcPr>
            <w:tcW w:w="36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b w:val="1"/>
                <w:bCs w:val="1"/>
                <w:color w:val="auto"/>
              </w:rPr>
              <w:t>(306,942</w:t>
            </w:r>
          </w:p>
        </w:tc>
        <w:tc>
          <w:tcPr>
            <w:tcW w:w="60" w:type="dxa"/>
            <w:vAlign w:val="bottom"/>
          </w:tcPr>
          <w:p>
            <w:pPr>
              <w:jc w:val="right"/>
              <w:ind w:right="34"/>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20" w:type="dxa"/>
            <w:vAlign w:val="bottom"/>
          </w:tcPr>
          <w:p>
            <w:pPr>
              <w:spacing w:after="0"/>
              <w:rPr>
                <w:sz w:val="8"/>
                <w:szCs w:val="8"/>
                <w:color w:val="auto"/>
              </w:rPr>
            </w:pPr>
          </w:p>
        </w:tc>
        <w:tc>
          <w:tcPr>
            <w:tcW w:w="54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b w:val="1"/>
                <w:bCs w:val="1"/>
                <w:color w:val="auto"/>
              </w:rPr>
              <w:t>(8,534)</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700" w:type="dxa"/>
            <w:vAlign w:val="bottom"/>
            <w:shd w:val="clear" w:color="auto" w:fill="CCEEFF"/>
          </w:tcPr>
          <w:p>
            <w:pPr>
              <w:spacing w:after="0" w:line="84" w:lineRule="exact"/>
              <w:rPr>
                <w:sz w:val="20"/>
                <w:szCs w:val="20"/>
                <w:color w:val="auto"/>
              </w:rPr>
            </w:pPr>
            <w:r>
              <w:rPr>
                <w:rFonts w:ascii="Times New Roman" w:cs="Times New Roman" w:eastAsia="Times New Roman" w:hAnsi="Times New Roman"/>
                <w:sz w:val="9"/>
                <w:szCs w:val="9"/>
                <w:color w:val="auto"/>
              </w:rPr>
              <w:t>Net income (loss)</w:t>
            </w: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700" w:type="dxa"/>
            <w:vAlign w:val="bottom"/>
            <w:shd w:val="clear" w:color="auto" w:fill="CCEEFF"/>
          </w:tcPr>
          <w:p>
            <w:pPr>
              <w:ind w:left="80"/>
              <w:spacing w:after="0" w:line="98" w:lineRule="exact"/>
              <w:rPr>
                <w:sz w:val="20"/>
                <w:szCs w:val="20"/>
                <w:color w:val="auto"/>
              </w:rPr>
            </w:pPr>
            <w:r>
              <w:rPr>
                <w:rFonts w:ascii="Times New Roman" w:cs="Times New Roman" w:eastAsia="Times New Roman" w:hAnsi="Times New Roman"/>
                <w:sz w:val="9"/>
                <w:szCs w:val="9"/>
                <w:color w:val="auto"/>
              </w:rPr>
              <w:t>attributable to</w:t>
            </w: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700" w:type="dxa"/>
            <w:vAlign w:val="bottom"/>
            <w:shd w:val="clear" w:color="auto" w:fill="CCEEFF"/>
          </w:tcPr>
          <w:p>
            <w:pPr>
              <w:ind w:left="80"/>
              <w:spacing w:after="0" w:line="98" w:lineRule="exact"/>
              <w:rPr>
                <w:sz w:val="20"/>
                <w:szCs w:val="20"/>
                <w:color w:val="auto"/>
              </w:rPr>
            </w:pPr>
            <w:r>
              <w:rPr>
                <w:rFonts w:ascii="Times New Roman" w:cs="Times New Roman" w:eastAsia="Times New Roman" w:hAnsi="Times New Roman"/>
                <w:sz w:val="9"/>
                <w:szCs w:val="9"/>
                <w:color w:val="auto"/>
              </w:rPr>
              <w:t>non-controlling</w:t>
            </w: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interest</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9"/>
                <w:szCs w:val="9"/>
                <w:color w:val="auto"/>
              </w:rPr>
              <w:t>(551)</w:t>
            </w:r>
          </w:p>
        </w:tc>
        <w:tc>
          <w:tcPr>
            <w:tcW w:w="20" w:type="dxa"/>
            <w:vAlign w:val="bottom"/>
            <w:shd w:val="clear" w:color="auto" w:fill="CCEEFF"/>
          </w:tcPr>
          <w:p>
            <w:pPr>
              <w:spacing w:after="0"/>
              <w:rPr>
                <w:sz w:val="9"/>
                <w:szCs w:val="9"/>
                <w:color w:val="auto"/>
              </w:rPr>
            </w:pP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(551)</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93</w:t>
            </w:r>
          </w:p>
        </w:tc>
        <w:tc>
          <w:tcPr>
            <w:tcW w:w="2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4,326</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4,422</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170</w:t>
            </w: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135</w:t>
            </w:r>
          </w:p>
        </w:tc>
        <w:tc>
          <w:tcPr>
            <w:tcW w:w="60" w:type="dxa"/>
            <w:vAlign w:val="bottom"/>
            <w:shd w:val="clear" w:color="auto" w:fill="CCEEFF"/>
          </w:tcPr>
          <w:p>
            <w:pPr>
              <w:spacing w:after="0"/>
              <w:rPr>
                <w:sz w:val="9"/>
                <w:szCs w:val="9"/>
                <w:color w:val="auto"/>
              </w:rPr>
            </w:pP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9"/>
                <w:szCs w:val="9"/>
                <w:color w:val="auto"/>
              </w:rPr>
              <w:t>(368)</w:t>
            </w: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700" w:type="dxa"/>
            <w:vAlign w:val="bottom"/>
          </w:tcPr>
          <w:p>
            <w:pPr>
              <w:spacing w:after="0" w:line="82" w:lineRule="exact"/>
              <w:rPr>
                <w:sz w:val="20"/>
                <w:szCs w:val="20"/>
                <w:color w:val="auto"/>
              </w:rPr>
            </w:pPr>
            <w:r>
              <w:rPr>
                <w:rFonts w:ascii="Times New Roman" w:cs="Times New Roman" w:eastAsia="Times New Roman" w:hAnsi="Times New Roman"/>
                <w:sz w:val="9"/>
                <w:szCs w:val="9"/>
                <w:b w:val="1"/>
                <w:bCs w:val="1"/>
                <w:color w:val="auto"/>
              </w:rPr>
              <w:t>Net loss</w:t>
            </w:r>
          </w:p>
        </w:tc>
        <w:tc>
          <w:tcPr>
            <w:tcW w:w="3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700" w:type="dxa"/>
            <w:vAlign w:val="bottom"/>
          </w:tcPr>
          <w:p>
            <w:pPr>
              <w:ind w:left="80"/>
              <w:spacing w:after="0" w:line="98" w:lineRule="exact"/>
              <w:rPr>
                <w:sz w:val="20"/>
                <w:szCs w:val="20"/>
                <w:color w:val="auto"/>
              </w:rPr>
            </w:pPr>
            <w:r>
              <w:rPr>
                <w:rFonts w:ascii="Times New Roman" w:cs="Times New Roman" w:eastAsia="Times New Roman" w:hAnsi="Times New Roman"/>
                <w:sz w:val="9"/>
                <w:szCs w:val="9"/>
                <w:b w:val="1"/>
                <w:bCs w:val="1"/>
                <w:color w:val="auto"/>
              </w:rPr>
              <w:t>attributable to</w:t>
            </w: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700" w:type="dxa"/>
            <w:vAlign w:val="bottom"/>
          </w:tcPr>
          <w:p>
            <w:pPr>
              <w:ind w:left="80"/>
              <w:spacing w:after="0" w:line="98" w:lineRule="exact"/>
              <w:rPr>
                <w:sz w:val="20"/>
                <w:szCs w:val="20"/>
                <w:color w:val="auto"/>
              </w:rPr>
            </w:pPr>
            <w:r>
              <w:rPr>
                <w:rFonts w:ascii="Times New Roman" w:cs="Times New Roman" w:eastAsia="Times New Roman" w:hAnsi="Times New Roman"/>
                <w:sz w:val="9"/>
                <w:szCs w:val="9"/>
                <w:b w:val="1"/>
                <w:bCs w:val="1"/>
                <w:color w:val="auto"/>
              </w:rPr>
              <w:t>EHang</w:t>
            </w: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700" w:type="dxa"/>
            <w:vAlign w:val="bottom"/>
          </w:tcPr>
          <w:p>
            <w:pPr>
              <w:ind w:left="80"/>
              <w:spacing w:after="0" w:line="98" w:lineRule="exact"/>
              <w:rPr>
                <w:sz w:val="20"/>
                <w:szCs w:val="20"/>
                <w:color w:val="auto"/>
              </w:rPr>
            </w:pPr>
            <w:r>
              <w:rPr>
                <w:rFonts w:ascii="Times New Roman" w:cs="Times New Roman" w:eastAsia="Times New Roman" w:hAnsi="Times New Roman"/>
                <w:sz w:val="9"/>
                <w:szCs w:val="9"/>
                <w:b w:val="1"/>
                <w:bCs w:val="1"/>
                <w:color w:val="auto"/>
              </w:rPr>
              <w:t>Holdings</w:t>
            </w: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700" w:type="dxa"/>
            <w:vAlign w:val="bottom"/>
          </w:tcPr>
          <w:p>
            <w:pPr>
              <w:ind w:left="80"/>
              <w:spacing w:after="0"/>
              <w:rPr>
                <w:sz w:val="20"/>
                <w:szCs w:val="20"/>
                <w:color w:val="auto"/>
              </w:rPr>
            </w:pPr>
            <w:r>
              <w:rPr>
                <w:rFonts w:ascii="Times New Roman" w:cs="Times New Roman" w:eastAsia="Times New Roman" w:hAnsi="Times New Roman"/>
                <w:sz w:val="9"/>
                <w:szCs w:val="9"/>
                <w:b w:val="1"/>
                <w:bCs w:val="1"/>
                <w:color w:val="auto"/>
              </w:rPr>
              <w:t>Limited</w:t>
            </w:r>
          </w:p>
        </w:tc>
        <w:tc>
          <w:tcPr>
            <w:tcW w:w="360" w:type="dxa"/>
            <w:vAlign w:val="bottom"/>
            <w:gridSpan w:val="2"/>
          </w:tcPr>
          <w:p>
            <w:pPr>
              <w:jc w:val="right"/>
              <w:ind w:right="34"/>
              <w:spacing w:after="0"/>
              <w:rPr>
                <w:sz w:val="20"/>
                <w:szCs w:val="20"/>
                <w:color w:val="auto"/>
              </w:rPr>
            </w:pPr>
            <w:r>
              <w:rPr>
                <w:rFonts w:ascii="Times New Roman" w:cs="Times New Roman" w:eastAsia="Times New Roman" w:hAnsi="Times New Roman"/>
                <w:sz w:val="9"/>
                <w:szCs w:val="9"/>
                <w:b w:val="1"/>
                <w:bCs w:val="1"/>
                <w:color w:val="auto"/>
                <w:w w:val="97"/>
              </w:rPr>
              <w:t>(48,545)</w:t>
            </w: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9"/>
                <w:szCs w:val="9"/>
                <w:b w:val="1"/>
                <w:bCs w:val="1"/>
                <w:color w:val="auto"/>
              </w:rPr>
              <w:t>(47,151)</w:t>
            </w:r>
          </w:p>
        </w:tc>
        <w:tc>
          <w:tcPr>
            <w:tcW w:w="400" w:type="dxa"/>
            <w:vAlign w:val="bottom"/>
            <w:gridSpan w:val="3"/>
          </w:tcPr>
          <w:p>
            <w:pPr>
              <w:jc w:val="right"/>
              <w:ind w:right="34"/>
              <w:spacing w:after="0"/>
              <w:rPr>
                <w:sz w:val="20"/>
                <w:szCs w:val="20"/>
                <w:color w:val="auto"/>
              </w:rPr>
            </w:pPr>
            <w:r>
              <w:rPr>
                <w:rFonts w:ascii="Times New Roman" w:cs="Times New Roman" w:eastAsia="Times New Roman" w:hAnsi="Times New Roman"/>
                <w:sz w:val="9"/>
                <w:szCs w:val="9"/>
                <w:b w:val="1"/>
                <w:bCs w:val="1"/>
                <w:color w:val="auto"/>
              </w:rPr>
              <w:t>(43,603)</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1,660</w:t>
            </w:r>
          </w:p>
        </w:tc>
        <w:tc>
          <w:tcPr>
            <w:tcW w:w="60" w:type="dxa"/>
            <w:vAlign w:val="bottom"/>
          </w:tcPr>
          <w:p>
            <w:pPr>
              <w:spacing w:after="0"/>
              <w:rPr>
                <w:sz w:val="9"/>
                <w:szCs w:val="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89,094</w:t>
            </w:r>
          </w:p>
        </w:tc>
        <w:tc>
          <w:tcPr>
            <w:tcW w:w="60" w:type="dxa"/>
            <w:vAlign w:val="bottom"/>
          </w:tcPr>
          <w:p>
            <w:pPr>
              <w:spacing w:after="0"/>
              <w:rPr>
                <w:sz w:val="9"/>
                <w:szCs w:val="9"/>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(48,545)</w:t>
            </w:r>
          </w:p>
        </w:tc>
        <w:tc>
          <w:tcPr>
            <w:tcW w:w="380" w:type="dxa"/>
            <w:vAlign w:val="bottom"/>
            <w:gridSpan w:val="2"/>
          </w:tcPr>
          <w:p>
            <w:pPr>
              <w:jc w:val="right"/>
              <w:ind w:right="34"/>
              <w:spacing w:after="0"/>
              <w:rPr>
                <w:sz w:val="20"/>
                <w:szCs w:val="20"/>
                <w:color w:val="auto"/>
              </w:rPr>
            </w:pPr>
            <w:r>
              <w:rPr>
                <w:rFonts w:ascii="Times New Roman" w:cs="Times New Roman" w:eastAsia="Times New Roman" w:hAnsi="Times New Roman"/>
                <w:sz w:val="9"/>
                <w:szCs w:val="9"/>
                <w:b w:val="1"/>
                <w:bCs w:val="1"/>
                <w:color w:val="auto"/>
              </w:rPr>
              <w:t>(87,619)</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9"/>
                <w:szCs w:val="9"/>
                <w:b w:val="1"/>
                <w:bCs w:val="1"/>
                <w:color w:val="auto"/>
              </w:rPr>
              <w:t>(86,938)</w:t>
            </w: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9"/>
                <w:szCs w:val="9"/>
                <w:b w:val="1"/>
                <w:bCs w:val="1"/>
                <w:color w:val="auto"/>
              </w:rPr>
              <w:t>(80,960)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30,081</w:t>
            </w:r>
          </w:p>
        </w:tc>
        <w:tc>
          <w:tcPr>
            <w:tcW w:w="40" w:type="dxa"/>
            <w:vAlign w:val="bottom"/>
          </w:tcPr>
          <w:p>
            <w:pPr>
              <w:spacing w:after="0"/>
              <w:rPr>
                <w:sz w:val="9"/>
                <w:szCs w:val="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137,817</w:t>
            </w:r>
          </w:p>
        </w:tc>
        <w:tc>
          <w:tcPr>
            <w:tcW w:w="60" w:type="dxa"/>
            <w:vAlign w:val="bottom"/>
          </w:tcPr>
          <w:p>
            <w:pPr>
              <w:spacing w:after="0"/>
              <w:rPr>
                <w:sz w:val="9"/>
                <w:szCs w:val="9"/>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(87,619)</w:t>
            </w:r>
          </w:p>
        </w:tc>
        <w:tc>
          <w:tcPr>
            <w:tcW w:w="420" w:type="dxa"/>
            <w:vAlign w:val="bottom"/>
            <w:gridSpan w:val="2"/>
          </w:tcPr>
          <w:p>
            <w:pPr>
              <w:jc w:val="right"/>
              <w:ind w:right="34"/>
              <w:spacing w:after="0"/>
              <w:rPr>
                <w:sz w:val="20"/>
                <w:szCs w:val="20"/>
                <w:color w:val="auto"/>
              </w:rPr>
            </w:pPr>
            <w:r>
              <w:rPr>
                <w:rFonts w:ascii="Times New Roman" w:cs="Times New Roman" w:eastAsia="Times New Roman" w:hAnsi="Times New Roman"/>
                <w:sz w:val="9"/>
                <w:szCs w:val="9"/>
                <w:b w:val="1"/>
                <w:bCs w:val="1"/>
                <w:color w:val="auto"/>
              </w:rPr>
              <w:t>(313,959)</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(308,305)</w:t>
            </w:r>
          </w:p>
        </w:tc>
        <w:tc>
          <w:tcPr>
            <w:tcW w:w="420" w:type="dxa"/>
            <w:vAlign w:val="bottom"/>
            <w:gridSpan w:val="2"/>
          </w:tcPr>
          <w:p>
            <w:pPr>
              <w:jc w:val="right"/>
              <w:ind w:right="34"/>
              <w:spacing w:after="0"/>
              <w:rPr>
                <w:sz w:val="20"/>
                <w:szCs w:val="20"/>
                <w:color w:val="auto"/>
              </w:rPr>
            </w:pPr>
            <w:r>
              <w:rPr>
                <w:rFonts w:ascii="Times New Roman" w:cs="Times New Roman" w:eastAsia="Times New Roman" w:hAnsi="Times New Roman"/>
                <w:sz w:val="9"/>
                <w:szCs w:val="9"/>
                <w:b w:val="1"/>
                <w:bCs w:val="1"/>
                <w:color w:val="auto"/>
              </w:rPr>
              <w:t>(306,807)</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b w:val="1"/>
                <w:bCs w:val="1"/>
                <w:color w:val="auto"/>
              </w:rPr>
              <w:t>(8,902)</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700" w:type="dxa"/>
            <w:vAlign w:val="bottom"/>
            <w:shd w:val="clear" w:color="auto" w:fill="CCEEFF"/>
          </w:tcPr>
          <w:p>
            <w:pPr>
              <w:spacing w:after="0" w:line="84" w:lineRule="exact"/>
              <w:rPr>
                <w:sz w:val="20"/>
                <w:szCs w:val="20"/>
                <w:color w:val="auto"/>
              </w:rPr>
            </w:pPr>
            <w:r>
              <w:rPr>
                <w:rFonts w:ascii="Times New Roman" w:cs="Times New Roman" w:eastAsia="Times New Roman" w:hAnsi="Times New Roman"/>
                <w:sz w:val="9"/>
                <w:szCs w:val="9"/>
                <w:color w:val="auto"/>
              </w:rPr>
              <w:t>Modification of</w:t>
            </w:r>
          </w:p>
        </w:tc>
        <w:tc>
          <w:tcPr>
            <w:tcW w:w="30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700" w:type="dxa"/>
            <w:vAlign w:val="bottom"/>
            <w:shd w:val="clear" w:color="auto" w:fill="CCEEFF"/>
          </w:tcPr>
          <w:p>
            <w:pPr>
              <w:ind w:left="80"/>
              <w:spacing w:after="0" w:line="98" w:lineRule="exact"/>
              <w:rPr>
                <w:sz w:val="20"/>
                <w:szCs w:val="20"/>
                <w:color w:val="auto"/>
              </w:rPr>
            </w:pPr>
            <w:r>
              <w:rPr>
                <w:rFonts w:ascii="Times New Roman" w:cs="Times New Roman" w:eastAsia="Times New Roman" w:hAnsi="Times New Roman"/>
                <w:sz w:val="9"/>
                <w:szCs w:val="9"/>
                <w:color w:val="auto"/>
              </w:rPr>
              <w:t>redeemable</w:t>
            </w: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700" w:type="dxa"/>
            <w:vAlign w:val="bottom"/>
            <w:shd w:val="clear" w:color="auto" w:fill="CCEEFF"/>
          </w:tcPr>
          <w:p>
            <w:pPr>
              <w:ind w:left="80"/>
              <w:spacing w:after="0" w:line="98" w:lineRule="exact"/>
              <w:rPr>
                <w:sz w:val="20"/>
                <w:szCs w:val="20"/>
                <w:color w:val="auto"/>
              </w:rPr>
            </w:pPr>
            <w:r>
              <w:rPr>
                <w:rFonts w:ascii="Times New Roman" w:cs="Times New Roman" w:eastAsia="Times New Roman" w:hAnsi="Times New Roman"/>
                <w:sz w:val="9"/>
                <w:szCs w:val="9"/>
                <w:color w:val="auto"/>
              </w:rPr>
              <w:t>convertible</w:t>
            </w: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700" w:type="dxa"/>
            <w:vAlign w:val="bottom"/>
            <w:shd w:val="clear" w:color="auto" w:fill="CCEEFF"/>
          </w:tcPr>
          <w:p>
            <w:pPr>
              <w:ind w:left="80"/>
              <w:spacing w:after="0" w:line="98" w:lineRule="exact"/>
              <w:rPr>
                <w:sz w:val="20"/>
                <w:szCs w:val="20"/>
                <w:color w:val="auto"/>
              </w:rPr>
            </w:pPr>
            <w:r>
              <w:rPr>
                <w:rFonts w:ascii="Times New Roman" w:cs="Times New Roman" w:eastAsia="Times New Roman" w:hAnsi="Times New Roman"/>
                <w:sz w:val="9"/>
                <w:szCs w:val="9"/>
                <w:color w:val="auto"/>
              </w:rPr>
              <w:t>preferred</w:t>
            </w: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700" w:type="dxa"/>
            <w:vAlign w:val="bottom"/>
            <w:shd w:val="clear" w:color="auto" w:fill="CCEEFF"/>
          </w:tcPr>
          <w:p>
            <w:pPr>
              <w:ind w:left="80"/>
              <w:spacing w:after="0" w:line="98" w:lineRule="exact"/>
              <w:rPr>
                <w:sz w:val="20"/>
                <w:szCs w:val="20"/>
                <w:color w:val="auto"/>
              </w:rPr>
            </w:pPr>
            <w:r>
              <w:rPr>
                <w:rFonts w:ascii="Times New Roman" w:cs="Times New Roman" w:eastAsia="Times New Roman" w:hAnsi="Times New Roman"/>
                <w:sz w:val="9"/>
                <w:szCs w:val="9"/>
                <w:color w:val="auto"/>
              </w:rPr>
              <w:t>shares and</w:t>
            </w: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700" w:type="dxa"/>
            <w:vAlign w:val="bottom"/>
            <w:shd w:val="clear" w:color="auto" w:fill="CCEEFF"/>
          </w:tcPr>
          <w:p>
            <w:pPr>
              <w:ind w:left="80"/>
              <w:spacing w:after="0" w:line="98" w:lineRule="exact"/>
              <w:rPr>
                <w:sz w:val="20"/>
                <w:szCs w:val="20"/>
                <w:color w:val="auto"/>
              </w:rPr>
            </w:pPr>
            <w:r>
              <w:rPr>
                <w:rFonts w:ascii="Times New Roman" w:cs="Times New Roman" w:eastAsia="Times New Roman" w:hAnsi="Times New Roman"/>
                <w:sz w:val="9"/>
                <w:szCs w:val="9"/>
                <w:color w:val="auto"/>
              </w:rPr>
              <w:t>accretion to</w:t>
            </w: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700" w:type="dxa"/>
            <w:vAlign w:val="bottom"/>
            <w:shd w:val="clear" w:color="auto" w:fill="CCEEFF"/>
          </w:tcPr>
          <w:p>
            <w:pPr>
              <w:ind w:left="80"/>
              <w:spacing w:after="0" w:line="98" w:lineRule="exact"/>
              <w:rPr>
                <w:sz w:val="20"/>
                <w:szCs w:val="20"/>
                <w:color w:val="auto"/>
              </w:rPr>
            </w:pPr>
            <w:r>
              <w:rPr>
                <w:rFonts w:ascii="Times New Roman" w:cs="Times New Roman" w:eastAsia="Times New Roman" w:hAnsi="Times New Roman"/>
                <w:sz w:val="9"/>
                <w:szCs w:val="9"/>
                <w:color w:val="auto"/>
              </w:rPr>
              <w:t>redemption</w:t>
            </w: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700" w:type="dxa"/>
            <w:vAlign w:val="bottom"/>
            <w:shd w:val="clear" w:color="auto" w:fill="CCEEFF"/>
          </w:tcPr>
          <w:p>
            <w:pPr>
              <w:ind w:left="80"/>
              <w:spacing w:after="0" w:line="98" w:lineRule="exact"/>
              <w:rPr>
                <w:sz w:val="20"/>
                <w:szCs w:val="20"/>
                <w:color w:val="auto"/>
              </w:rPr>
            </w:pPr>
            <w:r>
              <w:rPr>
                <w:rFonts w:ascii="Times New Roman" w:cs="Times New Roman" w:eastAsia="Times New Roman" w:hAnsi="Times New Roman"/>
                <w:sz w:val="9"/>
                <w:szCs w:val="9"/>
                <w:color w:val="auto"/>
              </w:rPr>
              <w:t>value of</w:t>
            </w: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700" w:type="dxa"/>
            <w:vAlign w:val="bottom"/>
            <w:shd w:val="clear" w:color="auto" w:fill="CCEEFF"/>
          </w:tcPr>
          <w:p>
            <w:pPr>
              <w:ind w:left="80"/>
              <w:spacing w:after="0" w:line="98" w:lineRule="exact"/>
              <w:rPr>
                <w:sz w:val="20"/>
                <w:szCs w:val="20"/>
                <w:color w:val="auto"/>
              </w:rPr>
            </w:pPr>
            <w:r>
              <w:rPr>
                <w:rFonts w:ascii="Times New Roman" w:cs="Times New Roman" w:eastAsia="Times New Roman" w:hAnsi="Times New Roman"/>
                <w:sz w:val="9"/>
                <w:szCs w:val="9"/>
                <w:color w:val="auto"/>
              </w:rPr>
              <w:t>redeemable</w:t>
            </w: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700" w:type="dxa"/>
            <w:vAlign w:val="bottom"/>
            <w:shd w:val="clear" w:color="auto" w:fill="CCEEFF"/>
          </w:tcPr>
          <w:p>
            <w:pPr>
              <w:ind w:left="80"/>
              <w:spacing w:after="0" w:line="98" w:lineRule="exact"/>
              <w:rPr>
                <w:sz w:val="20"/>
                <w:szCs w:val="20"/>
                <w:color w:val="auto"/>
              </w:rPr>
            </w:pPr>
            <w:r>
              <w:rPr>
                <w:rFonts w:ascii="Times New Roman" w:cs="Times New Roman" w:eastAsia="Times New Roman" w:hAnsi="Times New Roman"/>
                <w:sz w:val="9"/>
                <w:szCs w:val="9"/>
                <w:color w:val="auto"/>
              </w:rPr>
              <w:t>and convertible</w:t>
            </w: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700" w:type="dxa"/>
            <w:vAlign w:val="bottom"/>
            <w:shd w:val="clear" w:color="auto" w:fill="CCEEFF"/>
          </w:tcPr>
          <w:p>
            <w:pPr>
              <w:ind w:left="80"/>
              <w:spacing w:after="0" w:line="98" w:lineRule="exact"/>
              <w:rPr>
                <w:sz w:val="20"/>
                <w:szCs w:val="20"/>
                <w:color w:val="auto"/>
              </w:rPr>
            </w:pPr>
            <w:r>
              <w:rPr>
                <w:rFonts w:ascii="Times New Roman" w:cs="Times New Roman" w:eastAsia="Times New Roman" w:hAnsi="Times New Roman"/>
                <w:sz w:val="9"/>
                <w:szCs w:val="9"/>
                <w:color w:val="auto"/>
              </w:rPr>
              <w:t>preferred</w:t>
            </w: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shares</w:t>
            </w:r>
          </w:p>
        </w:tc>
        <w:tc>
          <w:tcPr>
            <w:tcW w:w="36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color w:val="auto"/>
                <w:w w:val="97"/>
              </w:rPr>
              <w:t>(27,248)</w:t>
            </w:r>
          </w:p>
        </w:tc>
        <w:tc>
          <w:tcPr>
            <w:tcW w:w="2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CEEFF"/>
          </w:tcPr>
          <w:p>
            <w:pPr>
              <w:spacing w:after="0"/>
              <w:rPr>
                <w:sz w:val="9"/>
                <w:szCs w:val="9"/>
                <w:color w:val="auto"/>
              </w:rPr>
            </w:pP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(27,248)</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CEEFF"/>
          </w:tcPr>
          <w:p>
            <w:pPr>
              <w:spacing w:after="0"/>
              <w:rPr>
                <w:sz w:val="9"/>
                <w:szCs w:val="9"/>
                <w:color w:val="auto"/>
              </w:rPr>
            </w:pP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700" w:type="dxa"/>
            <w:vAlign w:val="bottom"/>
          </w:tcPr>
          <w:p>
            <w:pPr>
              <w:spacing w:after="0" w:line="82" w:lineRule="exact"/>
              <w:rPr>
                <w:sz w:val="20"/>
                <w:szCs w:val="20"/>
                <w:color w:val="auto"/>
              </w:rPr>
            </w:pPr>
            <w:r>
              <w:rPr>
                <w:rFonts w:ascii="Times New Roman" w:cs="Times New Roman" w:eastAsia="Times New Roman" w:hAnsi="Times New Roman"/>
                <w:sz w:val="9"/>
                <w:szCs w:val="9"/>
                <w:b w:val="1"/>
                <w:bCs w:val="1"/>
                <w:color w:val="auto"/>
              </w:rPr>
              <w:t>Net loss</w:t>
            </w:r>
          </w:p>
        </w:tc>
        <w:tc>
          <w:tcPr>
            <w:tcW w:w="3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700" w:type="dxa"/>
            <w:vAlign w:val="bottom"/>
          </w:tcPr>
          <w:p>
            <w:pPr>
              <w:ind w:left="80"/>
              <w:spacing w:after="0" w:line="98" w:lineRule="exact"/>
              <w:rPr>
                <w:sz w:val="20"/>
                <w:szCs w:val="20"/>
                <w:color w:val="auto"/>
              </w:rPr>
            </w:pPr>
            <w:r>
              <w:rPr>
                <w:rFonts w:ascii="Times New Roman" w:cs="Times New Roman" w:eastAsia="Times New Roman" w:hAnsi="Times New Roman"/>
                <w:sz w:val="9"/>
                <w:szCs w:val="9"/>
                <w:b w:val="1"/>
                <w:bCs w:val="1"/>
                <w:color w:val="auto"/>
              </w:rPr>
              <w:t>attributable to</w:t>
            </w: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700" w:type="dxa"/>
            <w:vAlign w:val="bottom"/>
          </w:tcPr>
          <w:p>
            <w:pPr>
              <w:ind w:left="80"/>
              <w:spacing w:after="0" w:line="98" w:lineRule="exact"/>
              <w:rPr>
                <w:sz w:val="20"/>
                <w:szCs w:val="20"/>
                <w:color w:val="auto"/>
              </w:rPr>
            </w:pPr>
            <w:r>
              <w:rPr>
                <w:rFonts w:ascii="Times New Roman" w:cs="Times New Roman" w:eastAsia="Times New Roman" w:hAnsi="Times New Roman"/>
                <w:sz w:val="9"/>
                <w:szCs w:val="9"/>
                <w:b w:val="1"/>
                <w:bCs w:val="1"/>
                <w:color w:val="auto"/>
              </w:rPr>
              <w:t>ordinary</w:t>
            </w: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700" w:type="dxa"/>
            <w:vAlign w:val="bottom"/>
          </w:tcPr>
          <w:p>
            <w:pPr>
              <w:ind w:left="80"/>
              <w:spacing w:after="0"/>
              <w:rPr>
                <w:sz w:val="20"/>
                <w:szCs w:val="20"/>
                <w:color w:val="auto"/>
              </w:rPr>
            </w:pPr>
            <w:r>
              <w:rPr>
                <w:rFonts w:ascii="Times New Roman" w:cs="Times New Roman" w:eastAsia="Times New Roman" w:hAnsi="Times New Roman"/>
                <w:sz w:val="9"/>
                <w:szCs w:val="9"/>
                <w:b w:val="1"/>
                <w:bCs w:val="1"/>
                <w:color w:val="auto"/>
              </w:rPr>
              <w:t>shareholders</w:t>
            </w:r>
          </w:p>
        </w:tc>
        <w:tc>
          <w:tcPr>
            <w:tcW w:w="360" w:type="dxa"/>
            <w:vAlign w:val="bottom"/>
            <w:gridSpan w:val="2"/>
          </w:tcPr>
          <w:p>
            <w:pPr>
              <w:jc w:val="right"/>
              <w:ind w:right="34"/>
              <w:spacing w:after="0"/>
              <w:rPr>
                <w:sz w:val="20"/>
                <w:szCs w:val="20"/>
                <w:color w:val="auto"/>
              </w:rPr>
            </w:pPr>
            <w:r>
              <w:rPr>
                <w:rFonts w:ascii="Times New Roman" w:cs="Times New Roman" w:eastAsia="Times New Roman" w:hAnsi="Times New Roman"/>
                <w:sz w:val="9"/>
                <w:szCs w:val="9"/>
                <w:b w:val="1"/>
                <w:bCs w:val="1"/>
                <w:color w:val="auto"/>
                <w:w w:val="97"/>
              </w:rPr>
              <w:t>(75,793)</w:t>
            </w: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9"/>
                <w:szCs w:val="9"/>
                <w:b w:val="1"/>
                <w:bCs w:val="1"/>
                <w:color w:val="auto"/>
              </w:rPr>
              <w:t>(47,151)</w:t>
            </w:r>
          </w:p>
        </w:tc>
        <w:tc>
          <w:tcPr>
            <w:tcW w:w="400" w:type="dxa"/>
            <w:vAlign w:val="bottom"/>
            <w:gridSpan w:val="3"/>
          </w:tcPr>
          <w:p>
            <w:pPr>
              <w:jc w:val="right"/>
              <w:ind w:right="34"/>
              <w:spacing w:after="0"/>
              <w:rPr>
                <w:sz w:val="20"/>
                <w:szCs w:val="20"/>
                <w:color w:val="auto"/>
              </w:rPr>
            </w:pPr>
            <w:r>
              <w:rPr>
                <w:rFonts w:ascii="Times New Roman" w:cs="Times New Roman" w:eastAsia="Times New Roman" w:hAnsi="Times New Roman"/>
                <w:sz w:val="9"/>
                <w:szCs w:val="9"/>
                <w:b w:val="1"/>
                <w:bCs w:val="1"/>
                <w:color w:val="auto"/>
              </w:rPr>
              <w:t>(43,603)</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1,660</w:t>
            </w:r>
          </w:p>
        </w:tc>
        <w:tc>
          <w:tcPr>
            <w:tcW w:w="60" w:type="dxa"/>
            <w:vAlign w:val="bottom"/>
          </w:tcPr>
          <w:p>
            <w:pPr>
              <w:spacing w:after="0"/>
              <w:rPr>
                <w:sz w:val="9"/>
                <w:szCs w:val="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89,094</w:t>
            </w:r>
          </w:p>
        </w:tc>
        <w:tc>
          <w:tcPr>
            <w:tcW w:w="60" w:type="dxa"/>
            <w:vAlign w:val="bottom"/>
          </w:tcPr>
          <w:p>
            <w:pPr>
              <w:spacing w:after="0"/>
              <w:rPr>
                <w:sz w:val="9"/>
                <w:szCs w:val="9"/>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(75,793)</w:t>
            </w:r>
          </w:p>
        </w:tc>
        <w:tc>
          <w:tcPr>
            <w:tcW w:w="380" w:type="dxa"/>
            <w:vAlign w:val="bottom"/>
            <w:gridSpan w:val="2"/>
          </w:tcPr>
          <w:p>
            <w:pPr>
              <w:jc w:val="right"/>
              <w:ind w:right="34"/>
              <w:spacing w:after="0"/>
              <w:rPr>
                <w:sz w:val="20"/>
                <w:szCs w:val="20"/>
                <w:color w:val="auto"/>
              </w:rPr>
            </w:pPr>
            <w:r>
              <w:rPr>
                <w:rFonts w:ascii="Times New Roman" w:cs="Times New Roman" w:eastAsia="Times New Roman" w:hAnsi="Times New Roman"/>
                <w:sz w:val="9"/>
                <w:szCs w:val="9"/>
                <w:b w:val="1"/>
                <w:bCs w:val="1"/>
                <w:color w:val="auto"/>
              </w:rPr>
              <w:t>(87,619)</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9"/>
                <w:szCs w:val="9"/>
                <w:b w:val="1"/>
                <w:bCs w:val="1"/>
                <w:color w:val="auto"/>
              </w:rPr>
              <w:t>(86,938)</w:t>
            </w: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9"/>
                <w:szCs w:val="9"/>
                <w:b w:val="1"/>
                <w:bCs w:val="1"/>
                <w:color w:val="auto"/>
              </w:rPr>
              <w:t>(80,960)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30,081</w:t>
            </w:r>
          </w:p>
        </w:tc>
        <w:tc>
          <w:tcPr>
            <w:tcW w:w="40" w:type="dxa"/>
            <w:vAlign w:val="bottom"/>
          </w:tcPr>
          <w:p>
            <w:pPr>
              <w:spacing w:after="0"/>
              <w:rPr>
                <w:sz w:val="9"/>
                <w:szCs w:val="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137,817</w:t>
            </w:r>
          </w:p>
        </w:tc>
        <w:tc>
          <w:tcPr>
            <w:tcW w:w="60" w:type="dxa"/>
            <w:vAlign w:val="bottom"/>
          </w:tcPr>
          <w:p>
            <w:pPr>
              <w:spacing w:after="0"/>
              <w:rPr>
                <w:sz w:val="9"/>
                <w:szCs w:val="9"/>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(87,619)</w:t>
            </w:r>
          </w:p>
        </w:tc>
        <w:tc>
          <w:tcPr>
            <w:tcW w:w="420" w:type="dxa"/>
            <w:vAlign w:val="bottom"/>
            <w:gridSpan w:val="2"/>
          </w:tcPr>
          <w:p>
            <w:pPr>
              <w:jc w:val="right"/>
              <w:ind w:right="34"/>
              <w:spacing w:after="0"/>
              <w:rPr>
                <w:sz w:val="20"/>
                <w:szCs w:val="20"/>
                <w:color w:val="auto"/>
              </w:rPr>
            </w:pPr>
            <w:r>
              <w:rPr>
                <w:rFonts w:ascii="Times New Roman" w:cs="Times New Roman" w:eastAsia="Times New Roman" w:hAnsi="Times New Roman"/>
                <w:sz w:val="9"/>
                <w:szCs w:val="9"/>
                <w:b w:val="1"/>
                <w:bCs w:val="1"/>
                <w:color w:val="auto"/>
              </w:rPr>
              <w:t>(313,959)</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(308,305)</w:t>
            </w:r>
          </w:p>
        </w:tc>
        <w:tc>
          <w:tcPr>
            <w:tcW w:w="420" w:type="dxa"/>
            <w:vAlign w:val="bottom"/>
            <w:gridSpan w:val="2"/>
          </w:tcPr>
          <w:p>
            <w:pPr>
              <w:jc w:val="right"/>
              <w:ind w:right="34"/>
              <w:spacing w:after="0"/>
              <w:rPr>
                <w:sz w:val="20"/>
                <w:szCs w:val="20"/>
                <w:color w:val="auto"/>
              </w:rPr>
            </w:pPr>
            <w:r>
              <w:rPr>
                <w:rFonts w:ascii="Times New Roman" w:cs="Times New Roman" w:eastAsia="Times New Roman" w:hAnsi="Times New Roman"/>
                <w:sz w:val="9"/>
                <w:szCs w:val="9"/>
                <w:b w:val="1"/>
                <w:bCs w:val="1"/>
                <w:color w:val="auto"/>
              </w:rPr>
              <w:t>(306,807)</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b w:val="1"/>
                <w:bCs w:val="1"/>
                <w:color w:val="auto"/>
              </w:rPr>
              <w:t>(8,902)</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7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11360"/>
          </w:cols>
          <w:pgMar w:left="300" w:top="388"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Selected Condensed Consolidated Balance Sheets Data</w:t>
      </w:r>
    </w:p>
    <w:p>
      <w:pPr>
        <w:spacing w:after="0" w:line="181" w:lineRule="exact"/>
        <w:rPr>
          <w:sz w:val="20"/>
          <w:szCs w:val="20"/>
          <w:color w:val="auto"/>
        </w:rPr>
      </w:pPr>
    </w:p>
    <w:tbl>
      <w:tblPr>
        <w:tblLayout w:type="fixed"/>
        <w:tblInd w:w="1680" w:type="dxa"/>
        <w:tblCellMar>
          <w:top w:w="0" w:type="dxa"/>
          <w:left w:w="0" w:type="dxa"/>
          <w:bottom w:w="0" w:type="dxa"/>
          <w:right w:w="0" w:type="dxa"/>
        </w:tblCellMar>
      </w:tblPr>
      <w:tr>
        <w:trPr>
          <w:trHeight w:val="124"/>
        </w:trPr>
        <w:tc>
          <w:tcPr>
            <w:tcW w:w="10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gridSpan w:val="8"/>
          </w:tcPr>
          <w:p>
            <w:pPr>
              <w:jc w:val="center"/>
              <w:ind w:right="188"/>
              <w:spacing w:after="0"/>
              <w:rPr>
                <w:sz w:val="20"/>
                <w:szCs w:val="20"/>
                <w:color w:val="auto"/>
              </w:rPr>
            </w:pPr>
            <w:r>
              <w:rPr>
                <w:rFonts w:ascii="Times New Roman" w:cs="Times New Roman" w:eastAsia="Times New Roman" w:hAnsi="Times New Roman"/>
                <w:sz w:val="10"/>
                <w:szCs w:val="10"/>
                <w:b w:val="1"/>
                <w:bCs w:val="1"/>
                <w:color w:val="auto"/>
              </w:rPr>
              <w:t>For the year ended December 31,</w:t>
            </w: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0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0" w:type="dxa"/>
            <w:vAlign w:val="bottom"/>
            <w:gridSpan w:val="2"/>
          </w:tcPr>
          <w:p>
            <w:pPr>
              <w:jc w:val="right"/>
              <w:ind w:right="208"/>
              <w:spacing w:after="0" w:line="80" w:lineRule="exact"/>
              <w:rPr>
                <w:sz w:val="20"/>
                <w:szCs w:val="20"/>
                <w:color w:val="auto"/>
              </w:rPr>
            </w:pPr>
            <w:r>
              <w:rPr>
                <w:rFonts w:ascii="Times New Roman" w:cs="Times New Roman" w:eastAsia="Times New Roman" w:hAnsi="Times New Roman"/>
                <w:sz w:val="9"/>
                <w:szCs w:val="9"/>
                <w:b w:val="1"/>
                <w:bCs w:val="1"/>
                <w:color w:val="auto"/>
              </w:rPr>
              <w:t>2020</w:t>
            </w: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gridSpan w:val="2"/>
          </w:tcPr>
          <w:p>
            <w:pPr>
              <w:jc w:val="right"/>
              <w:ind w:right="208"/>
              <w:spacing w:after="0" w:line="80" w:lineRule="exact"/>
              <w:rPr>
                <w:sz w:val="20"/>
                <w:szCs w:val="20"/>
                <w:color w:val="auto"/>
              </w:rPr>
            </w:pPr>
            <w:r>
              <w:rPr>
                <w:rFonts w:ascii="Times New Roman" w:cs="Times New Roman" w:eastAsia="Times New Roman" w:hAnsi="Times New Roman"/>
                <w:sz w:val="9"/>
                <w:szCs w:val="9"/>
                <w:b w:val="1"/>
                <w:bCs w:val="1"/>
                <w:color w:val="auto"/>
              </w:rPr>
              <w:t>2021</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10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restart"/>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rPr>
              <w:t>Other</w:t>
            </w: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center"/>
              <w:ind w:right="80"/>
              <w:spacing w:after="0" w:line="107" w:lineRule="exact"/>
              <w:rPr>
                <w:sz w:val="20"/>
                <w:szCs w:val="20"/>
                <w:color w:val="auto"/>
              </w:rPr>
            </w:pPr>
            <w:r>
              <w:rPr>
                <w:rFonts w:ascii="Times New Roman" w:cs="Times New Roman" w:eastAsia="Times New Roman" w:hAnsi="Times New Roman"/>
                <w:sz w:val="10"/>
                <w:szCs w:val="10"/>
                <w:b w:val="1"/>
                <w:bCs w:val="1"/>
                <w:color w:val="auto"/>
              </w:rPr>
              <w:t>VIE and</w:t>
            </w:r>
          </w:p>
        </w:tc>
        <w:tc>
          <w:tcPr>
            <w:tcW w:w="40" w:type="dxa"/>
            <w:vAlign w:val="bottom"/>
          </w:tcPr>
          <w:p>
            <w:pPr>
              <w:spacing w:after="0"/>
              <w:rPr>
                <w:sz w:val="9"/>
                <w:szCs w:val="9"/>
                <w:color w:val="auto"/>
              </w:rPr>
            </w:pPr>
          </w:p>
        </w:tc>
        <w:tc>
          <w:tcPr>
            <w:tcW w:w="6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Eliminating</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Consolidated</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vMerge w:val="restart"/>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rPr>
              <w:t>Other</w:t>
            </w: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gridSpan w:val="2"/>
          </w:tcPr>
          <w:p>
            <w:pPr>
              <w:jc w:val="center"/>
              <w:ind w:right="100"/>
              <w:spacing w:after="0" w:line="107" w:lineRule="exact"/>
              <w:rPr>
                <w:sz w:val="20"/>
                <w:szCs w:val="20"/>
                <w:color w:val="auto"/>
              </w:rPr>
            </w:pPr>
            <w:r>
              <w:rPr>
                <w:rFonts w:ascii="Times New Roman" w:cs="Times New Roman" w:eastAsia="Times New Roman" w:hAnsi="Times New Roman"/>
                <w:sz w:val="10"/>
                <w:szCs w:val="10"/>
                <w:b w:val="1"/>
                <w:bCs w:val="1"/>
                <w:color w:val="auto"/>
              </w:rPr>
              <w:t>VIE and</w:t>
            </w:r>
          </w:p>
        </w:tc>
        <w:tc>
          <w:tcPr>
            <w:tcW w:w="40" w:type="dxa"/>
            <w:vAlign w:val="bottom"/>
          </w:tcPr>
          <w:p>
            <w:pPr>
              <w:spacing w:after="0"/>
              <w:rPr>
                <w:sz w:val="9"/>
                <w:szCs w:val="9"/>
                <w:color w:val="auto"/>
              </w:rPr>
            </w:pP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w w:val="98"/>
              </w:rPr>
              <w:t>Eliminating</w:t>
            </w:r>
          </w:p>
        </w:tc>
        <w:tc>
          <w:tcPr>
            <w:tcW w:w="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Consolidated</w:t>
            </w:r>
          </w:p>
        </w:tc>
        <w:tc>
          <w:tcPr>
            <w:tcW w:w="0" w:type="dxa"/>
            <w:vAlign w:val="bottom"/>
          </w:tcPr>
          <w:p>
            <w:pPr>
              <w:spacing w:after="0"/>
              <w:rPr>
                <w:sz w:val="1"/>
                <w:szCs w:val="1"/>
                <w:color w:val="auto"/>
              </w:rPr>
            </w:pPr>
          </w:p>
        </w:tc>
      </w:tr>
      <w:tr>
        <w:trPr>
          <w:trHeight w:val="107"/>
        </w:trPr>
        <w:tc>
          <w:tcPr>
            <w:tcW w:w="1040" w:type="dxa"/>
            <w:vAlign w:val="bottom"/>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Parent</w:t>
            </w:r>
          </w:p>
        </w:tc>
        <w:tc>
          <w:tcPr>
            <w:tcW w:w="8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WFOE</w:t>
            </w:r>
          </w:p>
        </w:tc>
        <w:tc>
          <w:tcPr>
            <w:tcW w:w="80" w:type="dxa"/>
            <w:vAlign w:val="bottom"/>
          </w:tcPr>
          <w:p>
            <w:pPr>
              <w:spacing w:after="0"/>
              <w:rPr>
                <w:sz w:val="9"/>
                <w:szCs w:val="9"/>
                <w:color w:val="auto"/>
              </w:rPr>
            </w:pPr>
          </w:p>
        </w:tc>
        <w:tc>
          <w:tcPr>
            <w:tcW w:w="580" w:type="dxa"/>
            <w:vAlign w:val="bottom"/>
            <w:gridSpan w:val="2"/>
          </w:tcPr>
          <w:p>
            <w:pPr>
              <w:jc w:val="center"/>
              <w:ind w:right="80"/>
              <w:spacing w:after="0" w:line="107" w:lineRule="exact"/>
              <w:rPr>
                <w:sz w:val="20"/>
                <w:szCs w:val="20"/>
                <w:color w:val="auto"/>
              </w:rPr>
            </w:pPr>
            <w:r>
              <w:rPr>
                <w:rFonts w:ascii="Times New Roman" w:cs="Times New Roman" w:eastAsia="Times New Roman" w:hAnsi="Times New Roman"/>
                <w:sz w:val="10"/>
                <w:szCs w:val="10"/>
                <w:b w:val="1"/>
                <w:bCs w:val="1"/>
                <w:color w:val="auto"/>
              </w:rPr>
              <w:t>VIE’s</w:t>
            </w:r>
          </w:p>
        </w:tc>
        <w:tc>
          <w:tcPr>
            <w:tcW w:w="4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Parent</w:t>
            </w:r>
          </w:p>
        </w:tc>
        <w:tc>
          <w:tcPr>
            <w:tcW w:w="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WFOE</w:t>
            </w:r>
          </w:p>
        </w:tc>
        <w:tc>
          <w:tcPr>
            <w:tcW w:w="40" w:type="dxa"/>
            <w:vAlign w:val="bottom"/>
          </w:tcPr>
          <w:p>
            <w:pPr>
              <w:spacing w:after="0"/>
              <w:rPr>
                <w:sz w:val="9"/>
                <w:szCs w:val="9"/>
                <w:color w:val="auto"/>
              </w:rPr>
            </w:pPr>
          </w:p>
        </w:tc>
        <w:tc>
          <w:tcPr>
            <w:tcW w:w="600" w:type="dxa"/>
            <w:vAlign w:val="bottom"/>
            <w:gridSpan w:val="2"/>
          </w:tcPr>
          <w:p>
            <w:pPr>
              <w:jc w:val="center"/>
              <w:ind w:right="80"/>
              <w:spacing w:after="0" w:line="107" w:lineRule="exact"/>
              <w:rPr>
                <w:sz w:val="20"/>
                <w:szCs w:val="20"/>
                <w:color w:val="auto"/>
              </w:rPr>
            </w:pPr>
            <w:r>
              <w:rPr>
                <w:rFonts w:ascii="Times New Roman" w:cs="Times New Roman" w:eastAsia="Times New Roman" w:hAnsi="Times New Roman"/>
                <w:sz w:val="10"/>
                <w:szCs w:val="10"/>
                <w:b w:val="1"/>
                <w:bCs w:val="1"/>
                <w:color w:val="auto"/>
                <w:w w:val="95"/>
              </w:rPr>
              <w:t>VIE’s</w:t>
            </w:r>
          </w:p>
        </w:tc>
        <w:tc>
          <w:tcPr>
            <w:tcW w:w="4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040" w:type="dxa"/>
            <w:vAlign w:val="bottom"/>
          </w:tcPr>
          <w:p>
            <w:pPr>
              <w:spacing w:after="0"/>
              <w:rPr>
                <w:sz w:val="10"/>
                <w:szCs w:val="10"/>
                <w:color w:val="auto"/>
              </w:rPr>
            </w:pPr>
          </w:p>
        </w:tc>
        <w:tc>
          <w:tcPr>
            <w:tcW w:w="360" w:type="dxa"/>
            <w:vAlign w:val="bottom"/>
            <w:tcBorders>
              <w:bottom w:val="single" w:sz="8" w:color="auto"/>
            </w:tcBorders>
            <w:vMerge w:val="continue"/>
          </w:tcPr>
          <w:p>
            <w:pPr>
              <w:spacing w:after="0"/>
              <w:rPr>
                <w:sz w:val="10"/>
                <w:szCs w:val="10"/>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subsidiaries</w:t>
            </w: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vMerge w:val="continue"/>
          </w:tcPr>
          <w:p>
            <w:pPr>
              <w:spacing w:after="0"/>
              <w:rPr>
                <w:sz w:val="10"/>
                <w:szCs w:val="10"/>
                <w:color w:val="auto"/>
              </w:rPr>
            </w:pPr>
          </w:p>
        </w:tc>
        <w:tc>
          <w:tcPr>
            <w:tcW w:w="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rPr>
              <w:t>subsidiaries</w:t>
            </w:r>
          </w:p>
        </w:tc>
        <w:tc>
          <w:tcPr>
            <w:tcW w:w="64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adjustments</w:t>
            </w:r>
          </w:p>
        </w:tc>
        <w:tc>
          <w:tcPr>
            <w:tcW w:w="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0"/>
                <w:szCs w:val="10"/>
                <w:b w:val="1"/>
                <w:bCs w:val="1"/>
                <w:color w:val="auto"/>
              </w:rPr>
              <w:t>totals</w:t>
            </w: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gridSpan w:val="2"/>
            <w:vMerge w:val="continue"/>
          </w:tcPr>
          <w:p>
            <w:pPr>
              <w:spacing w:after="0"/>
              <w:rPr>
                <w:sz w:val="10"/>
                <w:szCs w:val="10"/>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subsidiaries</w:t>
            </w: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gridSpan w:val="2"/>
            <w:vMerge w:val="continue"/>
          </w:tcPr>
          <w:p>
            <w:pPr>
              <w:spacing w:after="0"/>
              <w:rPr>
                <w:sz w:val="10"/>
                <w:szCs w:val="10"/>
                <w:color w:val="auto"/>
              </w:rPr>
            </w:pPr>
          </w:p>
        </w:tc>
        <w:tc>
          <w:tcPr>
            <w:tcW w:w="64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subsidiaries</w:t>
            </w:r>
          </w:p>
        </w:tc>
        <w:tc>
          <w:tcPr>
            <w:tcW w:w="6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adjustments</w:t>
            </w:r>
          </w:p>
        </w:tc>
        <w:tc>
          <w:tcPr>
            <w:tcW w:w="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totals</w:t>
            </w:r>
          </w:p>
        </w:tc>
        <w:tc>
          <w:tcPr>
            <w:tcW w:w="0" w:type="dxa"/>
            <w:vAlign w:val="bottom"/>
          </w:tcPr>
          <w:p>
            <w:pPr>
              <w:spacing w:after="0"/>
              <w:rPr>
                <w:sz w:val="1"/>
                <w:szCs w:val="1"/>
                <w:color w:val="auto"/>
              </w:rPr>
            </w:pPr>
          </w:p>
        </w:tc>
      </w:tr>
      <w:tr>
        <w:trPr>
          <w:trHeight w:val="97"/>
        </w:trPr>
        <w:tc>
          <w:tcPr>
            <w:tcW w:w="10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gridSpan w:val="4"/>
          </w:tcPr>
          <w:p>
            <w:pPr>
              <w:jc w:val="center"/>
              <w:ind w:left="148"/>
              <w:spacing w:after="0" w:line="97" w:lineRule="exact"/>
              <w:rPr>
                <w:sz w:val="20"/>
                <w:szCs w:val="20"/>
                <w:color w:val="auto"/>
              </w:rPr>
            </w:pPr>
            <w:r>
              <w:rPr>
                <w:rFonts w:ascii="Times New Roman" w:cs="Times New Roman" w:eastAsia="Times New Roman" w:hAnsi="Times New Roman"/>
                <w:sz w:val="10"/>
                <w:szCs w:val="10"/>
                <w:b w:val="1"/>
                <w:bCs w:val="1"/>
                <w:color w:val="auto"/>
              </w:rPr>
              <w:t>(RMB in thousands)</w:t>
            </w: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040" w:type="dxa"/>
            <w:vAlign w:val="bottom"/>
            <w:shd w:val="clear" w:color="auto" w:fill="CCEEFF"/>
          </w:tcPr>
          <w:p>
            <w:pPr>
              <w:spacing w:after="0" w:line="91" w:lineRule="exact"/>
              <w:rPr>
                <w:sz w:val="20"/>
                <w:szCs w:val="20"/>
                <w:color w:val="auto"/>
              </w:rPr>
            </w:pPr>
            <w:r>
              <w:rPr>
                <w:rFonts w:ascii="Times New Roman" w:cs="Times New Roman" w:eastAsia="Times New Roman" w:hAnsi="Times New Roman"/>
                <w:sz w:val="10"/>
                <w:szCs w:val="10"/>
                <w:color w:val="auto"/>
              </w:rPr>
              <w:t>Cash and cash</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10,801</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84,095</w:t>
            </w:r>
          </w:p>
        </w:tc>
        <w:tc>
          <w:tcPr>
            <w:tcW w:w="4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35,576</w:t>
            </w:r>
          </w:p>
        </w:tc>
        <w:tc>
          <w:tcPr>
            <w:tcW w:w="6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7,368</w:t>
            </w: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137,840</w:t>
            </w:r>
          </w:p>
        </w:tc>
        <w:tc>
          <w:tcPr>
            <w:tcW w:w="4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72,998</w:t>
            </w:r>
          </w:p>
        </w:tc>
        <w:tc>
          <w:tcPr>
            <w:tcW w:w="80" w:type="dxa"/>
            <w:vAlign w:val="bottom"/>
            <w:shd w:val="clear" w:color="auto" w:fill="CCEEFF"/>
          </w:tcPr>
          <w:p>
            <w:pPr>
              <w:spacing w:after="0"/>
              <w:rPr>
                <w:sz w:val="7"/>
                <w:szCs w:val="7"/>
                <w:color w:val="auto"/>
              </w:rPr>
            </w:pP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137,200</w:t>
            </w:r>
          </w:p>
        </w:tc>
        <w:tc>
          <w:tcPr>
            <w:tcW w:w="4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28,651</w:t>
            </w:r>
          </w:p>
        </w:tc>
        <w:tc>
          <w:tcPr>
            <w:tcW w:w="60" w:type="dxa"/>
            <w:vAlign w:val="bottom"/>
            <w:shd w:val="clear" w:color="auto" w:fill="CCEEFF"/>
          </w:tcPr>
          <w:p>
            <w:pPr>
              <w:spacing w:after="0"/>
              <w:rPr>
                <w:sz w:val="7"/>
                <w:szCs w:val="7"/>
                <w:color w:val="auto"/>
              </w:rPr>
            </w:pPr>
          </w:p>
        </w:tc>
        <w:tc>
          <w:tcPr>
            <w:tcW w:w="5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8,014</w:t>
            </w: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246,863</w:t>
            </w: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1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equivalents</w:t>
            </w:r>
          </w:p>
        </w:tc>
        <w:tc>
          <w:tcPr>
            <w:tcW w:w="360" w:type="dxa"/>
            <w:vAlign w:val="bottom"/>
            <w:vMerge w:val="continue"/>
            <w:shd w:val="clear" w:color="auto" w:fill="CCEEFF"/>
          </w:tcPr>
          <w:p>
            <w:pPr>
              <w:spacing w:after="0"/>
              <w:rPr>
                <w:sz w:val="10"/>
                <w:szCs w:val="10"/>
                <w:color w:val="auto"/>
              </w:rPr>
            </w:pPr>
          </w:p>
        </w:tc>
        <w:tc>
          <w:tcPr>
            <w:tcW w:w="620" w:type="dxa"/>
            <w:vAlign w:val="bottom"/>
            <w:gridSpan w:val="2"/>
            <w:vMerge w:val="continue"/>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620" w:type="dxa"/>
            <w:vAlign w:val="bottom"/>
            <w:gridSpan w:val="2"/>
            <w:vMerge w:val="continue"/>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gridSpan w:val="2"/>
            <w:vMerge w:val="continue"/>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62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4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Restricted cash</w:t>
            </w:r>
          </w:p>
        </w:tc>
        <w:tc>
          <w:tcPr>
            <w:tcW w:w="360" w:type="dxa"/>
            <w:vAlign w:val="bottom"/>
          </w:tcPr>
          <w:p>
            <w:pPr>
              <w:jc w:val="right"/>
              <w:ind w:right="8"/>
              <w:spacing w:after="0" w:line="107"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40" w:type="dxa"/>
            <w:vAlign w:val="bottom"/>
          </w:tcPr>
          <w:p>
            <w:pPr>
              <w:jc w:val="right"/>
              <w:ind w:right="8"/>
              <w:spacing w:after="0" w:line="107"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2,327</w:t>
            </w:r>
          </w:p>
        </w:tc>
        <w:tc>
          <w:tcPr>
            <w:tcW w:w="60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6</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gridSpan w:val="2"/>
          </w:tcPr>
          <w:p>
            <w:pPr>
              <w:jc w:val="right"/>
              <w:ind w:right="68"/>
              <w:spacing w:after="0" w:line="107"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2,333</w:t>
            </w:r>
          </w:p>
        </w:tc>
        <w:tc>
          <w:tcPr>
            <w:tcW w:w="100" w:type="dxa"/>
            <w:vAlign w:val="bottom"/>
          </w:tcPr>
          <w:p>
            <w:pPr>
              <w:spacing w:after="0"/>
              <w:rPr>
                <w:sz w:val="9"/>
                <w:szCs w:val="9"/>
                <w:color w:val="auto"/>
              </w:rPr>
            </w:pPr>
          </w:p>
        </w:tc>
        <w:tc>
          <w:tcPr>
            <w:tcW w:w="440" w:type="dxa"/>
            <w:vAlign w:val="bottom"/>
            <w:gridSpan w:val="2"/>
          </w:tcPr>
          <w:p>
            <w:pPr>
              <w:ind w:left="200"/>
              <w:spacing w:after="0" w:line="107"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520" w:type="dxa"/>
            <w:vAlign w:val="bottom"/>
          </w:tcPr>
          <w:p>
            <w:pPr>
              <w:jc w:val="right"/>
              <w:ind w:right="8"/>
              <w:spacing w:after="0" w:line="107"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160</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gridSpan w:val="2"/>
          </w:tcPr>
          <w:p>
            <w:pPr>
              <w:jc w:val="right"/>
              <w:ind w:right="140"/>
              <w:spacing w:after="0" w:line="107"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9"/>
                <w:szCs w:val="9"/>
                <w:color w:val="auto"/>
              </w:rPr>
            </w:pPr>
          </w:p>
        </w:tc>
        <w:tc>
          <w:tcPr>
            <w:tcW w:w="600" w:type="dxa"/>
            <w:vAlign w:val="bottom"/>
            <w:gridSpan w:val="2"/>
          </w:tcPr>
          <w:p>
            <w:pPr>
              <w:jc w:val="right"/>
              <w:ind w:right="120"/>
              <w:spacing w:after="0" w:line="107"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160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4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0"/>
                <w:szCs w:val="10"/>
                <w:color w:val="auto"/>
              </w:rPr>
              <w:t>Short-term investments</w:t>
            </w:r>
          </w:p>
        </w:tc>
        <w:tc>
          <w:tcPr>
            <w:tcW w:w="360" w:type="dxa"/>
            <w:vAlign w:val="bottom"/>
            <w:shd w:val="clear" w:color="auto" w:fill="CCEEFF"/>
          </w:tcPr>
          <w:p>
            <w:pPr>
              <w:jc w:val="right"/>
              <w:ind w:right="8"/>
              <w:spacing w:after="0" w:line="107"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49,271</w:t>
            </w: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jc w:val="right"/>
              <w:ind w:right="8"/>
              <w:spacing w:after="0" w:line="107"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20"/>
              <w:spacing w:after="0" w:line="107"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68"/>
              <w:spacing w:after="0" w:line="107"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49,271</w:t>
            </w: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ind w:left="200"/>
              <w:spacing w:after="0" w:line="107"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65,108</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20"/>
              <w:spacing w:after="0" w:line="107"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40"/>
              <w:spacing w:after="0" w:line="107"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20"/>
              <w:spacing w:after="0" w:line="107"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65,108</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040" w:type="dxa"/>
            <w:vAlign w:val="bottom"/>
          </w:tcPr>
          <w:p>
            <w:pPr>
              <w:spacing w:after="0" w:line="91" w:lineRule="exact"/>
              <w:rPr>
                <w:sz w:val="20"/>
                <w:szCs w:val="20"/>
                <w:color w:val="auto"/>
              </w:rPr>
            </w:pPr>
            <w:r>
              <w:rPr>
                <w:rFonts w:ascii="Times New Roman" w:cs="Times New Roman" w:eastAsia="Times New Roman" w:hAnsi="Times New Roman"/>
                <w:sz w:val="10"/>
                <w:szCs w:val="10"/>
                <w:color w:val="auto"/>
              </w:rPr>
              <w:t>Accounts receivable,</w:t>
            </w:r>
          </w:p>
        </w:tc>
        <w:tc>
          <w:tcPr>
            <w:tcW w:w="36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183</w:t>
            </w: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125,382</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37,581</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163,146</w:t>
            </w:r>
          </w:p>
        </w:tc>
        <w:tc>
          <w:tcPr>
            <w:tcW w:w="100" w:type="dxa"/>
            <w:vAlign w:val="bottom"/>
          </w:tcPr>
          <w:p>
            <w:pPr>
              <w:spacing w:after="0"/>
              <w:rPr>
                <w:sz w:val="7"/>
                <w:szCs w:val="7"/>
                <w:color w:val="auto"/>
              </w:rPr>
            </w:pPr>
          </w:p>
        </w:tc>
        <w:tc>
          <w:tcPr>
            <w:tcW w:w="4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66</w:t>
            </w: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45,164</w:t>
            </w:r>
          </w:p>
        </w:tc>
        <w:tc>
          <w:tcPr>
            <w:tcW w:w="60" w:type="dxa"/>
            <w:vAlign w:val="bottom"/>
          </w:tcPr>
          <w:p>
            <w:pPr>
              <w:spacing w:after="0"/>
              <w:rPr>
                <w:sz w:val="7"/>
                <w:szCs w:val="7"/>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10,959</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56,189</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10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net</w:t>
            </w:r>
          </w:p>
        </w:tc>
        <w:tc>
          <w:tcPr>
            <w:tcW w:w="36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2"/>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4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0"/>
                <w:szCs w:val="10"/>
                <w:color w:val="auto"/>
              </w:rPr>
              <w:t>Inventories</w:t>
            </w:r>
          </w:p>
        </w:tc>
        <w:tc>
          <w:tcPr>
            <w:tcW w:w="360" w:type="dxa"/>
            <w:vAlign w:val="bottom"/>
            <w:shd w:val="clear" w:color="auto" w:fill="CCEEFF"/>
          </w:tcPr>
          <w:p>
            <w:pPr>
              <w:jc w:val="right"/>
              <w:ind w:right="8"/>
              <w:spacing w:after="0" w:line="107"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2,190</w:t>
            </w:r>
          </w:p>
        </w:tc>
        <w:tc>
          <w:tcPr>
            <w:tcW w:w="46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45,461</w:t>
            </w:r>
          </w:p>
        </w:tc>
        <w:tc>
          <w:tcPr>
            <w:tcW w:w="60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837</w:t>
            </w:r>
          </w:p>
        </w:tc>
        <w:tc>
          <w:tcPr>
            <w:tcW w:w="60" w:type="dxa"/>
            <w:vAlign w:val="bottom"/>
            <w:shd w:val="clear" w:color="auto" w:fill="CCEEFF"/>
          </w:tcPr>
          <w:p>
            <w:pPr>
              <w:spacing w:after="0"/>
              <w:rPr>
                <w:sz w:val="9"/>
                <w:szCs w:val="9"/>
                <w:color w:val="auto"/>
              </w:rPr>
            </w:pPr>
          </w:p>
        </w:tc>
        <w:tc>
          <w:tcPr>
            <w:tcW w:w="640" w:type="dxa"/>
            <w:vAlign w:val="bottom"/>
            <w:gridSpan w:val="3"/>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(1,394)</w:t>
            </w:r>
          </w:p>
        </w:tc>
        <w:tc>
          <w:tcPr>
            <w:tcW w:w="6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47,094</w:t>
            </w: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ind w:left="200"/>
              <w:spacing w:after="0" w:line="107"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1,729</w:t>
            </w:r>
          </w:p>
        </w:tc>
        <w:tc>
          <w:tcPr>
            <w:tcW w:w="46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76,836</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839</w:t>
            </w:r>
          </w:p>
        </w:tc>
        <w:tc>
          <w:tcPr>
            <w:tcW w:w="80" w:type="dxa"/>
            <w:vAlign w:val="bottom"/>
            <w:shd w:val="clear" w:color="auto" w:fill="CCEEFF"/>
          </w:tcPr>
          <w:p>
            <w:pPr>
              <w:spacing w:after="0"/>
              <w:rPr>
                <w:sz w:val="9"/>
                <w:szCs w:val="9"/>
                <w:color w:val="auto"/>
              </w:rPr>
            </w:pPr>
          </w:p>
        </w:tc>
        <w:tc>
          <w:tcPr>
            <w:tcW w:w="640" w:type="dxa"/>
            <w:vAlign w:val="bottom"/>
            <w:gridSpan w:val="3"/>
            <w:shd w:val="clear" w:color="auto" w:fill="CCEEFF"/>
          </w:tcPr>
          <w:p>
            <w:pPr>
              <w:jc w:val="right"/>
              <w:ind w:right="40"/>
              <w:spacing w:after="0" w:line="107" w:lineRule="exact"/>
              <w:rPr>
                <w:sz w:val="20"/>
                <w:szCs w:val="20"/>
                <w:color w:val="auto"/>
              </w:rPr>
            </w:pPr>
            <w:r>
              <w:rPr>
                <w:rFonts w:ascii="Times New Roman" w:cs="Times New Roman" w:eastAsia="Times New Roman" w:hAnsi="Times New Roman"/>
                <w:sz w:val="10"/>
                <w:szCs w:val="10"/>
                <w:color w:val="auto"/>
              </w:rPr>
              <w:t>(1,329)</w:t>
            </w:r>
          </w:p>
        </w:tc>
        <w:tc>
          <w:tcPr>
            <w:tcW w:w="6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78,075</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040" w:type="dxa"/>
            <w:vAlign w:val="bottom"/>
          </w:tcPr>
          <w:p>
            <w:pPr>
              <w:spacing w:after="0" w:line="91" w:lineRule="exact"/>
              <w:rPr>
                <w:sz w:val="20"/>
                <w:szCs w:val="20"/>
                <w:color w:val="auto"/>
              </w:rPr>
            </w:pPr>
            <w:r>
              <w:rPr>
                <w:rFonts w:ascii="Times New Roman" w:cs="Times New Roman" w:eastAsia="Times New Roman" w:hAnsi="Times New Roman"/>
                <w:sz w:val="10"/>
                <w:szCs w:val="10"/>
                <w:color w:val="auto"/>
              </w:rPr>
              <w:t>Prepayments and other</w:t>
            </w:r>
          </w:p>
        </w:tc>
        <w:tc>
          <w:tcPr>
            <w:tcW w:w="36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578</w:t>
            </w: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15,293</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5,550</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21,421</w:t>
            </w:r>
          </w:p>
        </w:tc>
        <w:tc>
          <w:tcPr>
            <w:tcW w:w="100" w:type="dxa"/>
            <w:vAlign w:val="bottom"/>
          </w:tcPr>
          <w:p>
            <w:pPr>
              <w:spacing w:after="0"/>
              <w:rPr>
                <w:sz w:val="7"/>
                <w:szCs w:val="7"/>
                <w:color w:val="auto"/>
              </w:rPr>
            </w:pPr>
          </w:p>
        </w:tc>
        <w:tc>
          <w:tcPr>
            <w:tcW w:w="4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1,529</w:t>
            </w: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23,564</w:t>
            </w:r>
          </w:p>
        </w:tc>
        <w:tc>
          <w:tcPr>
            <w:tcW w:w="60" w:type="dxa"/>
            <w:vAlign w:val="bottom"/>
          </w:tcPr>
          <w:p>
            <w:pPr>
              <w:spacing w:after="0"/>
              <w:rPr>
                <w:sz w:val="7"/>
                <w:szCs w:val="7"/>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4,302</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29,395</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10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current assets</w:t>
            </w:r>
          </w:p>
        </w:tc>
        <w:tc>
          <w:tcPr>
            <w:tcW w:w="36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2"/>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040" w:type="dxa"/>
            <w:vAlign w:val="bottom"/>
            <w:shd w:val="clear" w:color="auto" w:fill="CCEEFF"/>
          </w:tcPr>
          <w:p>
            <w:pPr>
              <w:spacing w:after="0" w:line="91" w:lineRule="exact"/>
              <w:rPr>
                <w:sz w:val="20"/>
                <w:szCs w:val="20"/>
                <w:color w:val="auto"/>
              </w:rPr>
            </w:pPr>
            <w:r>
              <w:rPr>
                <w:rFonts w:ascii="Times New Roman" w:cs="Times New Roman" w:eastAsia="Times New Roman" w:hAnsi="Times New Roman"/>
                <w:sz w:val="10"/>
                <w:szCs w:val="10"/>
                <w:color w:val="auto"/>
              </w:rPr>
              <w:t>Amount due from a</w:t>
            </w:r>
          </w:p>
        </w:tc>
        <w:tc>
          <w:tcPr>
            <w:tcW w:w="3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7"/>
                <w:szCs w:val="7"/>
                <w:color w:val="auto"/>
              </w:rPr>
            </w:pPr>
          </w:p>
        </w:tc>
        <w:tc>
          <w:tcPr>
            <w:tcW w:w="5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7"/>
                <w:szCs w:val="7"/>
                <w:color w:val="auto"/>
              </w:rPr>
            </w:pPr>
          </w:p>
        </w:tc>
        <w:tc>
          <w:tcPr>
            <w:tcW w:w="3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2,639</w:t>
            </w: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2,639</w:t>
            </w:r>
          </w:p>
        </w:tc>
        <w:tc>
          <w:tcPr>
            <w:tcW w:w="100" w:type="dxa"/>
            <w:vAlign w:val="bottom"/>
            <w:shd w:val="clear" w:color="auto" w:fill="CCEEFF"/>
          </w:tcPr>
          <w:p>
            <w:pPr>
              <w:spacing w:after="0"/>
              <w:rPr>
                <w:sz w:val="7"/>
                <w:szCs w:val="7"/>
                <w:color w:val="auto"/>
              </w:rPr>
            </w:pPr>
          </w:p>
        </w:tc>
        <w:tc>
          <w:tcPr>
            <w:tcW w:w="44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7"/>
                <w:szCs w:val="7"/>
                <w:color w:val="auto"/>
              </w:rPr>
            </w:pPr>
          </w:p>
        </w:tc>
        <w:tc>
          <w:tcPr>
            <w:tcW w:w="5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1,360</w:t>
            </w: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7"/>
                <w:szCs w:val="7"/>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1,360</w:t>
            </w: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1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related party</w:t>
            </w:r>
          </w:p>
        </w:tc>
        <w:tc>
          <w:tcPr>
            <w:tcW w:w="3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vMerge w:val="continue"/>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62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gridSpan w:val="2"/>
            <w:vMerge w:val="continue"/>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vMerge w:val="continue"/>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62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040" w:type="dxa"/>
            <w:vAlign w:val="bottom"/>
          </w:tcPr>
          <w:p>
            <w:pPr>
              <w:spacing w:after="0" w:line="91" w:lineRule="exact"/>
              <w:rPr>
                <w:sz w:val="20"/>
                <w:szCs w:val="20"/>
                <w:color w:val="auto"/>
              </w:rPr>
            </w:pPr>
            <w:r>
              <w:rPr>
                <w:rFonts w:ascii="Times New Roman" w:cs="Times New Roman" w:eastAsia="Times New Roman" w:hAnsi="Times New Roman"/>
                <w:sz w:val="10"/>
                <w:szCs w:val="10"/>
                <w:color w:val="auto"/>
              </w:rPr>
              <w:t>Amounts due from</w:t>
            </w: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040" w:type="dxa"/>
            <w:vAlign w:val="bottom"/>
          </w:tcPr>
          <w:p>
            <w:pPr>
              <w:ind w:left="100"/>
              <w:spacing w:after="0" w:line="107" w:lineRule="exact"/>
              <w:rPr>
                <w:sz w:val="20"/>
                <w:szCs w:val="20"/>
                <w:color w:val="auto"/>
              </w:rPr>
            </w:pPr>
            <w:r>
              <w:rPr>
                <w:rFonts w:ascii="Times New Roman" w:cs="Times New Roman" w:eastAsia="Times New Roman" w:hAnsi="Times New Roman"/>
                <w:sz w:val="10"/>
                <w:szCs w:val="10"/>
                <w:color w:val="auto"/>
              </w:rPr>
              <w:t>subsidiaries and</w:t>
            </w:r>
          </w:p>
        </w:tc>
        <w:tc>
          <w:tcPr>
            <w:tcW w:w="36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98,464</w:t>
            </w: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26,792</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11,319</w:t>
            </w:r>
          </w:p>
        </w:tc>
        <w:tc>
          <w:tcPr>
            <w:tcW w:w="60" w:type="dxa"/>
            <w:vAlign w:val="bottom"/>
          </w:tcPr>
          <w:p>
            <w:pPr>
              <w:spacing w:after="0"/>
              <w:rPr>
                <w:sz w:val="9"/>
                <w:szCs w:val="9"/>
                <w:color w:val="auto"/>
              </w:rPr>
            </w:pPr>
          </w:p>
        </w:tc>
        <w:tc>
          <w:tcPr>
            <w:tcW w:w="6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0"/>
                <w:szCs w:val="10"/>
                <w:color w:val="auto"/>
              </w:rPr>
              <w:t>(136,575)</w:t>
            </w:r>
          </w:p>
        </w:tc>
        <w:tc>
          <w:tcPr>
            <w:tcW w:w="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4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98,375</w:t>
            </w: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10,550</w:t>
            </w:r>
          </w:p>
        </w:tc>
        <w:tc>
          <w:tcPr>
            <w:tcW w:w="60" w:type="dxa"/>
            <w:vAlign w:val="bottom"/>
          </w:tcPr>
          <w:p>
            <w:pPr>
              <w:spacing w:after="0"/>
              <w:rPr>
                <w:sz w:val="9"/>
                <w:szCs w:val="9"/>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25,774</w:t>
            </w:r>
          </w:p>
        </w:tc>
        <w:tc>
          <w:tcPr>
            <w:tcW w:w="80" w:type="dxa"/>
            <w:vAlign w:val="bottom"/>
          </w:tcPr>
          <w:p>
            <w:pPr>
              <w:spacing w:after="0"/>
              <w:rPr>
                <w:sz w:val="9"/>
                <w:szCs w:val="9"/>
                <w:color w:val="auto"/>
              </w:rPr>
            </w:pPr>
          </w:p>
        </w:tc>
        <w:tc>
          <w:tcPr>
            <w:tcW w:w="6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0"/>
                <w:szCs w:val="10"/>
                <w:color w:val="auto"/>
              </w:rPr>
              <w:t>(134,699)</w:t>
            </w:r>
          </w:p>
        </w:tc>
        <w:tc>
          <w:tcPr>
            <w:tcW w:w="40" w:type="dxa"/>
            <w:vAlign w:val="bottom"/>
          </w:tcPr>
          <w:p>
            <w:pPr>
              <w:spacing w:after="0"/>
              <w:rPr>
                <w:sz w:val="9"/>
                <w:szCs w:val="9"/>
                <w:color w:val="auto"/>
              </w:rPr>
            </w:pPr>
          </w:p>
        </w:tc>
        <w:tc>
          <w:tcPr>
            <w:tcW w:w="6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4"/>
        </w:trPr>
        <w:tc>
          <w:tcPr>
            <w:tcW w:w="10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VIEs</w:t>
            </w:r>
            <w:r>
              <w:rPr>
                <w:rFonts w:ascii="Times New Roman" w:cs="Times New Roman" w:eastAsia="Times New Roman" w:hAnsi="Times New Roman"/>
                <w:sz w:val="7"/>
                <w:szCs w:val="7"/>
                <w:color w:val="auto"/>
              </w:rPr>
              <w:t>(3)</w:t>
            </w:r>
          </w:p>
        </w:tc>
        <w:tc>
          <w:tcPr>
            <w:tcW w:w="36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2"/>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040" w:type="dxa"/>
            <w:vAlign w:val="bottom"/>
            <w:shd w:val="clear" w:color="auto" w:fill="CCEEFF"/>
          </w:tcPr>
          <w:p>
            <w:pPr>
              <w:spacing w:after="0" w:line="91" w:lineRule="exact"/>
              <w:rPr>
                <w:sz w:val="20"/>
                <w:szCs w:val="20"/>
                <w:color w:val="auto"/>
              </w:rPr>
            </w:pPr>
            <w:r>
              <w:rPr>
                <w:rFonts w:ascii="Times New Roman" w:cs="Times New Roman" w:eastAsia="Times New Roman" w:hAnsi="Times New Roman"/>
                <w:sz w:val="10"/>
                <w:szCs w:val="10"/>
                <w:color w:val="auto"/>
              </w:rPr>
              <w:t>Property and</w:t>
            </w: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040" w:type="dxa"/>
            <w:vAlign w:val="bottom"/>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color w:val="auto"/>
              </w:rPr>
              <w:t>equipment, net and</w:t>
            </w:r>
          </w:p>
        </w:tc>
        <w:tc>
          <w:tcPr>
            <w:tcW w:w="3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520</w:t>
            </w:r>
          </w:p>
        </w:tc>
        <w:tc>
          <w:tcPr>
            <w:tcW w:w="4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18,862</w:t>
            </w:r>
          </w:p>
        </w:tc>
        <w:tc>
          <w:tcPr>
            <w:tcW w:w="6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2,772</w:t>
            </w:r>
          </w:p>
        </w:tc>
        <w:tc>
          <w:tcPr>
            <w:tcW w:w="60" w:type="dxa"/>
            <w:vAlign w:val="bottom"/>
            <w:shd w:val="clear" w:color="auto" w:fill="CCEEFF"/>
          </w:tcPr>
          <w:p>
            <w:pPr>
              <w:spacing w:after="0"/>
              <w:rPr>
                <w:sz w:val="9"/>
                <w:szCs w:val="9"/>
                <w:color w:val="auto"/>
              </w:rPr>
            </w:pPr>
          </w:p>
        </w:tc>
        <w:tc>
          <w:tcPr>
            <w:tcW w:w="6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(223)</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21,931</w:t>
            </w:r>
          </w:p>
        </w:tc>
        <w:tc>
          <w:tcPr>
            <w:tcW w:w="100" w:type="dxa"/>
            <w:vAlign w:val="bottom"/>
            <w:shd w:val="clear" w:color="auto" w:fill="CCEEFF"/>
          </w:tcPr>
          <w:p>
            <w:pPr>
              <w:spacing w:after="0"/>
              <w:rPr>
                <w:sz w:val="9"/>
                <w:szCs w:val="9"/>
                <w:color w:val="auto"/>
              </w:rPr>
            </w:pPr>
          </w:p>
        </w:tc>
        <w:tc>
          <w:tcPr>
            <w:tcW w:w="44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350</w:t>
            </w:r>
          </w:p>
        </w:tc>
        <w:tc>
          <w:tcPr>
            <w:tcW w:w="4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32,158</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2,109</w:t>
            </w:r>
          </w:p>
        </w:tc>
        <w:tc>
          <w:tcPr>
            <w:tcW w:w="80" w:type="dxa"/>
            <w:vAlign w:val="bottom"/>
            <w:shd w:val="clear" w:color="auto" w:fill="CCEEFF"/>
          </w:tcPr>
          <w:p>
            <w:pPr>
              <w:spacing w:after="0"/>
              <w:rPr>
                <w:sz w:val="9"/>
                <w:szCs w:val="9"/>
                <w:color w:val="auto"/>
              </w:rPr>
            </w:pPr>
          </w:p>
        </w:tc>
        <w:tc>
          <w:tcPr>
            <w:tcW w:w="6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(51)</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34,566</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intangible assets, net</w:t>
            </w:r>
          </w:p>
        </w:tc>
        <w:tc>
          <w:tcPr>
            <w:tcW w:w="360" w:type="dxa"/>
            <w:vAlign w:val="bottom"/>
            <w:vMerge w:val="continue"/>
            <w:shd w:val="clear" w:color="auto" w:fill="CCEEFF"/>
          </w:tcPr>
          <w:p>
            <w:pPr>
              <w:spacing w:after="0"/>
              <w:rPr>
                <w:sz w:val="10"/>
                <w:szCs w:val="10"/>
                <w:color w:val="auto"/>
              </w:rPr>
            </w:pPr>
          </w:p>
        </w:tc>
        <w:tc>
          <w:tcPr>
            <w:tcW w:w="620" w:type="dxa"/>
            <w:vAlign w:val="bottom"/>
            <w:gridSpan w:val="2"/>
            <w:vMerge w:val="continue"/>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gridSpan w:val="3"/>
            <w:vMerge w:val="continue"/>
            <w:shd w:val="clear" w:color="auto" w:fill="CCEEFF"/>
          </w:tcPr>
          <w:p>
            <w:pPr>
              <w:spacing w:after="0"/>
              <w:rPr>
                <w:sz w:val="10"/>
                <w:szCs w:val="10"/>
                <w:color w:val="auto"/>
              </w:rPr>
            </w:pPr>
          </w:p>
        </w:tc>
        <w:tc>
          <w:tcPr>
            <w:tcW w:w="62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gridSpan w:val="2"/>
            <w:vMerge w:val="continue"/>
            <w:shd w:val="clear" w:color="auto" w:fill="CCEEFF"/>
          </w:tcPr>
          <w:p>
            <w:pPr>
              <w:spacing w:after="0"/>
              <w:rPr>
                <w:sz w:val="10"/>
                <w:szCs w:val="10"/>
                <w:color w:val="auto"/>
              </w:rPr>
            </w:pPr>
          </w:p>
        </w:tc>
        <w:tc>
          <w:tcPr>
            <w:tcW w:w="540" w:type="dxa"/>
            <w:vAlign w:val="bottom"/>
            <w:gridSpan w:val="2"/>
            <w:vMerge w:val="continue"/>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3"/>
            <w:vMerge w:val="continue"/>
            <w:shd w:val="clear" w:color="auto" w:fill="CCEEFF"/>
          </w:tcPr>
          <w:p>
            <w:pPr>
              <w:spacing w:after="0"/>
              <w:rPr>
                <w:sz w:val="10"/>
                <w:szCs w:val="10"/>
                <w:color w:val="auto"/>
              </w:rPr>
            </w:pPr>
          </w:p>
        </w:tc>
        <w:tc>
          <w:tcPr>
            <w:tcW w:w="62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040" w:type="dxa"/>
            <w:vAlign w:val="bottom"/>
          </w:tcPr>
          <w:p>
            <w:pPr>
              <w:spacing w:after="0" w:line="91" w:lineRule="exact"/>
              <w:rPr>
                <w:sz w:val="20"/>
                <w:szCs w:val="20"/>
                <w:color w:val="auto"/>
              </w:rPr>
            </w:pPr>
            <w:r>
              <w:rPr>
                <w:rFonts w:ascii="Times New Roman" w:cs="Times New Roman" w:eastAsia="Times New Roman" w:hAnsi="Times New Roman"/>
                <w:sz w:val="10"/>
                <w:szCs w:val="10"/>
                <w:color w:val="auto"/>
              </w:rPr>
              <w:t>Investment in</w:t>
            </w: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040" w:type="dxa"/>
            <w:vAlign w:val="bottom"/>
          </w:tcPr>
          <w:p>
            <w:pPr>
              <w:ind w:left="100"/>
              <w:spacing w:after="0" w:line="107" w:lineRule="exact"/>
              <w:rPr>
                <w:sz w:val="20"/>
                <w:szCs w:val="20"/>
                <w:color w:val="auto"/>
              </w:rPr>
            </w:pPr>
            <w:r>
              <w:rPr>
                <w:rFonts w:ascii="Times New Roman" w:cs="Times New Roman" w:eastAsia="Times New Roman" w:hAnsi="Times New Roman"/>
                <w:sz w:val="10"/>
                <w:szCs w:val="10"/>
                <w:color w:val="auto"/>
              </w:rPr>
              <w:t>subsidiaries and</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268,331</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51,439</w:t>
            </w:r>
          </w:p>
        </w:tc>
        <w:tc>
          <w:tcPr>
            <w:tcW w:w="80" w:type="dxa"/>
            <w:vAlign w:val="bottom"/>
          </w:tcPr>
          <w:p>
            <w:pPr>
              <w:spacing w:after="0"/>
              <w:rPr>
                <w:sz w:val="9"/>
                <w:szCs w:val="9"/>
                <w:color w:val="auto"/>
              </w:rPr>
            </w:pPr>
          </w:p>
        </w:tc>
        <w:tc>
          <w:tcPr>
            <w:tcW w:w="3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0"/>
                <w:szCs w:val="10"/>
                <w:color w:val="auto"/>
              </w:rPr>
              <w:t>(319,770)</w:t>
            </w:r>
          </w:p>
        </w:tc>
        <w:tc>
          <w:tcPr>
            <w:tcW w:w="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263,347</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4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9"/>
                <w:szCs w:val="9"/>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0"/>
                <w:szCs w:val="10"/>
                <w:color w:val="auto"/>
              </w:rPr>
              <w:t>(263,347)</w:t>
            </w:r>
          </w:p>
        </w:tc>
        <w:tc>
          <w:tcPr>
            <w:tcW w:w="40" w:type="dxa"/>
            <w:vAlign w:val="bottom"/>
          </w:tcPr>
          <w:p>
            <w:pPr>
              <w:spacing w:after="0"/>
              <w:rPr>
                <w:sz w:val="9"/>
                <w:szCs w:val="9"/>
                <w:color w:val="auto"/>
              </w:rPr>
            </w:pPr>
          </w:p>
        </w:tc>
        <w:tc>
          <w:tcPr>
            <w:tcW w:w="6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4"/>
        </w:trPr>
        <w:tc>
          <w:tcPr>
            <w:tcW w:w="10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VIEs</w:t>
            </w:r>
            <w:r>
              <w:rPr>
                <w:rFonts w:ascii="Times New Roman" w:cs="Times New Roman" w:eastAsia="Times New Roman" w:hAnsi="Times New Roman"/>
                <w:sz w:val="7"/>
                <w:szCs w:val="7"/>
                <w:color w:val="auto"/>
              </w:rPr>
              <w:t>(2)</w:t>
            </w:r>
          </w:p>
        </w:tc>
        <w:tc>
          <w:tcPr>
            <w:tcW w:w="36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4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0"/>
                <w:szCs w:val="10"/>
                <w:color w:val="auto"/>
              </w:rPr>
              <w:t>Others</w:t>
            </w:r>
          </w:p>
        </w:tc>
        <w:tc>
          <w:tcPr>
            <w:tcW w:w="360" w:type="dxa"/>
            <w:vAlign w:val="bottom"/>
            <w:shd w:val="clear" w:color="auto" w:fill="CCEEFF"/>
          </w:tcPr>
          <w:p>
            <w:pPr>
              <w:jc w:val="right"/>
              <w:ind w:right="8"/>
              <w:spacing w:after="0" w:line="107"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4,869</w:t>
            </w:r>
          </w:p>
        </w:tc>
        <w:tc>
          <w:tcPr>
            <w:tcW w:w="46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33,133</w:t>
            </w:r>
          </w:p>
        </w:tc>
        <w:tc>
          <w:tcPr>
            <w:tcW w:w="60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872</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68"/>
              <w:spacing w:after="0" w:line="107"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38,874</w:t>
            </w: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ind w:left="200"/>
              <w:spacing w:after="0" w:line="107"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4,784</w:t>
            </w:r>
          </w:p>
        </w:tc>
        <w:tc>
          <w:tcPr>
            <w:tcW w:w="46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18,837</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97</w:t>
            </w: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20"/>
              <w:spacing w:after="0" w:line="107"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23,718</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1040" w:type="dxa"/>
            <w:vAlign w:val="bottom"/>
          </w:tcPr>
          <w:p>
            <w:pPr>
              <w:spacing w:after="0" w:line="107" w:lineRule="exact"/>
              <w:rPr>
                <w:sz w:val="20"/>
                <w:szCs w:val="20"/>
                <w:color w:val="auto"/>
              </w:rPr>
            </w:pPr>
            <w:r>
              <w:rPr>
                <w:rFonts w:ascii="Times New Roman" w:cs="Times New Roman" w:eastAsia="Times New Roman" w:hAnsi="Times New Roman"/>
                <w:sz w:val="10"/>
                <w:szCs w:val="10"/>
                <w:b w:val="1"/>
                <w:bCs w:val="1"/>
                <w:color w:val="auto"/>
              </w:rPr>
              <w:t>Total assets</w:t>
            </w:r>
          </w:p>
        </w:tc>
        <w:tc>
          <w:tcPr>
            <w:tcW w:w="360" w:type="dxa"/>
            <w:vAlign w:val="bottom"/>
            <w:tcBorders>
              <w:top w:val="single" w:sz="8" w:color="auto"/>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b w:val="1"/>
                <w:bCs w:val="1"/>
                <w:color w:val="auto"/>
              </w:rPr>
              <w:t>279,132</w:t>
            </w:r>
          </w:p>
        </w:tc>
        <w:tc>
          <w:tcPr>
            <w:tcW w:w="80" w:type="dxa"/>
            <w:vAlign w:val="bottom"/>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b w:val="1"/>
                <w:bCs w:val="1"/>
                <w:color w:val="auto"/>
              </w:rPr>
              <w:t>291,609</w:t>
            </w:r>
          </w:p>
        </w:tc>
        <w:tc>
          <w:tcPr>
            <w:tcW w:w="80" w:type="dxa"/>
            <w:vAlign w:val="bottom"/>
          </w:tcPr>
          <w:p>
            <w:pPr>
              <w:spacing w:after="0"/>
              <w:rPr>
                <w:sz w:val="10"/>
                <w:szCs w:val="10"/>
                <w:color w:val="auto"/>
              </w:rPr>
            </w:pPr>
          </w:p>
        </w:tc>
        <w:tc>
          <w:tcPr>
            <w:tcW w:w="380" w:type="dxa"/>
            <w:vAlign w:val="bottom"/>
            <w:tcBorders>
              <w:top w:val="single" w:sz="8" w:color="auto"/>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b w:val="1"/>
                <w:bCs w:val="1"/>
                <w:color w:val="auto"/>
              </w:rPr>
              <w:t>302,826</w:t>
            </w:r>
          </w:p>
        </w:tc>
        <w:tc>
          <w:tcPr>
            <w:tcW w:w="80" w:type="dxa"/>
            <w:vAlign w:val="bottom"/>
          </w:tcPr>
          <w:p>
            <w:pPr>
              <w:spacing w:after="0"/>
              <w:rPr>
                <w:sz w:val="10"/>
                <w:szCs w:val="10"/>
                <w:color w:val="auto"/>
              </w:rPr>
            </w:pPr>
          </w:p>
        </w:tc>
        <w:tc>
          <w:tcPr>
            <w:tcW w:w="520" w:type="dxa"/>
            <w:vAlign w:val="bottom"/>
            <w:tcBorders>
              <w:top w:val="single" w:sz="8" w:color="auto"/>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b w:val="1"/>
                <w:bCs w:val="1"/>
                <w:color w:val="auto"/>
              </w:rPr>
              <w:t>68,944</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b w:val="1"/>
                <w:bCs w:val="1"/>
                <w:color w:val="auto"/>
              </w:rPr>
              <w:t>(457,962)</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b w:val="1"/>
                <w:bCs w:val="1"/>
                <w:color w:val="auto"/>
              </w:rPr>
              <w:t>484,549</w:t>
            </w:r>
          </w:p>
        </w:tc>
        <w:tc>
          <w:tcPr>
            <w:tcW w:w="100" w:type="dxa"/>
            <w:vAlign w:val="bottom"/>
          </w:tcPr>
          <w:p>
            <w:pPr>
              <w:spacing w:after="0"/>
              <w:rPr>
                <w:sz w:val="10"/>
                <w:szCs w:val="10"/>
                <w:color w:val="auto"/>
              </w:rPr>
            </w:pPr>
          </w:p>
        </w:tc>
        <w:tc>
          <w:tcPr>
            <w:tcW w:w="360" w:type="dxa"/>
            <w:vAlign w:val="bottom"/>
            <w:tcBorders>
              <w:top w:val="single" w:sz="8" w:color="auto"/>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b w:val="1"/>
                <w:bCs w:val="1"/>
                <w:color w:val="auto"/>
              </w:rPr>
              <w:t>336,345</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Borders>
              <w:top w:val="single" w:sz="8" w:color="auto"/>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b w:val="1"/>
                <w:bCs w:val="1"/>
                <w:color w:val="auto"/>
              </w:rPr>
              <w:t>309,141</w:t>
            </w:r>
          </w:p>
        </w:tc>
        <w:tc>
          <w:tcPr>
            <w:tcW w:w="80" w:type="dxa"/>
            <w:vAlign w:val="bottom"/>
          </w:tcPr>
          <w:p>
            <w:pPr>
              <w:spacing w:after="0"/>
              <w:rPr>
                <w:sz w:val="10"/>
                <w:szCs w:val="10"/>
                <w:color w:val="auto"/>
              </w:rPr>
            </w:pPr>
          </w:p>
        </w:tc>
        <w:tc>
          <w:tcPr>
            <w:tcW w:w="380" w:type="dxa"/>
            <w:vAlign w:val="bottom"/>
            <w:tcBorders>
              <w:top w:val="single" w:sz="8" w:color="auto"/>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b w:val="1"/>
                <w:bCs w:val="1"/>
                <w:color w:val="auto"/>
              </w:rPr>
              <w:t>237,280</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Borders>
              <w:top w:val="single" w:sz="8" w:color="auto"/>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b w:val="1"/>
                <w:bCs w:val="1"/>
                <w:color w:val="auto"/>
              </w:rPr>
              <w:t>52,094</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b w:val="1"/>
                <w:bCs w:val="1"/>
                <w:color w:val="auto"/>
              </w:rPr>
              <w:t>(399,426)</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b w:val="1"/>
                <w:bCs w:val="1"/>
                <w:color w:val="auto"/>
              </w:rPr>
              <w:t>535,434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Short-term bank loans</w:t>
            </w:r>
          </w:p>
        </w:tc>
        <w:tc>
          <w:tcPr>
            <w:tcW w:w="3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10,000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5,000</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15,000</w:t>
            </w:r>
          </w:p>
        </w:tc>
        <w:tc>
          <w:tcPr>
            <w:tcW w:w="100" w:type="dxa"/>
            <w:vAlign w:val="bottom"/>
            <w:shd w:val="clear" w:color="auto" w:fill="CCEEFF"/>
          </w:tcPr>
          <w:p>
            <w:pPr>
              <w:spacing w:after="0"/>
              <w:rPr>
                <w:sz w:val="10"/>
                <w:szCs w:val="10"/>
                <w:color w:val="auto"/>
              </w:rPr>
            </w:pPr>
          </w:p>
        </w:tc>
        <w:tc>
          <w:tcPr>
            <w:tcW w:w="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10,000</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10,000</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040" w:type="dxa"/>
            <w:vAlign w:val="bottom"/>
          </w:tcPr>
          <w:p>
            <w:pPr>
              <w:spacing w:after="0" w:line="91" w:lineRule="exact"/>
              <w:rPr>
                <w:sz w:val="20"/>
                <w:szCs w:val="20"/>
                <w:color w:val="auto"/>
              </w:rPr>
            </w:pPr>
            <w:r>
              <w:rPr>
                <w:rFonts w:ascii="Times New Roman" w:cs="Times New Roman" w:eastAsia="Times New Roman" w:hAnsi="Times New Roman"/>
                <w:sz w:val="10"/>
                <w:szCs w:val="10"/>
                <w:color w:val="auto"/>
              </w:rPr>
              <w:t>Amounts due to</w:t>
            </w: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040" w:type="dxa"/>
            <w:vAlign w:val="bottom"/>
          </w:tcPr>
          <w:p>
            <w:pPr>
              <w:ind w:left="100"/>
              <w:spacing w:after="0" w:line="107" w:lineRule="exact"/>
              <w:rPr>
                <w:sz w:val="20"/>
                <w:szCs w:val="20"/>
                <w:color w:val="auto"/>
              </w:rPr>
            </w:pPr>
            <w:r>
              <w:rPr>
                <w:rFonts w:ascii="Times New Roman" w:cs="Times New Roman" w:eastAsia="Times New Roman" w:hAnsi="Times New Roman"/>
                <w:sz w:val="10"/>
                <w:szCs w:val="10"/>
                <w:color w:val="auto"/>
              </w:rPr>
              <w:t>subsidiaries and</w:t>
            </w:r>
          </w:p>
        </w:tc>
        <w:tc>
          <w:tcPr>
            <w:tcW w:w="36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13,978</w:t>
            </w: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63,796</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58,801</w:t>
            </w:r>
          </w:p>
        </w:tc>
        <w:tc>
          <w:tcPr>
            <w:tcW w:w="60" w:type="dxa"/>
            <w:vAlign w:val="bottom"/>
          </w:tcPr>
          <w:p>
            <w:pPr>
              <w:spacing w:after="0"/>
              <w:rPr>
                <w:sz w:val="9"/>
                <w:szCs w:val="9"/>
                <w:color w:val="auto"/>
              </w:rPr>
            </w:pPr>
          </w:p>
        </w:tc>
        <w:tc>
          <w:tcPr>
            <w:tcW w:w="6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0"/>
                <w:szCs w:val="10"/>
                <w:color w:val="auto"/>
              </w:rPr>
              <w:t>(136,575)</w:t>
            </w:r>
          </w:p>
        </w:tc>
        <w:tc>
          <w:tcPr>
            <w:tcW w:w="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4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10,419</w:t>
            </w: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78,289</w:t>
            </w:r>
          </w:p>
        </w:tc>
        <w:tc>
          <w:tcPr>
            <w:tcW w:w="60" w:type="dxa"/>
            <w:vAlign w:val="bottom"/>
          </w:tcPr>
          <w:p>
            <w:pPr>
              <w:spacing w:after="0"/>
              <w:rPr>
                <w:sz w:val="9"/>
                <w:szCs w:val="9"/>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45,991</w:t>
            </w:r>
          </w:p>
        </w:tc>
        <w:tc>
          <w:tcPr>
            <w:tcW w:w="80" w:type="dxa"/>
            <w:vAlign w:val="bottom"/>
          </w:tcPr>
          <w:p>
            <w:pPr>
              <w:spacing w:after="0"/>
              <w:rPr>
                <w:sz w:val="9"/>
                <w:szCs w:val="9"/>
                <w:color w:val="auto"/>
              </w:rPr>
            </w:pPr>
          </w:p>
        </w:tc>
        <w:tc>
          <w:tcPr>
            <w:tcW w:w="6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0"/>
                <w:szCs w:val="10"/>
                <w:color w:val="auto"/>
              </w:rPr>
              <w:t>(134,699)</w:t>
            </w:r>
          </w:p>
        </w:tc>
        <w:tc>
          <w:tcPr>
            <w:tcW w:w="40" w:type="dxa"/>
            <w:vAlign w:val="bottom"/>
          </w:tcPr>
          <w:p>
            <w:pPr>
              <w:spacing w:after="0"/>
              <w:rPr>
                <w:sz w:val="9"/>
                <w:szCs w:val="9"/>
                <w:color w:val="auto"/>
              </w:rPr>
            </w:pPr>
          </w:p>
        </w:tc>
        <w:tc>
          <w:tcPr>
            <w:tcW w:w="6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4"/>
        </w:trPr>
        <w:tc>
          <w:tcPr>
            <w:tcW w:w="10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VIEs</w:t>
            </w:r>
            <w:r>
              <w:rPr>
                <w:rFonts w:ascii="Times New Roman" w:cs="Times New Roman" w:eastAsia="Times New Roman" w:hAnsi="Times New Roman"/>
                <w:sz w:val="7"/>
                <w:szCs w:val="7"/>
                <w:color w:val="auto"/>
              </w:rPr>
              <w:t>(3)</w:t>
            </w:r>
          </w:p>
        </w:tc>
        <w:tc>
          <w:tcPr>
            <w:tcW w:w="36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2"/>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4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0"/>
                <w:szCs w:val="10"/>
                <w:color w:val="auto"/>
              </w:rPr>
              <w:t>Accounts payables</w:t>
            </w:r>
          </w:p>
        </w:tc>
        <w:tc>
          <w:tcPr>
            <w:tcW w:w="360" w:type="dxa"/>
            <w:vAlign w:val="bottom"/>
            <w:shd w:val="clear" w:color="auto" w:fill="CCEEFF"/>
          </w:tcPr>
          <w:p>
            <w:pPr>
              <w:jc w:val="right"/>
              <w:ind w:right="8"/>
              <w:spacing w:after="0" w:line="107"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jc w:val="right"/>
              <w:ind w:right="8"/>
              <w:spacing w:after="0" w:line="107"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46,895</w:t>
            </w:r>
          </w:p>
        </w:tc>
        <w:tc>
          <w:tcPr>
            <w:tcW w:w="60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6,252</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68"/>
              <w:spacing w:after="0" w:line="107"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53,147</w:t>
            </w: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ind w:left="200"/>
              <w:spacing w:after="0" w:line="107"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8"/>
              <w:spacing w:after="0" w:line="107"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42,535</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3,025</w:t>
            </w: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20"/>
              <w:spacing w:after="0" w:line="107"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45,560</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040" w:type="dxa"/>
            <w:vAlign w:val="bottom"/>
          </w:tcPr>
          <w:p>
            <w:pPr>
              <w:spacing w:after="0" w:line="91" w:lineRule="exact"/>
              <w:rPr>
                <w:sz w:val="20"/>
                <w:szCs w:val="20"/>
                <w:color w:val="auto"/>
              </w:rPr>
            </w:pPr>
            <w:r>
              <w:rPr>
                <w:rFonts w:ascii="Times New Roman" w:cs="Times New Roman" w:eastAsia="Times New Roman" w:hAnsi="Times New Roman"/>
                <w:sz w:val="10"/>
                <w:szCs w:val="10"/>
                <w:color w:val="auto"/>
              </w:rPr>
              <w:t>Accrued expenses and</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2,814</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467</w:t>
            </w: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62,902</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15,395</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81,578</w:t>
            </w: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3,744</w:t>
            </w:r>
          </w:p>
        </w:tc>
        <w:tc>
          <w:tcPr>
            <w:tcW w:w="80" w:type="dxa"/>
            <w:vAlign w:val="bottom"/>
          </w:tcPr>
          <w:p>
            <w:pPr>
              <w:spacing w:after="0"/>
              <w:rPr>
                <w:sz w:val="7"/>
                <w:szCs w:val="7"/>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1,040</w:t>
            </w: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39,014</w:t>
            </w:r>
          </w:p>
        </w:tc>
        <w:tc>
          <w:tcPr>
            <w:tcW w:w="60" w:type="dxa"/>
            <w:vAlign w:val="bottom"/>
          </w:tcPr>
          <w:p>
            <w:pPr>
              <w:spacing w:after="0"/>
              <w:rPr>
                <w:sz w:val="7"/>
                <w:szCs w:val="7"/>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18,053</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61,851</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10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other liabilities</w:t>
            </w:r>
          </w:p>
        </w:tc>
        <w:tc>
          <w:tcPr>
            <w:tcW w:w="36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4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0"/>
                <w:szCs w:val="10"/>
                <w:color w:val="auto"/>
              </w:rPr>
              <w:t>Contract liabilities</w:t>
            </w:r>
          </w:p>
        </w:tc>
        <w:tc>
          <w:tcPr>
            <w:tcW w:w="360" w:type="dxa"/>
            <w:vAlign w:val="bottom"/>
            <w:shd w:val="clear" w:color="auto" w:fill="CCEEFF"/>
          </w:tcPr>
          <w:p>
            <w:pPr>
              <w:jc w:val="right"/>
              <w:ind w:right="8"/>
              <w:spacing w:after="0" w:line="107"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jc w:val="right"/>
              <w:ind w:right="8"/>
              <w:spacing w:after="0" w:line="107"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5,878</w:t>
            </w:r>
          </w:p>
        </w:tc>
        <w:tc>
          <w:tcPr>
            <w:tcW w:w="60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1,614</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68"/>
              <w:spacing w:after="0" w:line="107"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7,492</w:t>
            </w: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ind w:left="200"/>
              <w:spacing w:after="0" w:line="107"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906</w:t>
            </w:r>
          </w:p>
        </w:tc>
        <w:tc>
          <w:tcPr>
            <w:tcW w:w="46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12,248</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1,677</w:t>
            </w: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20"/>
              <w:spacing w:after="0" w:line="107"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14,831</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4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Long-term loans</w:t>
            </w:r>
          </w:p>
        </w:tc>
        <w:tc>
          <w:tcPr>
            <w:tcW w:w="360" w:type="dxa"/>
            <w:vAlign w:val="bottom"/>
          </w:tcPr>
          <w:p>
            <w:pPr>
              <w:jc w:val="right"/>
              <w:ind w:right="8"/>
              <w:spacing w:after="0" w:line="107"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40" w:type="dxa"/>
            <w:vAlign w:val="bottom"/>
          </w:tcPr>
          <w:p>
            <w:pPr>
              <w:jc w:val="right"/>
              <w:ind w:right="8"/>
              <w:spacing w:after="0" w:line="107"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380" w:type="dxa"/>
            <w:vAlign w:val="bottom"/>
          </w:tcPr>
          <w:p>
            <w:pPr>
              <w:jc w:val="right"/>
              <w:ind w:right="8"/>
              <w:spacing w:after="0" w:line="107"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80" w:type="dxa"/>
            <w:vAlign w:val="bottom"/>
            <w:gridSpan w:val="2"/>
          </w:tcPr>
          <w:p>
            <w:pPr>
              <w:jc w:val="right"/>
              <w:ind w:right="120"/>
              <w:spacing w:after="0" w:line="107"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9"/>
                <w:szCs w:val="9"/>
                <w:color w:val="auto"/>
              </w:rPr>
            </w:pPr>
          </w:p>
        </w:tc>
        <w:tc>
          <w:tcPr>
            <w:tcW w:w="600" w:type="dxa"/>
            <w:vAlign w:val="bottom"/>
            <w:gridSpan w:val="2"/>
          </w:tcPr>
          <w:p>
            <w:pPr>
              <w:jc w:val="right"/>
              <w:ind w:right="68"/>
              <w:spacing w:after="0" w:line="107"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9"/>
                <w:szCs w:val="9"/>
                <w:color w:val="auto"/>
              </w:rPr>
            </w:pPr>
          </w:p>
        </w:tc>
        <w:tc>
          <w:tcPr>
            <w:tcW w:w="58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440" w:type="dxa"/>
            <w:vAlign w:val="bottom"/>
            <w:gridSpan w:val="2"/>
          </w:tcPr>
          <w:p>
            <w:pPr>
              <w:ind w:left="200"/>
              <w:spacing w:after="0" w:line="107"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520" w:type="dxa"/>
            <w:vAlign w:val="bottom"/>
          </w:tcPr>
          <w:p>
            <w:pPr>
              <w:jc w:val="right"/>
              <w:ind w:right="8"/>
              <w:spacing w:after="0" w:line="107"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8,000</w:t>
            </w:r>
          </w:p>
        </w:tc>
        <w:tc>
          <w:tcPr>
            <w:tcW w:w="60" w:type="dxa"/>
            <w:vAlign w:val="bottom"/>
          </w:tcPr>
          <w:p>
            <w:pPr>
              <w:spacing w:after="0"/>
              <w:rPr>
                <w:sz w:val="9"/>
                <w:szCs w:val="9"/>
                <w:color w:val="auto"/>
              </w:rPr>
            </w:pPr>
          </w:p>
        </w:tc>
        <w:tc>
          <w:tcPr>
            <w:tcW w:w="56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9,000</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gridSpan w:val="2"/>
          </w:tcPr>
          <w:p>
            <w:pPr>
              <w:jc w:val="right"/>
              <w:ind w:right="120"/>
              <w:spacing w:after="0" w:line="107"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17,000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040" w:type="dxa"/>
            <w:vAlign w:val="bottom"/>
            <w:shd w:val="clear" w:color="auto" w:fill="CCEEFF"/>
          </w:tcPr>
          <w:p>
            <w:pPr>
              <w:spacing w:after="0" w:line="91" w:lineRule="exact"/>
              <w:rPr>
                <w:sz w:val="20"/>
                <w:szCs w:val="20"/>
                <w:color w:val="auto"/>
              </w:rPr>
            </w:pPr>
            <w:r>
              <w:rPr>
                <w:rFonts w:ascii="Times New Roman" w:cs="Times New Roman" w:eastAsia="Times New Roman" w:hAnsi="Times New Roman"/>
                <w:sz w:val="10"/>
                <w:szCs w:val="10"/>
                <w:color w:val="auto"/>
              </w:rPr>
              <w:t>Deficit in subsidiaries</w:t>
            </w:r>
          </w:p>
        </w:tc>
        <w:tc>
          <w:tcPr>
            <w:tcW w:w="3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7"/>
                <w:szCs w:val="7"/>
                <w:color w:val="auto"/>
              </w:rPr>
            </w:pPr>
          </w:p>
        </w:tc>
        <w:tc>
          <w:tcPr>
            <w:tcW w:w="5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18,385</w:t>
            </w:r>
          </w:p>
        </w:tc>
        <w:tc>
          <w:tcPr>
            <w:tcW w:w="80" w:type="dxa"/>
            <w:vAlign w:val="bottom"/>
            <w:shd w:val="clear" w:color="auto" w:fill="CCEEFF"/>
          </w:tcPr>
          <w:p>
            <w:pPr>
              <w:spacing w:after="0"/>
              <w:rPr>
                <w:sz w:val="7"/>
                <w:szCs w:val="7"/>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(18,385)</w:t>
            </w:r>
          </w:p>
        </w:tc>
        <w:tc>
          <w:tcPr>
            <w:tcW w:w="40" w:type="dxa"/>
            <w:vAlign w:val="bottom"/>
            <w:shd w:val="clear" w:color="auto" w:fill="CCEEFF"/>
          </w:tcPr>
          <w:p>
            <w:pPr>
              <w:spacing w:after="0"/>
              <w:rPr>
                <w:sz w:val="7"/>
                <w:szCs w:val="7"/>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7"/>
                <w:szCs w:val="7"/>
                <w:color w:val="auto"/>
              </w:rPr>
            </w:pPr>
          </w:p>
        </w:tc>
        <w:tc>
          <w:tcPr>
            <w:tcW w:w="44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25,172</w:t>
            </w:r>
          </w:p>
        </w:tc>
        <w:tc>
          <w:tcPr>
            <w:tcW w:w="4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27,115</w:t>
            </w: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(52,287)</w:t>
            </w:r>
          </w:p>
        </w:tc>
        <w:tc>
          <w:tcPr>
            <w:tcW w:w="40" w:type="dxa"/>
            <w:vAlign w:val="bottom"/>
            <w:shd w:val="clear" w:color="auto" w:fill="CCEEFF"/>
          </w:tcPr>
          <w:p>
            <w:pPr>
              <w:spacing w:after="0"/>
              <w:rPr>
                <w:sz w:val="7"/>
                <w:szCs w:val="7"/>
                <w:color w:val="auto"/>
              </w:rPr>
            </w:pPr>
          </w:p>
        </w:tc>
        <w:tc>
          <w:tcPr>
            <w:tcW w:w="6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4"/>
        </w:trPr>
        <w:tc>
          <w:tcPr>
            <w:tcW w:w="1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and VIEs</w:t>
            </w:r>
            <w:r>
              <w:rPr>
                <w:rFonts w:ascii="Times New Roman" w:cs="Times New Roman" w:eastAsia="Times New Roman" w:hAnsi="Times New Roman"/>
                <w:sz w:val="4"/>
                <w:szCs w:val="4"/>
                <w:color w:val="auto"/>
              </w:rPr>
              <w:t>(2)</w:t>
            </w:r>
          </w:p>
        </w:tc>
        <w:tc>
          <w:tcPr>
            <w:tcW w:w="3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continue"/>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vMerge w:val="continue"/>
            <w:shd w:val="clear" w:color="auto" w:fill="CCEEFF"/>
          </w:tcPr>
          <w:p>
            <w:pPr>
              <w:spacing w:after="0"/>
              <w:rPr>
                <w:sz w:val="10"/>
                <w:szCs w:val="10"/>
                <w:color w:val="auto"/>
              </w:rPr>
            </w:pPr>
          </w:p>
        </w:tc>
        <w:tc>
          <w:tcPr>
            <w:tcW w:w="640" w:type="dxa"/>
            <w:vAlign w:val="bottom"/>
            <w:gridSpan w:val="3"/>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gridSpan w:val="2"/>
            <w:vMerge w:val="continue"/>
            <w:shd w:val="clear" w:color="auto" w:fill="CCEEFF"/>
          </w:tcPr>
          <w:p>
            <w:pPr>
              <w:spacing w:after="0"/>
              <w:rPr>
                <w:sz w:val="10"/>
                <w:szCs w:val="10"/>
                <w:color w:val="auto"/>
              </w:rPr>
            </w:pPr>
          </w:p>
        </w:tc>
        <w:tc>
          <w:tcPr>
            <w:tcW w:w="540" w:type="dxa"/>
            <w:vAlign w:val="bottom"/>
            <w:gridSpan w:val="2"/>
            <w:vMerge w:val="continue"/>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640" w:type="dxa"/>
            <w:vAlign w:val="bottom"/>
            <w:gridSpan w:val="3"/>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4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Others</w:t>
            </w:r>
          </w:p>
        </w:tc>
        <w:tc>
          <w:tcPr>
            <w:tcW w:w="360" w:type="dxa"/>
            <w:vAlign w:val="bottom"/>
            <w:tcBorders>
              <w:bottom w:val="single" w:sz="8" w:color="auto"/>
            </w:tcBorders>
          </w:tcPr>
          <w:p>
            <w:pPr>
              <w:jc w:val="right"/>
              <w:ind w:right="8"/>
              <w:spacing w:after="0" w:line="107"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4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8,904</w:t>
            </w:r>
          </w:p>
        </w:tc>
        <w:tc>
          <w:tcPr>
            <w:tcW w:w="80" w:type="dxa"/>
            <w:vAlign w:val="bottom"/>
          </w:tcPr>
          <w:p>
            <w:pPr>
              <w:spacing w:after="0"/>
              <w:rPr>
                <w:sz w:val="9"/>
                <w:szCs w:val="9"/>
                <w:color w:val="auto"/>
              </w:rPr>
            </w:pPr>
          </w:p>
        </w:tc>
        <w:tc>
          <w:tcPr>
            <w:tcW w:w="38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40,140</w:t>
            </w:r>
          </w:p>
        </w:tc>
        <w:tc>
          <w:tcPr>
            <w:tcW w:w="80" w:type="dxa"/>
            <w:vAlign w:val="bottom"/>
          </w:tcPr>
          <w:p>
            <w:pPr>
              <w:spacing w:after="0"/>
              <w:rPr>
                <w:sz w:val="9"/>
                <w:szCs w:val="9"/>
                <w:color w:val="auto"/>
              </w:rPr>
            </w:pPr>
          </w:p>
        </w:tc>
        <w:tc>
          <w:tcPr>
            <w:tcW w:w="52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588</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Borders>
              <w:bottom w:val="single" w:sz="8" w:color="auto"/>
            </w:tcBorders>
          </w:tcPr>
          <w:p>
            <w:pPr>
              <w:jc w:val="right"/>
              <w:ind w:right="8"/>
              <w:spacing w:after="0" w:line="107"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49,632</w:t>
            </w:r>
          </w:p>
        </w:tc>
        <w:tc>
          <w:tcPr>
            <w:tcW w:w="100" w:type="dxa"/>
            <w:vAlign w:val="bottom"/>
          </w:tcPr>
          <w:p>
            <w:pPr>
              <w:spacing w:after="0"/>
              <w:rPr>
                <w:sz w:val="9"/>
                <w:szCs w:val="9"/>
                <w:color w:val="auto"/>
              </w:rPr>
            </w:pPr>
          </w:p>
        </w:tc>
        <w:tc>
          <w:tcPr>
            <w:tcW w:w="360" w:type="dxa"/>
            <w:vAlign w:val="bottom"/>
            <w:tcBorders>
              <w:bottom w:val="single" w:sz="8" w:color="auto"/>
            </w:tcBorders>
          </w:tcPr>
          <w:p>
            <w:pPr>
              <w:ind w:left="200"/>
              <w:spacing w:after="0" w:line="107"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8,498</w:t>
            </w:r>
          </w:p>
        </w:tc>
        <w:tc>
          <w:tcPr>
            <w:tcW w:w="80" w:type="dxa"/>
            <w:vAlign w:val="bottom"/>
          </w:tcPr>
          <w:p>
            <w:pPr>
              <w:spacing w:after="0"/>
              <w:rPr>
                <w:sz w:val="9"/>
                <w:szCs w:val="9"/>
                <w:color w:val="auto"/>
              </w:rPr>
            </w:pPr>
          </w:p>
        </w:tc>
        <w:tc>
          <w:tcPr>
            <w:tcW w:w="38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42,060</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1,588</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Borders>
              <w:bottom w:val="single" w:sz="8" w:color="auto"/>
            </w:tcBorders>
          </w:tcPr>
          <w:p>
            <w:pPr>
              <w:jc w:val="right"/>
              <w:ind w:right="8"/>
              <w:spacing w:after="0" w:line="107"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52,146</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04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0"/>
                <w:szCs w:val="10"/>
                <w:b w:val="1"/>
                <w:bCs w:val="1"/>
                <w:color w:val="auto"/>
              </w:rPr>
              <w:t>Total liabilities</w:t>
            </w:r>
          </w:p>
        </w:tc>
        <w:tc>
          <w:tcPr>
            <w:tcW w:w="36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b w:val="1"/>
                <w:bCs w:val="1"/>
                <w:color w:val="auto"/>
              </w:rPr>
              <w:t>2,814</w:t>
            </w: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b w:val="1"/>
                <w:bCs w:val="1"/>
                <w:color w:val="auto"/>
              </w:rPr>
              <w:t>23,349</w:t>
            </w: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b w:val="1"/>
                <w:bCs w:val="1"/>
                <w:color w:val="auto"/>
              </w:rPr>
              <w:t>247,996</w:t>
            </w: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b w:val="1"/>
                <w:bCs w:val="1"/>
                <w:color w:val="auto"/>
              </w:rPr>
              <w:t>87,650</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b w:val="1"/>
                <w:bCs w:val="1"/>
                <w:color w:val="auto"/>
              </w:rPr>
              <w:t>(154,960)</w:t>
            </w:r>
          </w:p>
        </w:tc>
        <w:tc>
          <w:tcPr>
            <w:tcW w:w="6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b w:val="1"/>
                <w:bCs w:val="1"/>
                <w:color w:val="auto"/>
              </w:rPr>
              <w:t>206,849</w:t>
            </w:r>
          </w:p>
        </w:tc>
        <w:tc>
          <w:tcPr>
            <w:tcW w:w="46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b w:val="1"/>
                <w:bCs w:val="1"/>
                <w:color w:val="auto"/>
              </w:rPr>
              <w:t>3,744</w:t>
            </w: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b w:val="1"/>
                <w:bCs w:val="1"/>
                <w:color w:val="auto"/>
              </w:rPr>
              <w:t>46,035</w:t>
            </w:r>
          </w:p>
        </w:tc>
        <w:tc>
          <w:tcPr>
            <w:tcW w:w="46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b w:val="1"/>
                <w:bCs w:val="1"/>
                <w:color w:val="auto"/>
              </w:rPr>
              <w:t>259,261</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b w:val="1"/>
                <w:bCs w:val="1"/>
                <w:color w:val="auto"/>
              </w:rPr>
              <w:t>79,334</w:t>
            </w:r>
          </w:p>
        </w:tc>
        <w:tc>
          <w:tcPr>
            <w:tcW w:w="80" w:type="dxa"/>
            <w:vAlign w:val="bottom"/>
            <w:shd w:val="clear" w:color="auto" w:fill="CCEEFF"/>
          </w:tcPr>
          <w:p>
            <w:pPr>
              <w:spacing w:after="0"/>
              <w:rPr>
                <w:sz w:val="9"/>
                <w:szCs w:val="9"/>
                <w:color w:val="auto"/>
              </w:rPr>
            </w:pPr>
          </w:p>
        </w:tc>
        <w:tc>
          <w:tcPr>
            <w:tcW w:w="640" w:type="dxa"/>
            <w:vAlign w:val="bottom"/>
            <w:gridSpan w:val="3"/>
            <w:shd w:val="clear" w:color="auto" w:fill="CCEEFF"/>
          </w:tcPr>
          <w:p>
            <w:pPr>
              <w:jc w:val="right"/>
              <w:ind w:right="40"/>
              <w:spacing w:after="0" w:line="107" w:lineRule="exact"/>
              <w:rPr>
                <w:sz w:val="20"/>
                <w:szCs w:val="20"/>
                <w:color w:val="auto"/>
              </w:rPr>
            </w:pPr>
            <w:r>
              <w:rPr>
                <w:rFonts w:ascii="Times New Roman" w:cs="Times New Roman" w:eastAsia="Times New Roman" w:hAnsi="Times New Roman"/>
                <w:sz w:val="10"/>
                <w:szCs w:val="10"/>
                <w:b w:val="1"/>
                <w:bCs w:val="1"/>
                <w:color w:val="auto"/>
              </w:rPr>
              <w:t>(186,986)</w:t>
            </w:r>
          </w:p>
        </w:tc>
        <w:tc>
          <w:tcPr>
            <w:tcW w:w="6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b w:val="1"/>
                <w:bCs w:val="1"/>
                <w:color w:val="auto"/>
              </w:rPr>
              <w:t>201,388</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10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Total shareholders’</w:t>
            </w: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1040" w:type="dxa"/>
            <w:vAlign w:val="bottom"/>
            <w:vMerge w:val="continue"/>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276,318</w:t>
            </w:r>
          </w:p>
        </w:tc>
        <w:tc>
          <w:tcPr>
            <w:tcW w:w="80" w:type="dxa"/>
            <w:vAlign w:val="bottom"/>
            <w:vMerge w:val="restart"/>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268,260</w:t>
            </w:r>
          </w:p>
        </w:tc>
        <w:tc>
          <w:tcPr>
            <w:tcW w:w="80" w:type="dxa"/>
            <w:vAlign w:val="bottom"/>
            <w:vMerge w:val="restart"/>
          </w:tcPr>
          <w:p>
            <w:pPr>
              <w:spacing w:after="0"/>
              <w:rPr>
                <w:sz w:val="8"/>
                <w:szCs w:val="8"/>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54,830</w:t>
            </w:r>
          </w:p>
        </w:tc>
        <w:tc>
          <w:tcPr>
            <w:tcW w:w="80" w:type="dxa"/>
            <w:vAlign w:val="bottom"/>
            <w:vMerge w:val="restart"/>
          </w:tcPr>
          <w:p>
            <w:pPr>
              <w:spacing w:after="0"/>
              <w:rPr>
                <w:sz w:val="8"/>
                <w:szCs w:val="8"/>
                <w:color w:val="auto"/>
              </w:rPr>
            </w:pP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(18,706)</w:t>
            </w:r>
          </w:p>
        </w:tc>
        <w:tc>
          <w:tcPr>
            <w:tcW w:w="6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(303,002)</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277,700</w:t>
            </w: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332,601</w:t>
            </w:r>
          </w:p>
        </w:tc>
        <w:tc>
          <w:tcPr>
            <w:tcW w:w="80" w:type="dxa"/>
            <w:vAlign w:val="bottom"/>
          </w:tcPr>
          <w:p>
            <w:pPr>
              <w:spacing w:after="0"/>
              <w:rPr>
                <w:sz w:val="8"/>
                <w:szCs w:val="8"/>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263,106</w:t>
            </w:r>
          </w:p>
        </w:tc>
        <w:tc>
          <w:tcPr>
            <w:tcW w:w="5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(21,981)</w:t>
            </w:r>
          </w:p>
        </w:tc>
        <w:tc>
          <w:tcPr>
            <w:tcW w:w="6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(27,240)</w:t>
            </w:r>
          </w:p>
        </w:tc>
        <w:tc>
          <w:tcPr>
            <w:tcW w:w="6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(212,440)</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334,046</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04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equity</w:t>
            </w:r>
            <w:r>
              <w:rPr>
                <w:rFonts w:ascii="Times New Roman" w:cs="Times New Roman" w:eastAsia="Times New Roman" w:hAnsi="Times New Roman"/>
                <w:sz w:val="7"/>
                <w:szCs w:val="7"/>
                <w:b w:val="1"/>
                <w:bCs w:val="1"/>
                <w:color w:val="auto"/>
              </w:rPr>
              <w:t>(2)</w:t>
            </w:r>
          </w:p>
        </w:tc>
        <w:tc>
          <w:tcPr>
            <w:tcW w:w="36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520" w:type="dxa"/>
            <w:vAlign w:val="bottom"/>
            <w:gridSpan w:val="3"/>
            <w:vMerge w:val="continue"/>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0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10159"/>
          </w:cols>
          <w:pgMar w:left="300" w:top="388"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Selected Condensed Consolidated Cash Flows Data</w:t>
      </w:r>
    </w:p>
    <w:p>
      <w:pPr>
        <w:spacing w:after="0" w:line="181" w:lineRule="exact"/>
        <w:rPr>
          <w:sz w:val="20"/>
          <w:szCs w:val="20"/>
          <w:color w:val="auto"/>
        </w:rPr>
      </w:pPr>
    </w:p>
    <w:tbl>
      <w:tblPr>
        <w:tblLayout w:type="fixed"/>
        <w:tblInd w:w="1680" w:type="dxa"/>
        <w:tblCellMar>
          <w:top w:w="0" w:type="dxa"/>
          <w:left w:w="0" w:type="dxa"/>
          <w:bottom w:w="0" w:type="dxa"/>
          <w:right w:w="0" w:type="dxa"/>
        </w:tblCellMar>
      </w:tblPr>
      <w:tr>
        <w:trPr>
          <w:trHeight w:val="124"/>
        </w:trPr>
        <w:tc>
          <w:tcPr>
            <w:tcW w:w="64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gridSpan w:val="9"/>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For the year ended December 31,</w:t>
            </w:r>
          </w:p>
        </w:tc>
        <w:tc>
          <w:tcPr>
            <w:tcW w:w="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gridSpan w:val="2"/>
          </w:tcPr>
          <w:p>
            <w:pPr>
              <w:jc w:val="right"/>
              <w:ind w:right="248"/>
              <w:spacing w:after="0" w:line="80" w:lineRule="exact"/>
              <w:rPr>
                <w:sz w:val="20"/>
                <w:szCs w:val="20"/>
                <w:color w:val="auto"/>
              </w:rPr>
            </w:pPr>
            <w:r>
              <w:rPr>
                <w:rFonts w:ascii="Times New Roman" w:cs="Times New Roman" w:eastAsia="Times New Roman" w:hAnsi="Times New Roman"/>
                <w:sz w:val="9"/>
                <w:szCs w:val="9"/>
                <w:b w:val="1"/>
                <w:bCs w:val="1"/>
                <w:color w:val="auto"/>
              </w:rPr>
              <w:t>2019</w:t>
            </w: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gridSpan w:val="2"/>
          </w:tcPr>
          <w:p>
            <w:pPr>
              <w:jc w:val="right"/>
              <w:ind w:right="228"/>
              <w:spacing w:after="0" w:line="80" w:lineRule="exact"/>
              <w:rPr>
                <w:sz w:val="20"/>
                <w:szCs w:val="20"/>
                <w:color w:val="auto"/>
              </w:rPr>
            </w:pPr>
            <w:r>
              <w:rPr>
                <w:rFonts w:ascii="Times New Roman" w:cs="Times New Roman" w:eastAsia="Times New Roman" w:hAnsi="Times New Roman"/>
                <w:sz w:val="9"/>
                <w:szCs w:val="9"/>
                <w:b w:val="1"/>
                <w:bCs w:val="1"/>
                <w:color w:val="auto"/>
              </w:rPr>
              <w:t>2020</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gridSpan w:val="2"/>
          </w:tcPr>
          <w:p>
            <w:pPr>
              <w:jc w:val="right"/>
              <w:ind w:right="88"/>
              <w:spacing w:after="0" w:line="80" w:lineRule="exact"/>
              <w:rPr>
                <w:sz w:val="20"/>
                <w:szCs w:val="20"/>
                <w:color w:val="auto"/>
              </w:rPr>
            </w:pPr>
            <w:r>
              <w:rPr>
                <w:rFonts w:ascii="Times New Roman" w:cs="Times New Roman" w:eastAsia="Times New Roman" w:hAnsi="Times New Roman"/>
                <w:sz w:val="9"/>
                <w:szCs w:val="9"/>
                <w:b w:val="1"/>
                <w:bCs w:val="1"/>
                <w:color w:val="auto"/>
              </w:rPr>
              <w:t>2021</w:t>
            </w:r>
          </w:p>
        </w:tc>
        <w:tc>
          <w:tcPr>
            <w:tcW w:w="0" w:type="dxa"/>
            <w:vAlign w:val="bottom"/>
          </w:tcPr>
          <w:p>
            <w:pPr>
              <w:spacing w:after="0"/>
              <w:rPr>
                <w:sz w:val="1"/>
                <w:szCs w:val="1"/>
                <w:color w:val="auto"/>
              </w:rPr>
            </w:pPr>
          </w:p>
        </w:tc>
      </w:tr>
      <w:tr>
        <w:trPr>
          <w:trHeight w:val="107"/>
        </w:trPr>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gridSpan w:val="2"/>
          </w:tcPr>
          <w:p>
            <w:pPr>
              <w:jc w:val="center"/>
              <w:ind w:right="80"/>
              <w:spacing w:after="0" w:line="107" w:lineRule="exact"/>
              <w:rPr>
                <w:sz w:val="20"/>
                <w:szCs w:val="20"/>
                <w:color w:val="auto"/>
              </w:rPr>
            </w:pPr>
            <w:r>
              <w:rPr>
                <w:rFonts w:ascii="Times New Roman" w:cs="Times New Roman" w:eastAsia="Times New Roman" w:hAnsi="Times New Roman"/>
                <w:sz w:val="10"/>
                <w:szCs w:val="10"/>
                <w:b w:val="1"/>
                <w:bCs w:val="1"/>
                <w:color w:val="auto"/>
              </w:rPr>
              <w:t>VIE and</w:t>
            </w:r>
          </w:p>
        </w:tc>
        <w:tc>
          <w:tcPr>
            <w:tcW w:w="40" w:type="dxa"/>
            <w:vAlign w:val="bottom"/>
          </w:tcPr>
          <w:p>
            <w:pPr>
              <w:spacing w:after="0"/>
              <w:rPr>
                <w:sz w:val="9"/>
                <w:szCs w:val="9"/>
                <w:color w:val="auto"/>
              </w:rPr>
            </w:pP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w w:val="98"/>
              </w:rPr>
              <w:t>Eliminating</w:t>
            </w:r>
          </w:p>
        </w:tc>
        <w:tc>
          <w:tcPr>
            <w:tcW w:w="7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Consolidated</w:t>
            </w: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0"/>
                <w:szCs w:val="10"/>
                <w:b w:val="1"/>
                <w:bCs w:val="1"/>
                <w:color w:val="auto"/>
              </w:rPr>
              <w:t>Other</w:t>
            </w: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gridSpan w:val="2"/>
          </w:tcPr>
          <w:p>
            <w:pPr>
              <w:jc w:val="center"/>
              <w:ind w:right="100"/>
              <w:spacing w:after="0" w:line="107" w:lineRule="exact"/>
              <w:rPr>
                <w:sz w:val="20"/>
                <w:szCs w:val="20"/>
                <w:color w:val="auto"/>
              </w:rPr>
            </w:pPr>
            <w:r>
              <w:rPr>
                <w:rFonts w:ascii="Times New Roman" w:cs="Times New Roman" w:eastAsia="Times New Roman" w:hAnsi="Times New Roman"/>
                <w:sz w:val="10"/>
                <w:szCs w:val="10"/>
                <w:b w:val="1"/>
                <w:bCs w:val="1"/>
                <w:color w:val="auto"/>
              </w:rPr>
              <w:t>VIE and</w:t>
            </w:r>
          </w:p>
        </w:tc>
        <w:tc>
          <w:tcPr>
            <w:tcW w:w="20" w:type="dxa"/>
            <w:vAlign w:val="bottom"/>
          </w:tcPr>
          <w:p>
            <w:pPr>
              <w:spacing w:after="0"/>
              <w:rPr>
                <w:sz w:val="9"/>
                <w:szCs w:val="9"/>
                <w:color w:val="auto"/>
              </w:rPr>
            </w:pPr>
          </w:p>
        </w:tc>
        <w:tc>
          <w:tcPr>
            <w:tcW w:w="6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Eliminating</w:t>
            </w:r>
          </w:p>
        </w:tc>
        <w:tc>
          <w:tcPr>
            <w:tcW w:w="7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Consolidated</w:t>
            </w: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b w:val="1"/>
                <w:bCs w:val="1"/>
                <w:color w:val="auto"/>
              </w:rPr>
              <w:t>VIE a</w:t>
            </w:r>
          </w:p>
        </w:tc>
        <w:tc>
          <w:tcPr>
            <w:tcW w:w="0" w:type="dxa"/>
            <w:vAlign w:val="bottom"/>
          </w:tcPr>
          <w:p>
            <w:pPr>
              <w:spacing w:after="0"/>
              <w:rPr>
                <w:sz w:val="1"/>
                <w:szCs w:val="1"/>
                <w:color w:val="auto"/>
              </w:rPr>
            </w:pPr>
          </w:p>
        </w:tc>
      </w:tr>
      <w:tr>
        <w:trPr>
          <w:trHeight w:val="107"/>
        </w:trPr>
        <w:tc>
          <w:tcPr>
            <w:tcW w:w="640" w:type="dxa"/>
            <w:vAlign w:val="bottom"/>
          </w:tcPr>
          <w:p>
            <w:pPr>
              <w:spacing w:after="0"/>
              <w:rPr>
                <w:sz w:val="9"/>
                <w:szCs w:val="9"/>
                <w:color w:val="auto"/>
              </w:rPr>
            </w:pPr>
          </w:p>
        </w:tc>
        <w:tc>
          <w:tcPr>
            <w:tcW w:w="4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Parent</w:t>
            </w:r>
          </w:p>
        </w:tc>
        <w:tc>
          <w:tcPr>
            <w:tcW w:w="2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4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w w:val="98"/>
              </w:rPr>
              <w:t>WFOE</w:t>
            </w:r>
          </w:p>
        </w:tc>
        <w:tc>
          <w:tcPr>
            <w:tcW w:w="40" w:type="dxa"/>
            <w:vAlign w:val="bottom"/>
          </w:tcPr>
          <w:p>
            <w:pPr>
              <w:spacing w:after="0"/>
              <w:rPr>
                <w:sz w:val="9"/>
                <w:szCs w:val="9"/>
                <w:color w:val="auto"/>
              </w:rPr>
            </w:pPr>
          </w:p>
        </w:tc>
        <w:tc>
          <w:tcPr>
            <w:tcW w:w="580" w:type="dxa"/>
            <w:vAlign w:val="bottom"/>
            <w:gridSpan w:val="2"/>
          </w:tcPr>
          <w:p>
            <w:pPr>
              <w:jc w:val="center"/>
              <w:ind w:right="80"/>
              <w:spacing w:after="0" w:line="107" w:lineRule="exact"/>
              <w:rPr>
                <w:sz w:val="20"/>
                <w:szCs w:val="20"/>
                <w:color w:val="auto"/>
              </w:rPr>
            </w:pPr>
            <w:r>
              <w:rPr>
                <w:rFonts w:ascii="Times New Roman" w:cs="Times New Roman" w:eastAsia="Times New Roman" w:hAnsi="Times New Roman"/>
                <w:sz w:val="10"/>
                <w:szCs w:val="10"/>
                <w:b w:val="1"/>
                <w:bCs w:val="1"/>
                <w:color w:val="auto"/>
              </w:rPr>
              <w:t>VIE’s</w:t>
            </w:r>
          </w:p>
        </w:tc>
        <w:tc>
          <w:tcPr>
            <w:tcW w:w="4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4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Parent</w:t>
            </w:r>
          </w:p>
        </w:tc>
        <w:tc>
          <w:tcPr>
            <w:tcW w:w="4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WFOE</w:t>
            </w:r>
          </w:p>
        </w:tc>
        <w:tc>
          <w:tcPr>
            <w:tcW w:w="40" w:type="dxa"/>
            <w:vAlign w:val="bottom"/>
          </w:tcPr>
          <w:p>
            <w:pPr>
              <w:spacing w:after="0"/>
              <w:rPr>
                <w:sz w:val="9"/>
                <w:szCs w:val="9"/>
                <w:color w:val="auto"/>
              </w:rPr>
            </w:pPr>
          </w:p>
        </w:tc>
        <w:tc>
          <w:tcPr>
            <w:tcW w:w="600" w:type="dxa"/>
            <w:vAlign w:val="bottom"/>
            <w:gridSpan w:val="2"/>
          </w:tcPr>
          <w:p>
            <w:pPr>
              <w:jc w:val="center"/>
              <w:ind w:right="100"/>
              <w:spacing w:after="0" w:line="107" w:lineRule="exact"/>
              <w:rPr>
                <w:sz w:val="20"/>
                <w:szCs w:val="20"/>
                <w:color w:val="auto"/>
              </w:rPr>
            </w:pPr>
            <w:r>
              <w:rPr>
                <w:rFonts w:ascii="Times New Roman" w:cs="Times New Roman" w:eastAsia="Times New Roman" w:hAnsi="Times New Roman"/>
                <w:sz w:val="10"/>
                <w:szCs w:val="10"/>
                <w:b w:val="1"/>
                <w:bCs w:val="1"/>
                <w:color w:val="auto"/>
              </w:rPr>
              <w:t>VIE’s</w:t>
            </w:r>
          </w:p>
        </w:tc>
        <w:tc>
          <w:tcPr>
            <w:tcW w:w="2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Parent</w:t>
            </w:r>
          </w:p>
        </w:tc>
        <w:tc>
          <w:tcPr>
            <w:tcW w:w="2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4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WFOE</w:t>
            </w:r>
          </w:p>
        </w:tc>
        <w:tc>
          <w:tcPr>
            <w:tcW w:w="40" w:type="dxa"/>
            <w:vAlign w:val="bottom"/>
          </w:tcPr>
          <w:p>
            <w:pPr>
              <w:spacing w:after="0"/>
              <w:rPr>
                <w:sz w:val="9"/>
                <w:szCs w:val="9"/>
                <w:color w:val="auto"/>
              </w:rPr>
            </w:pPr>
          </w:p>
        </w:tc>
        <w:tc>
          <w:tcPr>
            <w:tcW w:w="34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b w:val="1"/>
                <w:bCs w:val="1"/>
                <w:color w:val="auto"/>
              </w:rPr>
              <w:t>VIE’</w:t>
            </w:r>
          </w:p>
        </w:tc>
        <w:tc>
          <w:tcPr>
            <w:tcW w:w="0" w:type="dxa"/>
            <w:vAlign w:val="bottom"/>
          </w:tcPr>
          <w:p>
            <w:pPr>
              <w:spacing w:after="0"/>
              <w:rPr>
                <w:sz w:val="1"/>
                <w:szCs w:val="1"/>
                <w:color w:val="auto"/>
              </w:rPr>
            </w:pPr>
          </w:p>
        </w:tc>
      </w:tr>
      <w:tr>
        <w:trPr>
          <w:trHeight w:val="124"/>
        </w:trPr>
        <w:tc>
          <w:tcPr>
            <w:tcW w:w="640" w:type="dxa"/>
            <w:vAlign w:val="bottom"/>
          </w:tcPr>
          <w:p>
            <w:pPr>
              <w:spacing w:after="0"/>
              <w:rPr>
                <w:sz w:val="10"/>
                <w:szCs w:val="10"/>
                <w:color w:val="auto"/>
              </w:rPr>
            </w:pPr>
          </w:p>
        </w:tc>
        <w:tc>
          <w:tcPr>
            <w:tcW w:w="480" w:type="dxa"/>
            <w:vAlign w:val="bottom"/>
            <w:tcBorders>
              <w:bottom w:val="single" w:sz="8" w:color="auto"/>
            </w:tcBorders>
            <w:gridSpan w:val="2"/>
            <w:vMerge w:val="continue"/>
          </w:tcPr>
          <w:p>
            <w:pPr>
              <w:spacing w:after="0"/>
              <w:rPr>
                <w:sz w:val="10"/>
                <w:szCs w:val="10"/>
                <w:color w:val="auto"/>
              </w:rPr>
            </w:pPr>
          </w:p>
        </w:tc>
        <w:tc>
          <w:tcPr>
            <w:tcW w:w="6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subsidiaries</w:t>
            </w:r>
          </w:p>
        </w:tc>
        <w:tc>
          <w:tcPr>
            <w:tcW w:w="420" w:type="dxa"/>
            <w:vAlign w:val="bottom"/>
            <w:tcBorders>
              <w:bottom w:val="single" w:sz="8" w:color="auto"/>
            </w:tcBorders>
            <w:gridSpan w:val="2"/>
            <w:vMerge w:val="continue"/>
          </w:tcPr>
          <w:p>
            <w:pPr>
              <w:spacing w:after="0"/>
              <w:rPr>
                <w:sz w:val="10"/>
                <w:szCs w:val="10"/>
                <w:color w:val="auto"/>
              </w:rPr>
            </w:pPr>
          </w:p>
        </w:tc>
        <w:tc>
          <w:tcPr>
            <w:tcW w:w="6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subsidiaries</w:t>
            </w:r>
          </w:p>
        </w:tc>
        <w:tc>
          <w:tcPr>
            <w:tcW w:w="6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adjustments</w:t>
            </w:r>
          </w:p>
        </w:tc>
        <w:tc>
          <w:tcPr>
            <w:tcW w:w="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totals</w:t>
            </w:r>
          </w:p>
        </w:tc>
        <w:tc>
          <w:tcPr>
            <w:tcW w:w="420" w:type="dxa"/>
            <w:vAlign w:val="bottom"/>
            <w:tcBorders>
              <w:bottom w:val="single" w:sz="8" w:color="auto"/>
            </w:tcBorders>
            <w:gridSpan w:val="2"/>
            <w:vMerge w:val="continue"/>
          </w:tcPr>
          <w:p>
            <w:pPr>
              <w:spacing w:after="0"/>
              <w:rPr>
                <w:sz w:val="10"/>
                <w:szCs w:val="10"/>
                <w:color w:val="auto"/>
              </w:rPr>
            </w:pPr>
          </w:p>
        </w:tc>
        <w:tc>
          <w:tcPr>
            <w:tcW w:w="66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rPr>
              <w:t>subsidiaries</w:t>
            </w:r>
          </w:p>
        </w:tc>
        <w:tc>
          <w:tcPr>
            <w:tcW w:w="460" w:type="dxa"/>
            <w:vAlign w:val="bottom"/>
            <w:tcBorders>
              <w:bottom w:val="single" w:sz="8" w:color="auto"/>
            </w:tcBorders>
            <w:gridSpan w:val="2"/>
            <w:vMerge w:val="continue"/>
          </w:tcPr>
          <w:p>
            <w:pPr>
              <w:spacing w:after="0"/>
              <w:rPr>
                <w:sz w:val="10"/>
                <w:szCs w:val="10"/>
                <w:color w:val="auto"/>
              </w:rPr>
            </w:pPr>
          </w:p>
        </w:tc>
        <w:tc>
          <w:tcPr>
            <w:tcW w:w="64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subsidiaries</w:t>
            </w:r>
          </w:p>
        </w:tc>
        <w:tc>
          <w:tcPr>
            <w:tcW w:w="6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adjustments</w:t>
            </w:r>
          </w:p>
        </w:tc>
        <w:tc>
          <w:tcPr>
            <w:tcW w:w="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totals</w:t>
            </w:r>
          </w:p>
        </w:tc>
        <w:tc>
          <w:tcPr>
            <w:tcW w:w="480" w:type="dxa"/>
            <w:vAlign w:val="bottom"/>
            <w:tcBorders>
              <w:bottom w:val="single" w:sz="8" w:color="auto"/>
            </w:tcBorders>
            <w:gridSpan w:val="2"/>
            <w:vMerge w:val="continue"/>
          </w:tcPr>
          <w:p>
            <w:pPr>
              <w:spacing w:after="0"/>
              <w:rPr>
                <w:sz w:val="10"/>
                <w:szCs w:val="10"/>
                <w:color w:val="auto"/>
              </w:rPr>
            </w:pPr>
          </w:p>
        </w:tc>
        <w:tc>
          <w:tcPr>
            <w:tcW w:w="6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subsidiaries</w:t>
            </w:r>
          </w:p>
        </w:tc>
        <w:tc>
          <w:tcPr>
            <w:tcW w:w="460" w:type="dxa"/>
            <w:vAlign w:val="bottom"/>
            <w:tcBorders>
              <w:bottom w:val="single" w:sz="8" w:color="auto"/>
            </w:tcBorders>
            <w:gridSpan w:val="2"/>
            <w:vMerge w:val="continue"/>
          </w:tcPr>
          <w:p>
            <w:pPr>
              <w:spacing w:after="0"/>
              <w:rPr>
                <w:sz w:val="10"/>
                <w:szCs w:val="10"/>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subsidia</w:t>
            </w:r>
          </w:p>
        </w:tc>
        <w:tc>
          <w:tcPr>
            <w:tcW w:w="0" w:type="dxa"/>
            <w:vAlign w:val="bottom"/>
          </w:tcPr>
          <w:p>
            <w:pPr>
              <w:spacing w:after="0"/>
              <w:rPr>
                <w:sz w:val="1"/>
                <w:szCs w:val="1"/>
                <w:color w:val="auto"/>
              </w:rPr>
            </w:pPr>
          </w:p>
        </w:tc>
      </w:tr>
      <w:tr>
        <w:trPr>
          <w:trHeight w:val="97"/>
        </w:trPr>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5"/>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(RMB in thousands)</w:t>
            </w: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640" w:type="dxa"/>
            <w:vAlign w:val="bottom"/>
            <w:shd w:val="clear" w:color="auto" w:fill="CCEEFF"/>
          </w:tcPr>
          <w:p>
            <w:pPr>
              <w:spacing w:after="0" w:line="91" w:lineRule="exact"/>
              <w:rPr>
                <w:sz w:val="20"/>
                <w:szCs w:val="20"/>
                <w:color w:val="auto"/>
              </w:rPr>
            </w:pPr>
            <w:r>
              <w:rPr>
                <w:rFonts w:ascii="Times New Roman" w:cs="Times New Roman" w:eastAsia="Times New Roman" w:hAnsi="Times New Roman"/>
                <w:sz w:val="10"/>
                <w:szCs w:val="10"/>
                <w:b w:val="1"/>
                <w:bCs w:val="1"/>
                <w:color w:val="auto"/>
              </w:rPr>
              <w:t>Net cash</w:t>
            </w:r>
          </w:p>
        </w:tc>
        <w:tc>
          <w:tcPr>
            <w:tcW w:w="4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640" w:type="dxa"/>
            <w:vAlign w:val="bottom"/>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b w:val="1"/>
                <w:bCs w:val="1"/>
                <w:color w:val="auto"/>
              </w:rPr>
              <w:t>(used in)</w:t>
            </w: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40" w:type="dxa"/>
            <w:vAlign w:val="bottom"/>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b w:val="1"/>
                <w:bCs w:val="1"/>
                <w:color w:val="auto"/>
              </w:rPr>
              <w:t>provided</w:t>
            </w: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40" w:type="dxa"/>
            <w:vAlign w:val="bottom"/>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b w:val="1"/>
                <w:bCs w:val="1"/>
                <w:color w:val="auto"/>
              </w:rPr>
              <w:t>by</w:t>
            </w: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40" w:type="dxa"/>
            <w:vAlign w:val="bottom"/>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b w:val="1"/>
                <w:bCs w:val="1"/>
                <w:color w:val="auto"/>
              </w:rPr>
              <w:t>operating</w:t>
            </w:r>
          </w:p>
        </w:tc>
        <w:tc>
          <w:tcPr>
            <w:tcW w:w="4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(1,394)</w:t>
            </w:r>
          </w:p>
        </w:tc>
        <w:tc>
          <w:tcPr>
            <w:tcW w:w="5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17,596</w:t>
            </w:r>
          </w:p>
        </w:tc>
        <w:tc>
          <w:tcPr>
            <w:tcW w:w="100" w:type="dxa"/>
            <w:vAlign w:val="bottom"/>
            <w:shd w:val="clear" w:color="auto" w:fill="CCEEFF"/>
          </w:tcPr>
          <w:p>
            <w:pPr>
              <w:spacing w:after="0"/>
              <w:rPr>
                <w:sz w:val="9"/>
                <w:szCs w:val="9"/>
                <w:color w:val="auto"/>
              </w:rPr>
            </w:pPr>
          </w:p>
        </w:tc>
        <w:tc>
          <w:tcPr>
            <w:tcW w:w="4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(64,898)</w:t>
            </w:r>
          </w:p>
        </w:tc>
        <w:tc>
          <w:tcPr>
            <w:tcW w:w="62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(6,822)</w:t>
            </w:r>
          </w:p>
        </w:tc>
        <w:tc>
          <w:tcPr>
            <w:tcW w:w="4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(55,518)</w:t>
            </w:r>
          </w:p>
        </w:tc>
        <w:tc>
          <w:tcPr>
            <w:tcW w:w="4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(681)</w:t>
            </w:r>
          </w:p>
        </w:tc>
        <w:tc>
          <w:tcPr>
            <w:tcW w:w="5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2,331</w:t>
            </w:r>
          </w:p>
        </w:tc>
        <w:tc>
          <w:tcPr>
            <w:tcW w:w="100" w:type="dxa"/>
            <w:vAlign w:val="bottom"/>
            <w:shd w:val="clear" w:color="auto" w:fill="CCEEFF"/>
          </w:tcPr>
          <w:p>
            <w:pPr>
              <w:spacing w:after="0"/>
              <w:rPr>
                <w:sz w:val="9"/>
                <w:szCs w:val="9"/>
                <w:color w:val="auto"/>
              </w:rPr>
            </w:pPr>
          </w:p>
        </w:tc>
        <w:tc>
          <w:tcPr>
            <w:tcW w:w="4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(148,228)</w:t>
            </w:r>
          </w:p>
        </w:tc>
        <w:tc>
          <w:tcPr>
            <w:tcW w:w="6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(5,118)</w:t>
            </w:r>
          </w:p>
        </w:tc>
        <w:tc>
          <w:tcPr>
            <w:tcW w:w="2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(151,696)</w:t>
            </w:r>
          </w:p>
        </w:tc>
        <w:tc>
          <w:tcPr>
            <w:tcW w:w="4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(4,874)</w:t>
            </w:r>
          </w:p>
        </w:tc>
        <w:tc>
          <w:tcPr>
            <w:tcW w:w="6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(5,792)</w:t>
            </w:r>
          </w:p>
        </w:tc>
        <w:tc>
          <w:tcPr>
            <w:tcW w:w="4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(107,481)</w:t>
            </w:r>
          </w:p>
        </w:tc>
        <w:tc>
          <w:tcPr>
            <w:tcW w:w="3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124"/>
        </w:trPr>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b w:val="1"/>
                <w:bCs w:val="1"/>
                <w:color w:val="auto"/>
              </w:rPr>
              <w:t>activities</w:t>
            </w:r>
            <w:r>
              <w:rPr>
                <w:rFonts w:ascii="Times New Roman" w:cs="Times New Roman" w:eastAsia="Times New Roman" w:hAnsi="Times New Roman"/>
                <w:sz w:val="7"/>
                <w:szCs w:val="7"/>
                <w:b w:val="1"/>
                <w:bCs w:val="1"/>
                <w:color w:val="auto"/>
              </w:rPr>
              <w:t>(4)</w:t>
            </w:r>
          </w:p>
        </w:tc>
        <w:tc>
          <w:tcPr>
            <w:tcW w:w="480" w:type="dxa"/>
            <w:vAlign w:val="bottom"/>
            <w:gridSpan w:val="2"/>
            <w:vMerge w:val="continue"/>
            <w:shd w:val="clear" w:color="auto" w:fill="CCEEFF"/>
          </w:tcPr>
          <w:p>
            <w:pPr>
              <w:spacing w:after="0"/>
              <w:rPr>
                <w:sz w:val="10"/>
                <w:szCs w:val="10"/>
                <w:color w:val="auto"/>
              </w:rPr>
            </w:pPr>
          </w:p>
        </w:tc>
        <w:tc>
          <w:tcPr>
            <w:tcW w:w="56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gridSpan w:val="2"/>
            <w:vMerge w:val="continue"/>
            <w:shd w:val="clear" w:color="auto" w:fill="CCEEFF"/>
          </w:tcPr>
          <w:p>
            <w:pPr>
              <w:spacing w:after="0"/>
              <w:rPr>
                <w:sz w:val="10"/>
                <w:szCs w:val="10"/>
                <w:color w:val="auto"/>
              </w:rPr>
            </w:pPr>
          </w:p>
        </w:tc>
        <w:tc>
          <w:tcPr>
            <w:tcW w:w="620" w:type="dxa"/>
            <w:vAlign w:val="bottom"/>
            <w:gridSpan w:val="3"/>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720" w:type="dxa"/>
            <w:vAlign w:val="bottom"/>
            <w:gridSpan w:val="3"/>
            <w:vMerge w:val="continue"/>
            <w:shd w:val="clear" w:color="auto" w:fill="CCEEFF"/>
          </w:tcPr>
          <w:p>
            <w:pPr>
              <w:spacing w:after="0"/>
              <w:rPr>
                <w:sz w:val="10"/>
                <w:szCs w:val="10"/>
                <w:color w:val="auto"/>
              </w:rPr>
            </w:pPr>
          </w:p>
        </w:tc>
        <w:tc>
          <w:tcPr>
            <w:tcW w:w="420" w:type="dxa"/>
            <w:vAlign w:val="bottom"/>
            <w:gridSpan w:val="2"/>
            <w:vMerge w:val="continue"/>
            <w:shd w:val="clear" w:color="auto" w:fill="CCEEFF"/>
          </w:tcPr>
          <w:p>
            <w:pPr>
              <w:spacing w:after="0"/>
              <w:rPr>
                <w:sz w:val="10"/>
                <w:szCs w:val="10"/>
                <w:color w:val="auto"/>
              </w:rPr>
            </w:pPr>
          </w:p>
        </w:tc>
        <w:tc>
          <w:tcPr>
            <w:tcW w:w="56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640" w:type="dxa"/>
            <w:vAlign w:val="bottom"/>
            <w:gridSpan w:val="3"/>
            <w:vMerge w:val="continue"/>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720" w:type="dxa"/>
            <w:vAlign w:val="bottom"/>
            <w:gridSpan w:val="3"/>
            <w:vMerge w:val="continue"/>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660" w:type="dxa"/>
            <w:vAlign w:val="bottom"/>
            <w:gridSpan w:val="3"/>
            <w:vMerge w:val="continue"/>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38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640" w:type="dxa"/>
            <w:vAlign w:val="bottom"/>
          </w:tcPr>
          <w:p>
            <w:pPr>
              <w:spacing w:after="0" w:line="90" w:lineRule="exact"/>
              <w:rPr>
                <w:sz w:val="20"/>
                <w:szCs w:val="20"/>
                <w:color w:val="auto"/>
              </w:rPr>
            </w:pPr>
            <w:r>
              <w:rPr>
                <w:rFonts w:ascii="Times New Roman" w:cs="Times New Roman" w:eastAsia="Times New Roman" w:hAnsi="Times New Roman"/>
                <w:sz w:val="10"/>
                <w:szCs w:val="10"/>
                <w:b w:val="1"/>
                <w:bCs w:val="1"/>
                <w:color w:val="auto"/>
              </w:rPr>
              <w:t>Cash flows</w:t>
            </w:r>
          </w:p>
        </w:tc>
        <w:tc>
          <w:tcPr>
            <w:tcW w:w="4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640" w:type="dxa"/>
            <w:vAlign w:val="bottom"/>
          </w:tcPr>
          <w:p>
            <w:pPr>
              <w:ind w:left="100"/>
              <w:spacing w:after="0" w:line="107" w:lineRule="exact"/>
              <w:rPr>
                <w:sz w:val="20"/>
                <w:szCs w:val="20"/>
                <w:color w:val="auto"/>
              </w:rPr>
            </w:pPr>
            <w:r>
              <w:rPr>
                <w:rFonts w:ascii="Times New Roman" w:cs="Times New Roman" w:eastAsia="Times New Roman" w:hAnsi="Times New Roman"/>
                <w:sz w:val="10"/>
                <w:szCs w:val="10"/>
                <w:b w:val="1"/>
                <w:bCs w:val="1"/>
                <w:color w:val="auto"/>
              </w:rPr>
              <w:t>from</w:t>
            </w: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40" w:type="dxa"/>
            <w:vAlign w:val="bottom"/>
          </w:tcPr>
          <w:p>
            <w:pPr>
              <w:ind w:left="100"/>
              <w:spacing w:after="0" w:line="107" w:lineRule="exact"/>
              <w:rPr>
                <w:sz w:val="20"/>
                <w:szCs w:val="20"/>
                <w:color w:val="auto"/>
              </w:rPr>
            </w:pPr>
            <w:r>
              <w:rPr>
                <w:rFonts w:ascii="Times New Roman" w:cs="Times New Roman" w:eastAsia="Times New Roman" w:hAnsi="Times New Roman"/>
                <w:sz w:val="10"/>
                <w:szCs w:val="10"/>
                <w:b w:val="1"/>
                <w:bCs w:val="1"/>
                <w:color w:val="auto"/>
              </w:rPr>
              <w:t>investing</w:t>
            </w: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64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activities</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640" w:type="dxa"/>
            <w:vAlign w:val="bottom"/>
            <w:shd w:val="clear" w:color="auto" w:fill="CCEEFF"/>
          </w:tcPr>
          <w:p>
            <w:pPr>
              <w:spacing w:after="0" w:line="91" w:lineRule="exact"/>
              <w:rPr>
                <w:sz w:val="20"/>
                <w:szCs w:val="20"/>
                <w:color w:val="auto"/>
              </w:rPr>
            </w:pPr>
            <w:r>
              <w:rPr>
                <w:rFonts w:ascii="Times New Roman" w:cs="Times New Roman" w:eastAsia="Times New Roman" w:hAnsi="Times New Roman"/>
                <w:sz w:val="10"/>
                <w:szCs w:val="10"/>
                <w:color w:val="auto"/>
              </w:rPr>
              <w:t>Capital</w:t>
            </w:r>
          </w:p>
        </w:tc>
        <w:tc>
          <w:tcPr>
            <w:tcW w:w="4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(219,248)</w:t>
            </w:r>
          </w:p>
        </w:tc>
        <w:tc>
          <w:tcPr>
            <w:tcW w:w="6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(87,000)</w:t>
            </w:r>
          </w:p>
        </w:tc>
        <w:tc>
          <w:tcPr>
            <w:tcW w:w="4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7"/>
                <w:szCs w:val="7"/>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306,248</w:t>
            </w: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(66,599)</w:t>
            </w:r>
          </w:p>
        </w:tc>
        <w:tc>
          <w:tcPr>
            <w:tcW w:w="660" w:type="dxa"/>
            <w:vAlign w:val="bottom"/>
            <w:gridSpan w:val="3"/>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rPr>
              <w:t>(90,000)</w:t>
            </w:r>
          </w:p>
        </w:tc>
        <w:tc>
          <w:tcPr>
            <w:tcW w:w="4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7"/>
                <w:szCs w:val="7"/>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156,599</w:t>
            </w: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(190,026)</w:t>
            </w:r>
          </w:p>
        </w:tc>
        <w:tc>
          <w:tcPr>
            <w:tcW w:w="6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(109,000)</w:t>
            </w:r>
          </w:p>
        </w:tc>
        <w:tc>
          <w:tcPr>
            <w:tcW w:w="4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contribution</w:t>
            </w:r>
          </w:p>
        </w:tc>
        <w:tc>
          <w:tcPr>
            <w:tcW w:w="480" w:type="dxa"/>
            <w:vAlign w:val="bottom"/>
            <w:gridSpan w:val="2"/>
            <w:vMerge w:val="continue"/>
            <w:shd w:val="clear" w:color="auto" w:fill="CCEEFF"/>
          </w:tcPr>
          <w:p>
            <w:pPr>
              <w:spacing w:after="0"/>
              <w:rPr>
                <w:sz w:val="10"/>
                <w:szCs w:val="10"/>
                <w:color w:val="auto"/>
              </w:rPr>
            </w:pPr>
          </w:p>
        </w:tc>
        <w:tc>
          <w:tcPr>
            <w:tcW w:w="660" w:type="dxa"/>
            <w:vAlign w:val="bottom"/>
            <w:gridSpan w:val="3"/>
            <w:vMerge w:val="continue"/>
            <w:shd w:val="clear" w:color="auto" w:fill="CCEEFF"/>
          </w:tcPr>
          <w:p>
            <w:pPr>
              <w:spacing w:after="0"/>
              <w:rPr>
                <w:sz w:val="10"/>
                <w:szCs w:val="10"/>
                <w:color w:val="auto"/>
              </w:rPr>
            </w:pPr>
          </w:p>
        </w:tc>
        <w:tc>
          <w:tcPr>
            <w:tcW w:w="42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gridSpan w:val="2"/>
            <w:vMerge w:val="continue"/>
            <w:shd w:val="clear" w:color="auto" w:fill="CCEEFF"/>
          </w:tcPr>
          <w:p>
            <w:pPr>
              <w:spacing w:after="0"/>
              <w:rPr>
                <w:sz w:val="10"/>
                <w:szCs w:val="10"/>
                <w:color w:val="auto"/>
              </w:rPr>
            </w:pPr>
          </w:p>
        </w:tc>
        <w:tc>
          <w:tcPr>
            <w:tcW w:w="58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420" w:type="dxa"/>
            <w:vAlign w:val="bottom"/>
            <w:gridSpan w:val="2"/>
            <w:vMerge w:val="continue"/>
            <w:shd w:val="clear" w:color="auto" w:fill="CCEEFF"/>
          </w:tcPr>
          <w:p>
            <w:pPr>
              <w:spacing w:after="0"/>
              <w:rPr>
                <w:sz w:val="10"/>
                <w:szCs w:val="10"/>
                <w:color w:val="auto"/>
              </w:rPr>
            </w:pPr>
          </w:p>
        </w:tc>
        <w:tc>
          <w:tcPr>
            <w:tcW w:w="660" w:type="dxa"/>
            <w:vAlign w:val="bottom"/>
            <w:gridSpan w:val="3"/>
            <w:vMerge w:val="continue"/>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56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660" w:type="dxa"/>
            <w:vAlign w:val="bottom"/>
            <w:gridSpan w:val="3"/>
            <w:vMerge w:val="continue"/>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640" w:type="dxa"/>
            <w:vAlign w:val="bottom"/>
          </w:tcPr>
          <w:p>
            <w:pPr>
              <w:spacing w:after="0" w:line="91" w:lineRule="exact"/>
              <w:rPr>
                <w:sz w:val="20"/>
                <w:szCs w:val="20"/>
                <w:color w:val="auto"/>
              </w:rPr>
            </w:pPr>
            <w:r>
              <w:rPr>
                <w:rFonts w:ascii="Times New Roman" w:cs="Times New Roman" w:eastAsia="Times New Roman" w:hAnsi="Times New Roman"/>
                <w:sz w:val="10"/>
                <w:szCs w:val="10"/>
                <w:color w:val="auto"/>
              </w:rPr>
              <w:t>Proceeds from</w:t>
            </w: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640" w:type="dxa"/>
            <w:vAlign w:val="bottom"/>
          </w:tcPr>
          <w:p>
            <w:pPr>
              <w:ind w:left="100"/>
              <w:spacing w:after="0" w:line="107" w:lineRule="exact"/>
              <w:rPr>
                <w:sz w:val="20"/>
                <w:szCs w:val="20"/>
                <w:color w:val="auto"/>
              </w:rPr>
            </w:pPr>
            <w:r>
              <w:rPr>
                <w:rFonts w:ascii="Times New Roman" w:cs="Times New Roman" w:eastAsia="Times New Roman" w:hAnsi="Times New Roman"/>
                <w:sz w:val="10"/>
                <w:szCs w:val="10"/>
                <w:color w:val="auto"/>
              </w:rPr>
              <w:t>maturities</w:t>
            </w: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40" w:type="dxa"/>
            <w:vAlign w:val="bottom"/>
          </w:tcPr>
          <w:p>
            <w:pPr>
              <w:ind w:left="100"/>
              <w:spacing w:after="0" w:line="107" w:lineRule="exact"/>
              <w:rPr>
                <w:sz w:val="20"/>
                <w:szCs w:val="20"/>
                <w:color w:val="auto"/>
              </w:rPr>
            </w:pPr>
            <w:r>
              <w:rPr>
                <w:rFonts w:ascii="Times New Roman" w:cs="Times New Roman" w:eastAsia="Times New Roman" w:hAnsi="Times New Roman"/>
                <w:sz w:val="10"/>
                <w:szCs w:val="10"/>
                <w:color w:val="auto"/>
              </w:rPr>
              <w:t>of short-</w:t>
            </w: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40" w:type="dxa"/>
            <w:vAlign w:val="bottom"/>
          </w:tcPr>
          <w:p>
            <w:pPr>
              <w:ind w:left="100"/>
              <w:spacing w:after="0" w:line="107" w:lineRule="exact"/>
              <w:rPr>
                <w:sz w:val="20"/>
                <w:szCs w:val="20"/>
                <w:color w:val="auto"/>
              </w:rPr>
            </w:pPr>
            <w:r>
              <w:rPr>
                <w:rFonts w:ascii="Times New Roman" w:cs="Times New Roman" w:eastAsia="Times New Roman" w:hAnsi="Times New Roman"/>
                <w:sz w:val="10"/>
                <w:szCs w:val="10"/>
                <w:color w:val="auto"/>
              </w:rPr>
              <w:t>term</w:t>
            </w:r>
          </w:p>
        </w:tc>
        <w:tc>
          <w:tcPr>
            <w:tcW w:w="4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9"/>
                <w:szCs w:val="9"/>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9"/>
                <w:szCs w:val="9"/>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9"/>
                <w:szCs w:val="9"/>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18,596</w:t>
            </w:r>
          </w:p>
        </w:tc>
        <w:tc>
          <w:tcPr>
            <w:tcW w:w="10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32,200</w:t>
            </w:r>
          </w:p>
        </w:tc>
        <w:tc>
          <w:tcPr>
            <w:tcW w:w="60" w:type="dxa"/>
            <w:vAlign w:val="bottom"/>
          </w:tcPr>
          <w:p>
            <w:pPr>
              <w:spacing w:after="0"/>
              <w:rPr>
                <w:sz w:val="9"/>
                <w:szCs w:val="9"/>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21,200</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71,996</w:t>
            </w:r>
          </w:p>
        </w:tc>
        <w:tc>
          <w:tcPr>
            <w:tcW w:w="100" w:type="dxa"/>
            <w:vAlign w:val="bottom"/>
          </w:tcPr>
          <w:p>
            <w:pPr>
              <w:spacing w:after="0"/>
              <w:rPr>
                <w:sz w:val="9"/>
                <w:szCs w:val="9"/>
                <w:color w:val="auto"/>
              </w:rPr>
            </w:pPr>
          </w:p>
        </w:tc>
        <w:tc>
          <w:tcPr>
            <w:tcW w:w="4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6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investments</w:t>
            </w:r>
          </w:p>
        </w:tc>
        <w:tc>
          <w:tcPr>
            <w:tcW w:w="4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640" w:type="dxa"/>
            <w:vAlign w:val="bottom"/>
            <w:shd w:val="clear" w:color="auto" w:fill="CCEEFF"/>
          </w:tcPr>
          <w:p>
            <w:pPr>
              <w:spacing w:after="0" w:line="91" w:lineRule="exact"/>
              <w:rPr>
                <w:sz w:val="20"/>
                <w:szCs w:val="20"/>
                <w:color w:val="auto"/>
              </w:rPr>
            </w:pPr>
            <w:r>
              <w:rPr>
                <w:rFonts w:ascii="Times New Roman" w:cs="Times New Roman" w:eastAsia="Times New Roman" w:hAnsi="Times New Roman"/>
                <w:sz w:val="10"/>
                <w:szCs w:val="10"/>
                <w:color w:val="auto"/>
              </w:rPr>
              <w:t>Purchase of</w:t>
            </w:r>
          </w:p>
        </w:tc>
        <w:tc>
          <w:tcPr>
            <w:tcW w:w="4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640" w:type="dxa"/>
            <w:vAlign w:val="bottom"/>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color w:val="auto"/>
              </w:rPr>
              <w:t>short-term</w:t>
            </w:r>
          </w:p>
        </w:tc>
        <w:tc>
          <w:tcPr>
            <w:tcW w:w="4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3"/>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rPr>
              <w:t>(61,964)</w:t>
            </w:r>
          </w:p>
        </w:tc>
        <w:tc>
          <w:tcPr>
            <w:tcW w:w="4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(32,200)</w:t>
            </w:r>
          </w:p>
        </w:tc>
        <w:tc>
          <w:tcPr>
            <w:tcW w:w="6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(21,200)</w:t>
            </w:r>
          </w:p>
        </w:tc>
        <w:tc>
          <w:tcPr>
            <w:tcW w:w="2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(115,364)</w:t>
            </w:r>
          </w:p>
        </w:tc>
        <w:tc>
          <w:tcPr>
            <w:tcW w:w="48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investments</w:t>
            </w:r>
          </w:p>
        </w:tc>
        <w:tc>
          <w:tcPr>
            <w:tcW w:w="480" w:type="dxa"/>
            <w:vAlign w:val="bottom"/>
            <w:gridSpan w:val="2"/>
            <w:vMerge w:val="continue"/>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42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420" w:type="dxa"/>
            <w:vAlign w:val="bottom"/>
            <w:gridSpan w:val="2"/>
            <w:vMerge w:val="continue"/>
            <w:shd w:val="clear" w:color="auto" w:fill="CCEEFF"/>
          </w:tcPr>
          <w:p>
            <w:pPr>
              <w:spacing w:after="0"/>
              <w:rPr>
                <w:sz w:val="10"/>
                <w:szCs w:val="10"/>
                <w:color w:val="auto"/>
              </w:rPr>
            </w:pPr>
          </w:p>
        </w:tc>
        <w:tc>
          <w:tcPr>
            <w:tcW w:w="660" w:type="dxa"/>
            <w:vAlign w:val="bottom"/>
            <w:gridSpan w:val="3"/>
            <w:vMerge w:val="continue"/>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640" w:type="dxa"/>
            <w:vAlign w:val="bottom"/>
            <w:gridSpan w:val="3"/>
            <w:vMerge w:val="continue"/>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720" w:type="dxa"/>
            <w:vAlign w:val="bottom"/>
            <w:gridSpan w:val="3"/>
            <w:vMerge w:val="continue"/>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640" w:type="dxa"/>
            <w:vAlign w:val="bottom"/>
          </w:tcPr>
          <w:p>
            <w:pPr>
              <w:spacing w:after="0" w:line="91" w:lineRule="exact"/>
              <w:rPr>
                <w:sz w:val="20"/>
                <w:szCs w:val="20"/>
                <w:color w:val="auto"/>
              </w:rPr>
            </w:pPr>
            <w:r>
              <w:rPr>
                <w:rFonts w:ascii="Times New Roman" w:cs="Times New Roman" w:eastAsia="Times New Roman" w:hAnsi="Times New Roman"/>
                <w:sz w:val="10"/>
                <w:szCs w:val="10"/>
                <w:color w:val="auto"/>
              </w:rPr>
              <w:t>Loans to third</w:t>
            </w:r>
          </w:p>
        </w:tc>
        <w:tc>
          <w:tcPr>
            <w:tcW w:w="4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7"/>
                <w:szCs w:val="7"/>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7"/>
                <w:szCs w:val="7"/>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7"/>
                <w:szCs w:val="7"/>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7"/>
                <w:szCs w:val="7"/>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3"/>
            <w:vMerge w:val="restart"/>
          </w:tcPr>
          <w:p>
            <w:pPr>
              <w:jc w:val="right"/>
              <w:ind w:right="28"/>
              <w:spacing w:after="0"/>
              <w:rPr>
                <w:sz w:val="20"/>
                <w:szCs w:val="20"/>
                <w:color w:val="auto"/>
              </w:rPr>
            </w:pPr>
            <w:r>
              <w:rPr>
                <w:rFonts w:ascii="Times New Roman" w:cs="Times New Roman" w:eastAsia="Times New Roman" w:hAnsi="Times New Roman"/>
                <w:sz w:val="10"/>
                <w:szCs w:val="10"/>
                <w:color w:val="auto"/>
              </w:rPr>
              <w:t>(1,900)</w:t>
            </w:r>
          </w:p>
        </w:tc>
        <w:tc>
          <w:tcPr>
            <w:tcW w:w="4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0"/>
                <w:szCs w:val="10"/>
                <w:color w:val="auto"/>
              </w:rPr>
              <w:t>(52,000)</w:t>
            </w:r>
          </w:p>
        </w:tc>
        <w:tc>
          <w:tcPr>
            <w:tcW w:w="40" w:type="dxa"/>
            <w:vAlign w:val="bottom"/>
          </w:tcPr>
          <w:p>
            <w:pPr>
              <w:spacing w:after="0"/>
              <w:rPr>
                <w:sz w:val="7"/>
                <w:szCs w:val="7"/>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7"/>
                <w:szCs w:val="7"/>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0"/>
                <w:szCs w:val="10"/>
                <w:color w:val="auto"/>
              </w:rPr>
              <w:t>(53,900)</w:t>
            </w:r>
          </w:p>
        </w:tc>
        <w:tc>
          <w:tcPr>
            <w:tcW w:w="4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7"/>
                <w:szCs w:val="7"/>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6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parties</w:t>
            </w:r>
          </w:p>
        </w:tc>
        <w:tc>
          <w:tcPr>
            <w:tcW w:w="4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640" w:type="dxa"/>
            <w:vAlign w:val="bottom"/>
            <w:shd w:val="clear" w:color="auto" w:fill="CCEEFF"/>
          </w:tcPr>
          <w:p>
            <w:pPr>
              <w:spacing w:after="0" w:line="91" w:lineRule="exact"/>
              <w:rPr>
                <w:sz w:val="20"/>
                <w:szCs w:val="20"/>
                <w:color w:val="auto"/>
              </w:rPr>
            </w:pPr>
            <w:r>
              <w:rPr>
                <w:rFonts w:ascii="Times New Roman" w:cs="Times New Roman" w:eastAsia="Times New Roman" w:hAnsi="Times New Roman"/>
                <w:sz w:val="10"/>
                <w:szCs w:val="10"/>
                <w:color w:val="auto"/>
              </w:rPr>
              <w:t>Repayment of</w:t>
            </w:r>
          </w:p>
        </w:tc>
        <w:tc>
          <w:tcPr>
            <w:tcW w:w="4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640" w:type="dxa"/>
            <w:vAlign w:val="bottom"/>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color w:val="auto"/>
              </w:rPr>
              <w:t>loan to a</w:t>
            </w:r>
          </w:p>
        </w:tc>
        <w:tc>
          <w:tcPr>
            <w:tcW w:w="4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40,000</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40,000</w:t>
            </w:r>
          </w:p>
        </w:tc>
        <w:tc>
          <w:tcPr>
            <w:tcW w:w="10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third party</w:t>
            </w:r>
          </w:p>
        </w:tc>
        <w:tc>
          <w:tcPr>
            <w:tcW w:w="480" w:type="dxa"/>
            <w:vAlign w:val="bottom"/>
            <w:gridSpan w:val="2"/>
            <w:vMerge w:val="continue"/>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42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42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gridSpan w:val="2"/>
            <w:vMerge w:val="continue"/>
            <w:shd w:val="clear" w:color="auto" w:fill="CCEEFF"/>
          </w:tcPr>
          <w:p>
            <w:pPr>
              <w:spacing w:after="0"/>
              <w:rPr>
                <w:sz w:val="10"/>
                <w:szCs w:val="10"/>
                <w:color w:val="auto"/>
              </w:rPr>
            </w:pPr>
          </w:p>
        </w:tc>
        <w:tc>
          <w:tcPr>
            <w:tcW w:w="40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62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640" w:type="dxa"/>
            <w:vAlign w:val="bottom"/>
          </w:tcPr>
          <w:p>
            <w:pPr>
              <w:spacing w:after="0" w:line="91" w:lineRule="exact"/>
              <w:rPr>
                <w:sz w:val="20"/>
                <w:szCs w:val="20"/>
                <w:color w:val="auto"/>
              </w:rPr>
            </w:pPr>
            <w:r>
              <w:rPr>
                <w:rFonts w:ascii="Times New Roman" w:cs="Times New Roman" w:eastAsia="Times New Roman" w:hAnsi="Times New Roman"/>
                <w:sz w:val="10"/>
                <w:szCs w:val="10"/>
                <w:color w:val="auto"/>
              </w:rPr>
              <w:t>Other</w:t>
            </w: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640" w:type="dxa"/>
            <w:vAlign w:val="bottom"/>
          </w:tcPr>
          <w:p>
            <w:pPr>
              <w:ind w:left="100"/>
              <w:spacing w:after="0" w:line="107" w:lineRule="exact"/>
              <w:rPr>
                <w:sz w:val="20"/>
                <w:szCs w:val="20"/>
                <w:color w:val="auto"/>
              </w:rPr>
            </w:pPr>
            <w:r>
              <w:rPr>
                <w:rFonts w:ascii="Times New Roman" w:cs="Times New Roman" w:eastAsia="Times New Roman" w:hAnsi="Times New Roman"/>
                <w:sz w:val="10"/>
                <w:szCs w:val="10"/>
                <w:color w:val="auto"/>
              </w:rPr>
              <w:t>investing</w:t>
            </w:r>
          </w:p>
        </w:tc>
        <w:tc>
          <w:tcPr>
            <w:tcW w:w="4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0"/>
                <w:szCs w:val="10"/>
                <w:color w:val="auto"/>
              </w:rPr>
              <w:t>(7,444)</w:t>
            </w:r>
          </w:p>
        </w:tc>
        <w:tc>
          <w:tcPr>
            <w:tcW w:w="4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0"/>
                <w:szCs w:val="10"/>
                <w:color w:val="auto"/>
              </w:rPr>
              <w:t>(2,825)</w:t>
            </w:r>
          </w:p>
        </w:tc>
        <w:tc>
          <w:tcPr>
            <w:tcW w:w="6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0"/>
                <w:szCs w:val="10"/>
                <w:color w:val="auto"/>
              </w:rPr>
              <w:t>(719)</w:t>
            </w:r>
          </w:p>
        </w:tc>
        <w:tc>
          <w:tcPr>
            <w:tcW w:w="40" w:type="dxa"/>
            <w:vAlign w:val="bottom"/>
          </w:tcPr>
          <w:p>
            <w:pPr>
              <w:spacing w:after="0"/>
              <w:rPr>
                <w:sz w:val="9"/>
                <w:szCs w:val="9"/>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0"/>
                <w:szCs w:val="10"/>
                <w:color w:val="auto"/>
              </w:rPr>
              <w:t>(10,988)</w:t>
            </w:r>
          </w:p>
        </w:tc>
        <w:tc>
          <w:tcPr>
            <w:tcW w:w="4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0"/>
                <w:szCs w:val="10"/>
                <w:color w:val="auto"/>
              </w:rPr>
              <w:t>(484)</w:t>
            </w:r>
          </w:p>
        </w:tc>
        <w:tc>
          <w:tcPr>
            <w:tcW w:w="660" w:type="dxa"/>
            <w:vAlign w:val="bottom"/>
            <w:gridSpan w:val="3"/>
            <w:vMerge w:val="restart"/>
          </w:tcPr>
          <w:p>
            <w:pPr>
              <w:jc w:val="right"/>
              <w:ind w:right="28"/>
              <w:spacing w:after="0"/>
              <w:rPr>
                <w:sz w:val="20"/>
                <w:szCs w:val="20"/>
                <w:color w:val="auto"/>
              </w:rPr>
            </w:pPr>
            <w:r>
              <w:rPr>
                <w:rFonts w:ascii="Times New Roman" w:cs="Times New Roman" w:eastAsia="Times New Roman" w:hAnsi="Times New Roman"/>
                <w:sz w:val="10"/>
                <w:szCs w:val="10"/>
                <w:color w:val="auto"/>
              </w:rPr>
              <w:t>(1,538)</w:t>
            </w:r>
          </w:p>
        </w:tc>
        <w:tc>
          <w:tcPr>
            <w:tcW w:w="4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0"/>
                <w:szCs w:val="10"/>
                <w:color w:val="auto"/>
              </w:rPr>
              <w:t>(6,812)</w:t>
            </w:r>
          </w:p>
        </w:tc>
        <w:tc>
          <w:tcPr>
            <w:tcW w:w="6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0"/>
                <w:szCs w:val="10"/>
                <w:color w:val="auto"/>
              </w:rPr>
              <w:t>(107)</w:t>
            </w:r>
          </w:p>
        </w:tc>
        <w:tc>
          <w:tcPr>
            <w:tcW w:w="20" w:type="dxa"/>
            <w:vAlign w:val="bottom"/>
          </w:tcPr>
          <w:p>
            <w:pPr>
              <w:spacing w:after="0"/>
              <w:rPr>
                <w:sz w:val="9"/>
                <w:szCs w:val="9"/>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0"/>
                <w:szCs w:val="10"/>
                <w:color w:val="auto"/>
              </w:rPr>
              <w:t>(8,941)</w:t>
            </w:r>
          </w:p>
        </w:tc>
        <w:tc>
          <w:tcPr>
            <w:tcW w:w="42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auto"/>
                <w:w w:val="93"/>
              </w:rPr>
              <w:t>150</w:t>
            </w:r>
          </w:p>
        </w:tc>
        <w:tc>
          <w:tcPr>
            <w:tcW w:w="60" w:type="dxa"/>
            <w:vAlign w:val="bottom"/>
          </w:tcPr>
          <w:p>
            <w:pPr>
              <w:spacing w:after="0"/>
              <w:rPr>
                <w:sz w:val="9"/>
                <w:szCs w:val="9"/>
                <w:color w:val="auto"/>
              </w:rPr>
            </w:pPr>
          </w:p>
        </w:tc>
        <w:tc>
          <w:tcPr>
            <w:tcW w:w="6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0"/>
                <w:szCs w:val="10"/>
                <w:color w:val="auto"/>
              </w:rPr>
              <w:t>(17,062)</w:t>
            </w:r>
          </w:p>
        </w:tc>
        <w:tc>
          <w:tcPr>
            <w:tcW w:w="4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0"/>
                <w:szCs w:val="10"/>
                <w:color w:val="auto"/>
              </w:rPr>
              <w:t>(15,611)</w:t>
            </w: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6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activities</w:t>
            </w:r>
          </w:p>
        </w:tc>
        <w:tc>
          <w:tcPr>
            <w:tcW w:w="480" w:type="dxa"/>
            <w:vAlign w:val="bottom"/>
            <w:gridSpan w:val="2"/>
            <w:vMerge w:val="continue"/>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640" w:type="dxa"/>
            <w:vAlign w:val="bottom"/>
            <w:shd w:val="clear" w:color="auto" w:fill="CCEEFF"/>
          </w:tcPr>
          <w:p>
            <w:pPr>
              <w:spacing w:after="0" w:line="90" w:lineRule="exact"/>
              <w:rPr>
                <w:sz w:val="20"/>
                <w:szCs w:val="20"/>
                <w:color w:val="auto"/>
              </w:rPr>
            </w:pPr>
            <w:r>
              <w:rPr>
                <w:rFonts w:ascii="Times New Roman" w:cs="Times New Roman" w:eastAsia="Times New Roman" w:hAnsi="Times New Roman"/>
                <w:sz w:val="10"/>
                <w:szCs w:val="10"/>
                <w:b w:val="1"/>
                <w:bCs w:val="1"/>
                <w:color w:val="auto"/>
              </w:rPr>
              <w:t>Net cash</w:t>
            </w:r>
          </w:p>
        </w:tc>
        <w:tc>
          <w:tcPr>
            <w:tcW w:w="42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640" w:type="dxa"/>
            <w:vAlign w:val="bottom"/>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b w:val="1"/>
                <w:bCs w:val="1"/>
                <w:color w:val="auto"/>
              </w:rPr>
              <w:t>(used in)</w:t>
            </w: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40" w:type="dxa"/>
            <w:vAlign w:val="bottom"/>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b w:val="1"/>
                <w:bCs w:val="1"/>
                <w:color w:val="auto"/>
              </w:rPr>
              <w:t>provided</w:t>
            </w: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40" w:type="dxa"/>
            <w:vAlign w:val="bottom"/>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b w:val="1"/>
                <w:bCs w:val="1"/>
                <w:color w:val="auto"/>
              </w:rPr>
              <w:t>by</w:t>
            </w: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40" w:type="dxa"/>
            <w:vAlign w:val="bottom"/>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b w:val="1"/>
                <w:bCs w:val="1"/>
                <w:color w:val="auto"/>
              </w:rPr>
              <w:t>investing</w:t>
            </w:r>
          </w:p>
        </w:tc>
        <w:tc>
          <w:tcPr>
            <w:tcW w:w="4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(219,248)</w:t>
            </w:r>
          </w:p>
        </w:tc>
        <w:tc>
          <w:tcPr>
            <w:tcW w:w="6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(94,444)</w:t>
            </w:r>
          </w:p>
        </w:tc>
        <w:tc>
          <w:tcPr>
            <w:tcW w:w="4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(2,825)</w:t>
            </w:r>
          </w:p>
        </w:tc>
        <w:tc>
          <w:tcPr>
            <w:tcW w:w="62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(719)</w:t>
            </w:r>
          </w:p>
        </w:tc>
        <w:tc>
          <w:tcPr>
            <w:tcW w:w="5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306,248</w:t>
            </w:r>
          </w:p>
        </w:tc>
        <w:tc>
          <w:tcPr>
            <w:tcW w:w="60" w:type="dxa"/>
            <w:vAlign w:val="bottom"/>
            <w:shd w:val="clear" w:color="auto" w:fill="CCEEFF"/>
          </w:tcPr>
          <w:p>
            <w:pPr>
              <w:spacing w:after="0"/>
              <w:rPr>
                <w:sz w:val="9"/>
                <w:szCs w:val="9"/>
                <w:color w:val="auto"/>
              </w:rPr>
            </w:pPr>
          </w:p>
        </w:tc>
        <w:tc>
          <w:tcPr>
            <w:tcW w:w="7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(10,988)</w:t>
            </w:r>
          </w:p>
        </w:tc>
        <w:tc>
          <w:tcPr>
            <w:tcW w:w="4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(67,083)</w:t>
            </w:r>
          </w:p>
        </w:tc>
        <w:tc>
          <w:tcPr>
            <w:tcW w:w="660" w:type="dxa"/>
            <w:vAlign w:val="bottom"/>
            <w:gridSpan w:val="3"/>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(136,806)</w:t>
            </w:r>
          </w:p>
        </w:tc>
        <w:tc>
          <w:tcPr>
            <w:tcW w:w="4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(18,812)</w:t>
            </w:r>
          </w:p>
        </w:tc>
        <w:tc>
          <w:tcPr>
            <w:tcW w:w="6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(107)</w:t>
            </w:r>
          </w:p>
        </w:tc>
        <w:tc>
          <w:tcPr>
            <w:tcW w:w="5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156,599</w:t>
            </w:r>
          </w:p>
        </w:tc>
        <w:tc>
          <w:tcPr>
            <w:tcW w:w="60" w:type="dxa"/>
            <w:vAlign w:val="bottom"/>
            <w:shd w:val="clear" w:color="auto" w:fill="CCEEFF"/>
          </w:tcPr>
          <w:p>
            <w:pPr>
              <w:spacing w:after="0"/>
              <w:rPr>
                <w:sz w:val="9"/>
                <w:szCs w:val="9"/>
                <w:color w:val="auto"/>
              </w:rPr>
            </w:pPr>
          </w:p>
        </w:tc>
        <w:tc>
          <w:tcPr>
            <w:tcW w:w="7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(66,209)</w:t>
            </w:r>
          </w:p>
        </w:tc>
        <w:tc>
          <w:tcPr>
            <w:tcW w:w="4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(189,876)</w:t>
            </w:r>
          </w:p>
        </w:tc>
        <w:tc>
          <w:tcPr>
            <w:tcW w:w="6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(126,062)</w:t>
            </w:r>
          </w:p>
        </w:tc>
        <w:tc>
          <w:tcPr>
            <w:tcW w:w="4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(15,611)</w:t>
            </w: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b w:val="1"/>
                <w:bCs w:val="1"/>
                <w:color w:val="auto"/>
              </w:rPr>
              <w:t>activities</w:t>
            </w:r>
          </w:p>
        </w:tc>
        <w:tc>
          <w:tcPr>
            <w:tcW w:w="480" w:type="dxa"/>
            <w:vAlign w:val="bottom"/>
            <w:gridSpan w:val="2"/>
            <w:vMerge w:val="continue"/>
            <w:shd w:val="clear" w:color="auto" w:fill="CCEEFF"/>
          </w:tcPr>
          <w:p>
            <w:pPr>
              <w:spacing w:after="0"/>
              <w:rPr>
                <w:sz w:val="10"/>
                <w:szCs w:val="10"/>
                <w:color w:val="auto"/>
              </w:rPr>
            </w:pPr>
          </w:p>
        </w:tc>
        <w:tc>
          <w:tcPr>
            <w:tcW w:w="660" w:type="dxa"/>
            <w:vAlign w:val="bottom"/>
            <w:gridSpan w:val="3"/>
            <w:vMerge w:val="continue"/>
            <w:shd w:val="clear" w:color="auto" w:fill="CCEEFF"/>
          </w:tcPr>
          <w:p>
            <w:pPr>
              <w:spacing w:after="0"/>
              <w:rPr>
                <w:sz w:val="10"/>
                <w:szCs w:val="10"/>
                <w:color w:val="auto"/>
              </w:rPr>
            </w:pPr>
          </w:p>
        </w:tc>
        <w:tc>
          <w:tcPr>
            <w:tcW w:w="420" w:type="dxa"/>
            <w:vAlign w:val="bottom"/>
            <w:gridSpan w:val="2"/>
            <w:vMerge w:val="continue"/>
            <w:shd w:val="clear" w:color="auto" w:fill="CCEEFF"/>
          </w:tcPr>
          <w:p>
            <w:pPr>
              <w:spacing w:after="0"/>
              <w:rPr>
                <w:sz w:val="10"/>
                <w:szCs w:val="10"/>
                <w:color w:val="auto"/>
              </w:rPr>
            </w:pPr>
          </w:p>
        </w:tc>
        <w:tc>
          <w:tcPr>
            <w:tcW w:w="620" w:type="dxa"/>
            <w:vAlign w:val="bottom"/>
            <w:gridSpan w:val="3"/>
            <w:vMerge w:val="continue"/>
            <w:shd w:val="clear" w:color="auto" w:fill="CCEEFF"/>
          </w:tcPr>
          <w:p>
            <w:pPr>
              <w:spacing w:after="0"/>
              <w:rPr>
                <w:sz w:val="10"/>
                <w:szCs w:val="10"/>
                <w:color w:val="auto"/>
              </w:rPr>
            </w:pPr>
          </w:p>
        </w:tc>
        <w:tc>
          <w:tcPr>
            <w:tcW w:w="58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gridSpan w:val="3"/>
            <w:vMerge w:val="continue"/>
            <w:shd w:val="clear" w:color="auto" w:fill="CCEEFF"/>
          </w:tcPr>
          <w:p>
            <w:pPr>
              <w:spacing w:after="0"/>
              <w:rPr>
                <w:sz w:val="10"/>
                <w:szCs w:val="10"/>
                <w:color w:val="auto"/>
              </w:rPr>
            </w:pPr>
          </w:p>
        </w:tc>
        <w:tc>
          <w:tcPr>
            <w:tcW w:w="420" w:type="dxa"/>
            <w:vAlign w:val="bottom"/>
            <w:gridSpan w:val="2"/>
            <w:vMerge w:val="continue"/>
            <w:shd w:val="clear" w:color="auto" w:fill="CCEEFF"/>
          </w:tcPr>
          <w:p>
            <w:pPr>
              <w:spacing w:after="0"/>
              <w:rPr>
                <w:sz w:val="10"/>
                <w:szCs w:val="10"/>
                <w:color w:val="auto"/>
              </w:rPr>
            </w:pPr>
          </w:p>
        </w:tc>
        <w:tc>
          <w:tcPr>
            <w:tcW w:w="660" w:type="dxa"/>
            <w:vAlign w:val="bottom"/>
            <w:gridSpan w:val="3"/>
            <w:vMerge w:val="continue"/>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640" w:type="dxa"/>
            <w:vAlign w:val="bottom"/>
            <w:gridSpan w:val="3"/>
            <w:vMerge w:val="continue"/>
            <w:shd w:val="clear" w:color="auto" w:fill="CCEEFF"/>
          </w:tcPr>
          <w:p>
            <w:pPr>
              <w:spacing w:after="0"/>
              <w:rPr>
                <w:sz w:val="10"/>
                <w:szCs w:val="10"/>
                <w:color w:val="auto"/>
              </w:rPr>
            </w:pPr>
          </w:p>
        </w:tc>
        <w:tc>
          <w:tcPr>
            <w:tcW w:w="56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gridSpan w:val="3"/>
            <w:vMerge w:val="continue"/>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660" w:type="dxa"/>
            <w:vAlign w:val="bottom"/>
            <w:gridSpan w:val="3"/>
            <w:vMerge w:val="continue"/>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640" w:type="dxa"/>
            <w:vAlign w:val="bottom"/>
          </w:tcPr>
          <w:p>
            <w:pPr>
              <w:spacing w:after="0" w:line="90" w:lineRule="exact"/>
              <w:rPr>
                <w:sz w:val="20"/>
                <w:szCs w:val="20"/>
                <w:color w:val="auto"/>
              </w:rPr>
            </w:pPr>
            <w:r>
              <w:rPr>
                <w:rFonts w:ascii="Times New Roman" w:cs="Times New Roman" w:eastAsia="Times New Roman" w:hAnsi="Times New Roman"/>
                <w:sz w:val="10"/>
                <w:szCs w:val="10"/>
                <w:b w:val="1"/>
                <w:bCs w:val="1"/>
                <w:color w:val="auto"/>
              </w:rPr>
              <w:t>Cash flows</w:t>
            </w:r>
          </w:p>
        </w:tc>
        <w:tc>
          <w:tcPr>
            <w:tcW w:w="4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640" w:type="dxa"/>
            <w:vAlign w:val="bottom"/>
          </w:tcPr>
          <w:p>
            <w:pPr>
              <w:ind w:left="100"/>
              <w:spacing w:after="0" w:line="107" w:lineRule="exact"/>
              <w:rPr>
                <w:sz w:val="20"/>
                <w:szCs w:val="20"/>
                <w:color w:val="auto"/>
              </w:rPr>
            </w:pPr>
            <w:r>
              <w:rPr>
                <w:rFonts w:ascii="Times New Roman" w:cs="Times New Roman" w:eastAsia="Times New Roman" w:hAnsi="Times New Roman"/>
                <w:sz w:val="10"/>
                <w:szCs w:val="10"/>
                <w:b w:val="1"/>
                <w:bCs w:val="1"/>
                <w:color w:val="auto"/>
              </w:rPr>
              <w:t>from</w:t>
            </w: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40" w:type="dxa"/>
            <w:vAlign w:val="bottom"/>
          </w:tcPr>
          <w:p>
            <w:pPr>
              <w:ind w:left="100"/>
              <w:spacing w:after="0" w:line="107" w:lineRule="exact"/>
              <w:rPr>
                <w:sz w:val="20"/>
                <w:szCs w:val="20"/>
                <w:color w:val="auto"/>
              </w:rPr>
            </w:pPr>
            <w:r>
              <w:rPr>
                <w:rFonts w:ascii="Times New Roman" w:cs="Times New Roman" w:eastAsia="Times New Roman" w:hAnsi="Times New Roman"/>
                <w:sz w:val="10"/>
                <w:szCs w:val="10"/>
                <w:b w:val="1"/>
                <w:bCs w:val="1"/>
                <w:color w:val="auto"/>
              </w:rPr>
              <w:t>financing</w:t>
            </w: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64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activities</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640" w:type="dxa"/>
            <w:vAlign w:val="bottom"/>
            <w:shd w:val="clear" w:color="auto" w:fill="CCEEFF"/>
          </w:tcPr>
          <w:p>
            <w:pPr>
              <w:spacing w:after="0" w:line="91" w:lineRule="exact"/>
              <w:rPr>
                <w:sz w:val="20"/>
                <w:szCs w:val="20"/>
                <w:color w:val="auto"/>
              </w:rPr>
            </w:pPr>
            <w:r>
              <w:rPr>
                <w:rFonts w:ascii="Times New Roman" w:cs="Times New Roman" w:eastAsia="Times New Roman" w:hAnsi="Times New Roman"/>
                <w:sz w:val="10"/>
                <w:szCs w:val="10"/>
                <w:color w:val="auto"/>
              </w:rPr>
              <w:t>Capital</w:t>
            </w:r>
          </w:p>
        </w:tc>
        <w:tc>
          <w:tcPr>
            <w:tcW w:w="4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219,248</w:t>
            </w:r>
          </w:p>
        </w:tc>
        <w:tc>
          <w:tcPr>
            <w:tcW w:w="100" w:type="dxa"/>
            <w:vAlign w:val="bottom"/>
            <w:shd w:val="clear" w:color="auto" w:fill="CCEEFF"/>
          </w:tcPr>
          <w:p>
            <w:pPr>
              <w:spacing w:after="0"/>
              <w:rPr>
                <w:sz w:val="7"/>
                <w:szCs w:val="7"/>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87,000</w:t>
            </w: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(306,248)</w:t>
            </w:r>
          </w:p>
        </w:tc>
        <w:tc>
          <w:tcPr>
            <w:tcW w:w="40" w:type="dxa"/>
            <w:vAlign w:val="bottom"/>
            <w:shd w:val="clear" w:color="auto" w:fill="CCEEFF"/>
          </w:tcPr>
          <w:p>
            <w:pPr>
              <w:spacing w:after="0"/>
              <w:rPr>
                <w:sz w:val="7"/>
                <w:szCs w:val="7"/>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66,599</w:t>
            </w:r>
          </w:p>
        </w:tc>
        <w:tc>
          <w:tcPr>
            <w:tcW w:w="100" w:type="dxa"/>
            <w:vAlign w:val="bottom"/>
            <w:shd w:val="clear" w:color="auto" w:fill="CCEEFF"/>
          </w:tcPr>
          <w:p>
            <w:pPr>
              <w:spacing w:after="0"/>
              <w:rPr>
                <w:sz w:val="7"/>
                <w:szCs w:val="7"/>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90,000</w:t>
            </w: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(156,599)</w:t>
            </w:r>
          </w:p>
        </w:tc>
        <w:tc>
          <w:tcPr>
            <w:tcW w:w="40" w:type="dxa"/>
            <w:vAlign w:val="bottom"/>
            <w:shd w:val="clear" w:color="auto" w:fill="CCEEFF"/>
          </w:tcPr>
          <w:p>
            <w:pPr>
              <w:spacing w:after="0"/>
              <w:rPr>
                <w:sz w:val="7"/>
                <w:szCs w:val="7"/>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190,026</w:t>
            </w:r>
          </w:p>
        </w:tc>
        <w:tc>
          <w:tcPr>
            <w:tcW w:w="100" w:type="dxa"/>
            <w:vAlign w:val="bottom"/>
            <w:shd w:val="clear" w:color="auto" w:fill="CCEEFF"/>
          </w:tcPr>
          <w:p>
            <w:pPr>
              <w:spacing w:after="0"/>
              <w:rPr>
                <w:sz w:val="7"/>
                <w:szCs w:val="7"/>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109,000</w:t>
            </w: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contribution</w:t>
            </w:r>
          </w:p>
        </w:tc>
        <w:tc>
          <w:tcPr>
            <w:tcW w:w="480" w:type="dxa"/>
            <w:vAlign w:val="bottom"/>
            <w:gridSpan w:val="2"/>
            <w:vMerge w:val="continue"/>
            <w:shd w:val="clear" w:color="auto" w:fill="CCEEFF"/>
          </w:tcPr>
          <w:p>
            <w:pPr>
              <w:spacing w:after="0"/>
              <w:rPr>
                <w:sz w:val="10"/>
                <w:szCs w:val="10"/>
                <w:color w:val="auto"/>
              </w:rPr>
            </w:pPr>
          </w:p>
        </w:tc>
        <w:tc>
          <w:tcPr>
            <w:tcW w:w="56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gridSpan w:val="2"/>
            <w:vMerge w:val="continue"/>
            <w:shd w:val="clear" w:color="auto" w:fill="CCEEFF"/>
          </w:tcPr>
          <w:p>
            <w:pPr>
              <w:spacing w:after="0"/>
              <w:rPr>
                <w:sz w:val="10"/>
                <w:szCs w:val="10"/>
                <w:color w:val="auto"/>
              </w:rPr>
            </w:pPr>
          </w:p>
        </w:tc>
        <w:tc>
          <w:tcPr>
            <w:tcW w:w="640" w:type="dxa"/>
            <w:vAlign w:val="bottom"/>
            <w:gridSpan w:val="3"/>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420" w:type="dxa"/>
            <w:vAlign w:val="bottom"/>
            <w:gridSpan w:val="2"/>
            <w:vMerge w:val="continue"/>
            <w:shd w:val="clear" w:color="auto" w:fill="CCEEFF"/>
          </w:tcPr>
          <w:p>
            <w:pPr>
              <w:spacing w:after="0"/>
              <w:rPr>
                <w:sz w:val="10"/>
                <w:szCs w:val="10"/>
                <w:color w:val="auto"/>
              </w:rPr>
            </w:pPr>
          </w:p>
        </w:tc>
        <w:tc>
          <w:tcPr>
            <w:tcW w:w="56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620" w:type="dxa"/>
            <w:vAlign w:val="bottom"/>
            <w:gridSpan w:val="3"/>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56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640" w:type="dxa"/>
            <w:vAlign w:val="bottom"/>
          </w:tcPr>
          <w:p>
            <w:pPr>
              <w:spacing w:after="0" w:line="91" w:lineRule="exact"/>
              <w:rPr>
                <w:sz w:val="20"/>
                <w:szCs w:val="20"/>
                <w:color w:val="auto"/>
              </w:rPr>
            </w:pPr>
            <w:r>
              <w:rPr>
                <w:rFonts w:ascii="Times New Roman" w:cs="Times New Roman" w:eastAsia="Times New Roman" w:hAnsi="Times New Roman"/>
                <w:sz w:val="10"/>
                <w:szCs w:val="10"/>
                <w:color w:val="auto"/>
              </w:rPr>
              <w:t>Proceeds from</w:t>
            </w: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640" w:type="dxa"/>
            <w:vAlign w:val="bottom"/>
          </w:tcPr>
          <w:p>
            <w:pPr>
              <w:ind w:left="100"/>
              <w:spacing w:after="0" w:line="107" w:lineRule="exact"/>
              <w:rPr>
                <w:sz w:val="20"/>
                <w:szCs w:val="20"/>
                <w:color w:val="auto"/>
              </w:rPr>
            </w:pPr>
            <w:r>
              <w:rPr>
                <w:rFonts w:ascii="Times New Roman" w:cs="Times New Roman" w:eastAsia="Times New Roman" w:hAnsi="Times New Roman"/>
                <w:sz w:val="10"/>
                <w:szCs w:val="10"/>
                <w:color w:val="auto"/>
              </w:rPr>
              <w:t>initial</w:t>
            </w: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40" w:type="dxa"/>
            <w:vAlign w:val="bottom"/>
          </w:tcPr>
          <w:p>
            <w:pPr>
              <w:ind w:left="100"/>
              <w:spacing w:after="0" w:line="107" w:lineRule="exact"/>
              <w:rPr>
                <w:sz w:val="20"/>
                <w:szCs w:val="20"/>
                <w:color w:val="auto"/>
              </w:rPr>
            </w:pPr>
            <w:r>
              <w:rPr>
                <w:rFonts w:ascii="Times New Roman" w:cs="Times New Roman" w:eastAsia="Times New Roman" w:hAnsi="Times New Roman"/>
                <w:sz w:val="10"/>
                <w:szCs w:val="10"/>
                <w:color w:val="auto"/>
              </w:rPr>
              <w:t>public</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252,861</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9"/>
                <w:szCs w:val="9"/>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9"/>
                <w:szCs w:val="9"/>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252,861</w:t>
            </w:r>
          </w:p>
        </w:tc>
        <w:tc>
          <w:tcPr>
            <w:tcW w:w="100" w:type="dxa"/>
            <w:vAlign w:val="bottom"/>
          </w:tcPr>
          <w:p>
            <w:pPr>
              <w:spacing w:after="0"/>
              <w:rPr>
                <w:sz w:val="9"/>
                <w:szCs w:val="9"/>
                <w:color w:val="auto"/>
              </w:rPr>
            </w:pPr>
          </w:p>
        </w:tc>
        <w:tc>
          <w:tcPr>
            <w:tcW w:w="4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9"/>
                <w:szCs w:val="9"/>
                <w:color w:val="auto"/>
              </w:rPr>
            </w:pPr>
          </w:p>
        </w:tc>
        <w:tc>
          <w:tcPr>
            <w:tcW w:w="62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9"/>
                <w:szCs w:val="9"/>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6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offering</w:t>
            </w:r>
          </w:p>
        </w:tc>
        <w:tc>
          <w:tcPr>
            <w:tcW w:w="4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640" w:type="dxa"/>
            <w:vAlign w:val="bottom"/>
            <w:shd w:val="clear" w:color="auto" w:fill="CCEEFF"/>
          </w:tcPr>
          <w:p>
            <w:pPr>
              <w:spacing w:after="0" w:line="91" w:lineRule="exact"/>
              <w:rPr>
                <w:sz w:val="20"/>
                <w:szCs w:val="20"/>
                <w:color w:val="auto"/>
              </w:rPr>
            </w:pPr>
            <w:r>
              <w:rPr>
                <w:rFonts w:ascii="Times New Roman" w:cs="Times New Roman" w:eastAsia="Times New Roman" w:hAnsi="Times New Roman"/>
                <w:sz w:val="10"/>
                <w:szCs w:val="10"/>
                <w:color w:val="auto"/>
              </w:rPr>
              <w:t>Proceeds from</w:t>
            </w:r>
          </w:p>
        </w:tc>
        <w:tc>
          <w:tcPr>
            <w:tcW w:w="4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640" w:type="dxa"/>
            <w:vAlign w:val="bottom"/>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color w:val="auto"/>
              </w:rPr>
              <w:t>issuance of</w:t>
            </w: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40" w:type="dxa"/>
            <w:vAlign w:val="bottom"/>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color w:val="auto"/>
              </w:rPr>
              <w:t>redeemable</w:t>
            </w: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40" w:type="dxa"/>
            <w:vAlign w:val="bottom"/>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color w:val="auto"/>
              </w:rPr>
              <w:t>and</w:t>
            </w: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40" w:type="dxa"/>
            <w:vAlign w:val="bottom"/>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color w:val="auto"/>
              </w:rPr>
              <w:t>convertible</w:t>
            </w: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40" w:type="dxa"/>
            <w:vAlign w:val="bottom"/>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color w:val="auto"/>
              </w:rPr>
              <w:t>preferred</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47,436</w:t>
            </w: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47,436</w:t>
            </w:r>
          </w:p>
        </w:tc>
        <w:tc>
          <w:tcPr>
            <w:tcW w:w="100" w:type="dxa"/>
            <w:vAlign w:val="bottom"/>
            <w:shd w:val="clear" w:color="auto" w:fill="CCEEFF"/>
          </w:tcPr>
          <w:p>
            <w:pPr>
              <w:spacing w:after="0"/>
              <w:rPr>
                <w:sz w:val="9"/>
                <w:szCs w:val="9"/>
                <w:color w:val="auto"/>
              </w:rPr>
            </w:pPr>
          </w:p>
        </w:tc>
        <w:tc>
          <w:tcPr>
            <w:tcW w:w="4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shares</w:t>
            </w:r>
          </w:p>
        </w:tc>
        <w:tc>
          <w:tcPr>
            <w:tcW w:w="4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42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62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gridSpan w:val="2"/>
            <w:vMerge w:val="continue"/>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640" w:type="dxa"/>
            <w:vAlign w:val="bottom"/>
          </w:tcPr>
          <w:p>
            <w:pPr>
              <w:spacing w:after="0" w:line="91" w:lineRule="exact"/>
              <w:rPr>
                <w:sz w:val="20"/>
                <w:szCs w:val="20"/>
                <w:color w:val="auto"/>
              </w:rPr>
            </w:pPr>
            <w:r>
              <w:rPr>
                <w:rFonts w:ascii="Times New Roman" w:cs="Times New Roman" w:eastAsia="Times New Roman" w:hAnsi="Times New Roman"/>
                <w:sz w:val="10"/>
                <w:szCs w:val="10"/>
                <w:color w:val="auto"/>
              </w:rPr>
              <w:t>Proceeds from</w:t>
            </w: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640" w:type="dxa"/>
            <w:vAlign w:val="bottom"/>
          </w:tcPr>
          <w:p>
            <w:pPr>
              <w:ind w:left="100"/>
              <w:spacing w:after="0" w:line="107" w:lineRule="exact"/>
              <w:rPr>
                <w:sz w:val="20"/>
                <w:szCs w:val="20"/>
                <w:color w:val="auto"/>
              </w:rPr>
            </w:pPr>
            <w:r>
              <w:rPr>
                <w:rFonts w:ascii="Times New Roman" w:cs="Times New Roman" w:eastAsia="Times New Roman" w:hAnsi="Times New Roman"/>
                <w:sz w:val="10"/>
                <w:szCs w:val="10"/>
                <w:color w:val="auto"/>
              </w:rPr>
              <w:t>mandatorily</w:t>
            </w: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40" w:type="dxa"/>
            <w:vAlign w:val="bottom"/>
          </w:tcPr>
          <w:p>
            <w:pPr>
              <w:ind w:left="100"/>
              <w:spacing w:after="0" w:line="107" w:lineRule="exact"/>
              <w:rPr>
                <w:sz w:val="20"/>
                <w:szCs w:val="20"/>
                <w:color w:val="auto"/>
              </w:rPr>
            </w:pPr>
            <w:r>
              <w:rPr>
                <w:rFonts w:ascii="Times New Roman" w:cs="Times New Roman" w:eastAsia="Times New Roman" w:hAnsi="Times New Roman"/>
                <w:sz w:val="10"/>
                <w:szCs w:val="10"/>
                <w:color w:val="auto"/>
              </w:rPr>
              <w:t>redeemable</w:t>
            </w: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40" w:type="dxa"/>
            <w:vAlign w:val="bottom"/>
          </w:tcPr>
          <w:p>
            <w:pPr>
              <w:ind w:left="100"/>
              <w:spacing w:after="0" w:line="107" w:lineRule="exact"/>
              <w:rPr>
                <w:sz w:val="20"/>
                <w:szCs w:val="20"/>
                <w:color w:val="auto"/>
              </w:rPr>
            </w:pPr>
            <w:r>
              <w:rPr>
                <w:rFonts w:ascii="Times New Roman" w:cs="Times New Roman" w:eastAsia="Times New Roman" w:hAnsi="Times New Roman"/>
                <w:sz w:val="10"/>
                <w:szCs w:val="10"/>
                <w:color w:val="auto"/>
              </w:rPr>
              <w:t>non-</w:t>
            </w: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40" w:type="dxa"/>
            <w:vAlign w:val="bottom"/>
          </w:tcPr>
          <w:p>
            <w:pPr>
              <w:ind w:left="100"/>
              <w:spacing w:after="0" w:line="107" w:lineRule="exact"/>
              <w:rPr>
                <w:sz w:val="20"/>
                <w:szCs w:val="20"/>
                <w:color w:val="auto"/>
              </w:rPr>
            </w:pPr>
            <w:r>
              <w:rPr>
                <w:rFonts w:ascii="Times New Roman" w:cs="Times New Roman" w:eastAsia="Times New Roman" w:hAnsi="Times New Roman"/>
                <w:sz w:val="10"/>
                <w:szCs w:val="10"/>
                <w:color w:val="auto"/>
              </w:rPr>
              <w:t>controlling</w:t>
            </w: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40" w:type="dxa"/>
            <w:vAlign w:val="bottom"/>
          </w:tcPr>
          <w:p>
            <w:pPr>
              <w:ind w:left="100"/>
              <w:spacing w:after="0" w:line="107" w:lineRule="exact"/>
              <w:rPr>
                <w:sz w:val="20"/>
                <w:szCs w:val="20"/>
                <w:color w:val="auto"/>
              </w:rPr>
            </w:pPr>
            <w:r>
              <w:rPr>
                <w:rFonts w:ascii="Times New Roman" w:cs="Times New Roman" w:eastAsia="Times New Roman" w:hAnsi="Times New Roman"/>
                <w:sz w:val="10"/>
                <w:szCs w:val="10"/>
                <w:color w:val="auto"/>
              </w:rPr>
              <w:t>interests of</w:t>
            </w:r>
          </w:p>
        </w:tc>
        <w:tc>
          <w:tcPr>
            <w:tcW w:w="4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9"/>
                <w:szCs w:val="9"/>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9"/>
                <w:szCs w:val="9"/>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9"/>
                <w:szCs w:val="9"/>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9"/>
                <w:szCs w:val="9"/>
                <w:color w:val="auto"/>
              </w:rPr>
            </w:pPr>
          </w:p>
        </w:tc>
        <w:tc>
          <w:tcPr>
            <w:tcW w:w="62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40,000</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40,000</w:t>
            </w:r>
          </w:p>
        </w:tc>
        <w:tc>
          <w:tcPr>
            <w:tcW w:w="100" w:type="dxa"/>
            <w:vAlign w:val="bottom"/>
          </w:tcPr>
          <w:p>
            <w:pPr>
              <w:spacing w:after="0"/>
              <w:rPr>
                <w:sz w:val="9"/>
                <w:szCs w:val="9"/>
                <w:color w:val="auto"/>
              </w:rPr>
            </w:pPr>
          </w:p>
        </w:tc>
        <w:tc>
          <w:tcPr>
            <w:tcW w:w="4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6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a subsidiary</w:t>
            </w:r>
          </w:p>
        </w:tc>
        <w:tc>
          <w:tcPr>
            <w:tcW w:w="4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640" w:type="dxa"/>
            <w:vAlign w:val="bottom"/>
            <w:shd w:val="clear" w:color="auto" w:fill="CCEEFF"/>
          </w:tcPr>
          <w:p>
            <w:pPr>
              <w:spacing w:after="0" w:line="91" w:lineRule="exact"/>
              <w:rPr>
                <w:sz w:val="20"/>
                <w:szCs w:val="20"/>
                <w:color w:val="auto"/>
              </w:rPr>
            </w:pPr>
            <w:r>
              <w:rPr>
                <w:rFonts w:ascii="Times New Roman" w:cs="Times New Roman" w:eastAsia="Times New Roman" w:hAnsi="Times New Roman"/>
                <w:sz w:val="10"/>
                <w:szCs w:val="10"/>
                <w:color w:val="auto"/>
              </w:rPr>
              <w:t>Proceeds from</w:t>
            </w:r>
          </w:p>
        </w:tc>
        <w:tc>
          <w:tcPr>
            <w:tcW w:w="4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640" w:type="dxa"/>
            <w:vAlign w:val="bottom"/>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color w:val="auto"/>
              </w:rPr>
              <w:t>short-term</w:t>
            </w:r>
          </w:p>
        </w:tc>
        <w:tc>
          <w:tcPr>
            <w:tcW w:w="4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15,000</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15,000</w:t>
            </w:r>
          </w:p>
        </w:tc>
        <w:tc>
          <w:tcPr>
            <w:tcW w:w="10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bank loans</w:t>
            </w:r>
          </w:p>
        </w:tc>
        <w:tc>
          <w:tcPr>
            <w:tcW w:w="480" w:type="dxa"/>
            <w:vAlign w:val="bottom"/>
            <w:gridSpan w:val="2"/>
            <w:vMerge w:val="continue"/>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42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42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gridSpan w:val="2"/>
            <w:vMerge w:val="continue"/>
            <w:shd w:val="clear" w:color="auto" w:fill="CCEEFF"/>
          </w:tcPr>
          <w:p>
            <w:pPr>
              <w:spacing w:after="0"/>
              <w:rPr>
                <w:sz w:val="10"/>
                <w:szCs w:val="10"/>
                <w:color w:val="auto"/>
              </w:rPr>
            </w:pPr>
          </w:p>
        </w:tc>
        <w:tc>
          <w:tcPr>
            <w:tcW w:w="40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62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640" w:type="dxa"/>
            <w:vAlign w:val="bottom"/>
          </w:tcPr>
          <w:p>
            <w:pPr>
              <w:spacing w:after="0" w:line="91" w:lineRule="exact"/>
              <w:rPr>
                <w:sz w:val="20"/>
                <w:szCs w:val="20"/>
                <w:color w:val="auto"/>
              </w:rPr>
            </w:pPr>
            <w:r>
              <w:rPr>
                <w:rFonts w:ascii="Times New Roman" w:cs="Times New Roman" w:eastAsia="Times New Roman" w:hAnsi="Times New Roman"/>
                <w:sz w:val="10"/>
                <w:szCs w:val="10"/>
                <w:color w:val="auto"/>
              </w:rPr>
              <w:t>Repayment of</w:t>
            </w: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640" w:type="dxa"/>
            <w:vAlign w:val="bottom"/>
          </w:tcPr>
          <w:p>
            <w:pPr>
              <w:ind w:left="100"/>
              <w:spacing w:after="0" w:line="107" w:lineRule="exact"/>
              <w:rPr>
                <w:sz w:val="20"/>
                <w:szCs w:val="20"/>
                <w:color w:val="auto"/>
              </w:rPr>
            </w:pPr>
            <w:r>
              <w:rPr>
                <w:rFonts w:ascii="Times New Roman" w:cs="Times New Roman" w:eastAsia="Times New Roman" w:hAnsi="Times New Roman"/>
                <w:sz w:val="10"/>
                <w:szCs w:val="10"/>
                <w:color w:val="auto"/>
              </w:rPr>
              <w:t>a short-term</w:t>
            </w:r>
          </w:p>
        </w:tc>
        <w:tc>
          <w:tcPr>
            <w:tcW w:w="4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9"/>
                <w:szCs w:val="9"/>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9"/>
                <w:szCs w:val="9"/>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9"/>
                <w:szCs w:val="9"/>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9"/>
                <w:szCs w:val="9"/>
                <w:color w:val="auto"/>
              </w:rPr>
            </w:pPr>
          </w:p>
        </w:tc>
        <w:tc>
          <w:tcPr>
            <w:tcW w:w="62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0"/>
                <w:szCs w:val="10"/>
                <w:color w:val="auto"/>
              </w:rPr>
              <w:t>(5,000)</w:t>
            </w:r>
          </w:p>
        </w:tc>
        <w:tc>
          <w:tcPr>
            <w:tcW w:w="40" w:type="dxa"/>
            <w:vAlign w:val="bottom"/>
          </w:tcPr>
          <w:p>
            <w:pPr>
              <w:spacing w:after="0"/>
              <w:rPr>
                <w:sz w:val="9"/>
                <w:szCs w:val="9"/>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0"/>
                <w:szCs w:val="10"/>
                <w:color w:val="auto"/>
              </w:rPr>
              <w:t>(5,000)</w:t>
            </w:r>
          </w:p>
        </w:tc>
        <w:tc>
          <w:tcPr>
            <w:tcW w:w="4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6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bank loan</w:t>
            </w:r>
          </w:p>
        </w:tc>
        <w:tc>
          <w:tcPr>
            <w:tcW w:w="4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640" w:type="dxa"/>
            <w:vAlign w:val="bottom"/>
            <w:shd w:val="clear" w:color="auto" w:fill="CCEEFF"/>
          </w:tcPr>
          <w:p>
            <w:pPr>
              <w:spacing w:after="0" w:line="91" w:lineRule="exact"/>
              <w:rPr>
                <w:sz w:val="20"/>
                <w:szCs w:val="20"/>
                <w:color w:val="auto"/>
              </w:rPr>
            </w:pPr>
            <w:r>
              <w:rPr>
                <w:rFonts w:ascii="Times New Roman" w:cs="Times New Roman" w:eastAsia="Times New Roman" w:hAnsi="Times New Roman"/>
                <w:sz w:val="10"/>
                <w:szCs w:val="10"/>
                <w:color w:val="auto"/>
              </w:rPr>
              <w:t>Proceeds from</w:t>
            </w:r>
          </w:p>
        </w:tc>
        <w:tc>
          <w:tcPr>
            <w:tcW w:w="4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640" w:type="dxa"/>
            <w:vAlign w:val="bottom"/>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color w:val="auto"/>
              </w:rPr>
              <w:t>loan from a</w:t>
            </w:r>
          </w:p>
        </w:tc>
        <w:tc>
          <w:tcPr>
            <w:tcW w:w="4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30,000</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30,000</w:t>
            </w:r>
          </w:p>
        </w:tc>
        <w:tc>
          <w:tcPr>
            <w:tcW w:w="100" w:type="dxa"/>
            <w:vAlign w:val="bottom"/>
            <w:shd w:val="clear" w:color="auto" w:fill="CCEEFF"/>
          </w:tcPr>
          <w:p>
            <w:pPr>
              <w:spacing w:after="0"/>
              <w:rPr>
                <w:sz w:val="9"/>
                <w:szCs w:val="9"/>
                <w:color w:val="auto"/>
              </w:rPr>
            </w:pPr>
          </w:p>
        </w:tc>
        <w:tc>
          <w:tcPr>
            <w:tcW w:w="4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third party</w:t>
            </w:r>
          </w:p>
        </w:tc>
        <w:tc>
          <w:tcPr>
            <w:tcW w:w="480" w:type="dxa"/>
            <w:vAlign w:val="bottom"/>
            <w:gridSpan w:val="2"/>
            <w:vMerge w:val="continue"/>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3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62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gridSpan w:val="2"/>
            <w:vMerge w:val="continue"/>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640" w:type="dxa"/>
            <w:vAlign w:val="bottom"/>
          </w:tcPr>
          <w:p>
            <w:pPr>
              <w:spacing w:after="0" w:line="91" w:lineRule="exact"/>
              <w:rPr>
                <w:sz w:val="20"/>
                <w:szCs w:val="20"/>
                <w:color w:val="auto"/>
              </w:rPr>
            </w:pPr>
            <w:r>
              <w:rPr>
                <w:rFonts w:ascii="Times New Roman" w:cs="Times New Roman" w:eastAsia="Times New Roman" w:hAnsi="Times New Roman"/>
                <w:sz w:val="10"/>
                <w:szCs w:val="10"/>
                <w:color w:val="auto"/>
              </w:rPr>
              <w:t>Other</w:t>
            </w: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640" w:type="dxa"/>
            <w:vAlign w:val="bottom"/>
          </w:tcPr>
          <w:p>
            <w:pPr>
              <w:ind w:left="100"/>
              <w:spacing w:after="0" w:line="107" w:lineRule="exact"/>
              <w:rPr>
                <w:sz w:val="20"/>
                <w:szCs w:val="20"/>
                <w:color w:val="auto"/>
              </w:rPr>
            </w:pPr>
            <w:r>
              <w:rPr>
                <w:rFonts w:ascii="Times New Roman" w:cs="Times New Roman" w:eastAsia="Times New Roman" w:hAnsi="Times New Roman"/>
                <w:sz w:val="10"/>
                <w:szCs w:val="10"/>
                <w:color w:val="auto"/>
              </w:rPr>
              <w:t>financing</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60" w:type="dxa"/>
            <w:vAlign w:val="bottom"/>
          </w:tcPr>
          <w:p>
            <w:pPr>
              <w:spacing w:after="0"/>
              <w:rPr>
                <w:sz w:val="9"/>
                <w:szCs w:val="9"/>
                <w:color w:val="auto"/>
              </w:rPr>
            </w:pPr>
          </w:p>
        </w:tc>
        <w:tc>
          <w:tcPr>
            <w:tcW w:w="6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0"/>
                <w:szCs w:val="10"/>
                <w:color w:val="auto"/>
              </w:rPr>
              <w:t>(5,000)</w:t>
            </w:r>
          </w:p>
        </w:tc>
        <w:tc>
          <w:tcPr>
            <w:tcW w:w="4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9"/>
                <w:szCs w:val="9"/>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9"/>
                <w:szCs w:val="9"/>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0"/>
                <w:szCs w:val="10"/>
                <w:color w:val="auto"/>
              </w:rPr>
              <w:t>(4,995)</w:t>
            </w:r>
          </w:p>
        </w:tc>
        <w:tc>
          <w:tcPr>
            <w:tcW w:w="4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0"/>
                <w:szCs w:val="10"/>
                <w:color w:val="auto"/>
              </w:rPr>
              <w:t>(7,343)</w:t>
            </w:r>
          </w:p>
        </w:tc>
        <w:tc>
          <w:tcPr>
            <w:tcW w:w="40" w:type="dxa"/>
            <w:vAlign w:val="bottom"/>
          </w:tcPr>
          <w:p>
            <w:pPr>
              <w:spacing w:after="0"/>
              <w:rPr>
                <w:sz w:val="9"/>
                <w:szCs w:val="9"/>
                <w:color w:val="auto"/>
              </w:rPr>
            </w:pPr>
          </w:p>
        </w:tc>
        <w:tc>
          <w:tcPr>
            <w:tcW w:w="62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23</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0"/>
                <w:szCs w:val="10"/>
                <w:color w:val="auto"/>
              </w:rPr>
              <w:t>(7,320)</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256,947</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5,000</w:t>
            </w:r>
          </w:p>
        </w:tc>
        <w:tc>
          <w:tcPr>
            <w:tcW w:w="60" w:type="dxa"/>
            <w:vAlign w:val="bottom"/>
          </w:tcPr>
          <w:p>
            <w:pPr>
              <w:spacing w:after="0"/>
              <w:rPr>
                <w:sz w:val="9"/>
                <w:szCs w:val="9"/>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0" w:type="dxa"/>
            <w:vAlign w:val="bottom"/>
          </w:tcPr>
          <w:p>
            <w:pPr>
              <w:spacing w:after="0"/>
              <w:rPr>
                <w:sz w:val="1"/>
                <w:szCs w:val="1"/>
                <w:color w:val="auto"/>
              </w:rPr>
            </w:pPr>
          </w:p>
        </w:tc>
      </w:tr>
      <w:tr>
        <w:trPr>
          <w:trHeight w:val="124"/>
        </w:trPr>
        <w:tc>
          <w:tcPr>
            <w:tcW w:w="6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activities</w:t>
            </w:r>
          </w:p>
        </w:tc>
        <w:tc>
          <w:tcPr>
            <w:tcW w:w="4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640" w:type="dxa"/>
            <w:vAlign w:val="bottom"/>
            <w:shd w:val="clear" w:color="auto" w:fill="CCEEFF"/>
          </w:tcPr>
          <w:p>
            <w:pPr>
              <w:spacing w:after="0" w:line="90" w:lineRule="exact"/>
              <w:rPr>
                <w:sz w:val="20"/>
                <w:szCs w:val="20"/>
                <w:color w:val="auto"/>
              </w:rPr>
            </w:pPr>
            <w:r>
              <w:rPr>
                <w:rFonts w:ascii="Times New Roman" w:cs="Times New Roman" w:eastAsia="Times New Roman" w:hAnsi="Times New Roman"/>
                <w:sz w:val="10"/>
                <w:szCs w:val="10"/>
                <w:b w:val="1"/>
                <w:bCs w:val="1"/>
                <w:color w:val="auto"/>
              </w:rPr>
              <w:t>Net cash</w:t>
            </w:r>
          </w:p>
        </w:tc>
        <w:tc>
          <w:tcPr>
            <w:tcW w:w="42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640" w:type="dxa"/>
            <w:vAlign w:val="bottom"/>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b w:val="1"/>
                <w:bCs w:val="1"/>
                <w:color w:val="auto"/>
              </w:rPr>
              <w:t>provided</w:t>
            </w: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40" w:type="dxa"/>
            <w:vAlign w:val="bottom"/>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b w:val="1"/>
                <w:bCs w:val="1"/>
                <w:color w:val="auto"/>
              </w:rPr>
              <w:t>by (used</w:t>
            </w: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40" w:type="dxa"/>
            <w:vAlign w:val="bottom"/>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b w:val="1"/>
                <w:bCs w:val="1"/>
                <w:color w:val="auto"/>
              </w:rPr>
              <w:t>in)</w:t>
            </w: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40" w:type="dxa"/>
            <w:vAlign w:val="bottom"/>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b w:val="1"/>
                <w:bCs w:val="1"/>
                <w:color w:val="auto"/>
              </w:rPr>
              <w:t>financing</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300,302</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214,248</w:t>
            </w:r>
          </w:p>
        </w:tc>
        <w:tc>
          <w:tcPr>
            <w:tcW w:w="100" w:type="dxa"/>
            <w:vAlign w:val="bottom"/>
            <w:shd w:val="clear" w:color="auto" w:fill="CCEEFF"/>
          </w:tcPr>
          <w:p>
            <w:pPr>
              <w:spacing w:after="0"/>
              <w:rPr>
                <w:sz w:val="9"/>
                <w:szCs w:val="9"/>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117,000</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64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(306,248)</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325,302</w:t>
            </w:r>
          </w:p>
        </w:tc>
        <w:tc>
          <w:tcPr>
            <w:tcW w:w="100" w:type="dxa"/>
            <w:vAlign w:val="bottom"/>
            <w:shd w:val="clear" w:color="auto" w:fill="CCEEFF"/>
          </w:tcPr>
          <w:p>
            <w:pPr>
              <w:spacing w:after="0"/>
              <w:rPr>
                <w:sz w:val="9"/>
                <w:szCs w:val="9"/>
                <w:color w:val="auto"/>
              </w:rPr>
            </w:pPr>
          </w:p>
        </w:tc>
        <w:tc>
          <w:tcPr>
            <w:tcW w:w="4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(7,343)</w:t>
            </w:r>
          </w:p>
        </w:tc>
        <w:tc>
          <w:tcPr>
            <w:tcW w:w="5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66,599</w:t>
            </w:r>
          </w:p>
        </w:tc>
        <w:tc>
          <w:tcPr>
            <w:tcW w:w="10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140,023</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62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(156,599)</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42,680</w:t>
            </w:r>
          </w:p>
        </w:tc>
        <w:tc>
          <w:tcPr>
            <w:tcW w:w="100" w:type="dxa"/>
            <w:vAlign w:val="bottom"/>
            <w:shd w:val="clear" w:color="auto" w:fill="CCEEFF"/>
          </w:tcPr>
          <w:p>
            <w:pPr>
              <w:spacing w:after="0"/>
              <w:rPr>
                <w:sz w:val="9"/>
                <w:szCs w:val="9"/>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256,947</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190,026</w:t>
            </w:r>
          </w:p>
        </w:tc>
        <w:tc>
          <w:tcPr>
            <w:tcW w:w="10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114,000</w:t>
            </w:r>
          </w:p>
        </w:tc>
        <w:tc>
          <w:tcPr>
            <w:tcW w:w="6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5</w:t>
            </w:r>
          </w:p>
        </w:tc>
        <w:tc>
          <w:tcPr>
            <w:tcW w:w="0" w:type="dxa"/>
            <w:vAlign w:val="bottom"/>
          </w:tcPr>
          <w:p>
            <w:pPr>
              <w:spacing w:after="0"/>
              <w:rPr>
                <w:sz w:val="1"/>
                <w:szCs w:val="1"/>
                <w:color w:val="auto"/>
              </w:rPr>
            </w:pPr>
          </w:p>
        </w:tc>
      </w:tr>
      <w:tr>
        <w:trPr>
          <w:trHeight w:val="124"/>
        </w:trPr>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b w:val="1"/>
                <w:bCs w:val="1"/>
                <w:color w:val="auto"/>
              </w:rPr>
              <w:t>activities</w:t>
            </w:r>
          </w:p>
        </w:tc>
        <w:tc>
          <w:tcPr>
            <w:tcW w:w="4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gridSpan w:val="2"/>
            <w:vMerge w:val="continue"/>
            <w:shd w:val="clear" w:color="auto" w:fill="CCEEFF"/>
          </w:tcPr>
          <w:p>
            <w:pPr>
              <w:spacing w:after="0"/>
              <w:rPr>
                <w:sz w:val="10"/>
                <w:szCs w:val="10"/>
                <w:color w:val="auto"/>
              </w:rPr>
            </w:pPr>
          </w:p>
        </w:tc>
        <w:tc>
          <w:tcPr>
            <w:tcW w:w="640" w:type="dxa"/>
            <w:vAlign w:val="bottom"/>
            <w:gridSpan w:val="3"/>
            <w:vMerge w:val="continue"/>
            <w:shd w:val="clear" w:color="auto" w:fill="CCEEFF"/>
          </w:tcPr>
          <w:p>
            <w:pPr>
              <w:spacing w:after="0"/>
              <w:rPr>
                <w:sz w:val="10"/>
                <w:szCs w:val="10"/>
                <w:color w:val="auto"/>
              </w:rPr>
            </w:pPr>
          </w:p>
        </w:tc>
        <w:tc>
          <w:tcPr>
            <w:tcW w:w="62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gridSpan w:val="2"/>
            <w:vMerge w:val="continue"/>
            <w:shd w:val="clear" w:color="auto" w:fill="CCEEFF"/>
          </w:tcPr>
          <w:p>
            <w:pPr>
              <w:spacing w:after="0"/>
              <w:rPr>
                <w:sz w:val="10"/>
                <w:szCs w:val="10"/>
                <w:color w:val="auto"/>
              </w:rPr>
            </w:pPr>
          </w:p>
        </w:tc>
        <w:tc>
          <w:tcPr>
            <w:tcW w:w="56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620" w:type="dxa"/>
            <w:vAlign w:val="bottom"/>
            <w:gridSpan w:val="3"/>
            <w:vMerge w:val="continue"/>
            <w:shd w:val="clear" w:color="auto" w:fill="CCEEFF"/>
          </w:tcPr>
          <w:p>
            <w:pPr>
              <w:spacing w:after="0"/>
              <w:rPr>
                <w:sz w:val="10"/>
                <w:szCs w:val="10"/>
                <w:color w:val="auto"/>
              </w:rPr>
            </w:pPr>
          </w:p>
        </w:tc>
        <w:tc>
          <w:tcPr>
            <w:tcW w:w="62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640" w:type="dxa"/>
            <w:vAlign w:val="bottom"/>
          </w:tcPr>
          <w:p>
            <w:pPr>
              <w:spacing w:after="0" w:line="90" w:lineRule="exact"/>
              <w:rPr>
                <w:sz w:val="20"/>
                <w:szCs w:val="20"/>
                <w:color w:val="auto"/>
              </w:rPr>
            </w:pPr>
            <w:r>
              <w:rPr>
                <w:rFonts w:ascii="Times New Roman" w:cs="Times New Roman" w:eastAsia="Times New Roman" w:hAnsi="Times New Roman"/>
                <w:sz w:val="10"/>
                <w:szCs w:val="10"/>
                <w:color w:val="auto"/>
              </w:rPr>
              <w:t>Effect of</w:t>
            </w:r>
          </w:p>
        </w:tc>
        <w:tc>
          <w:tcPr>
            <w:tcW w:w="4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640" w:type="dxa"/>
            <w:vAlign w:val="bottom"/>
          </w:tcPr>
          <w:p>
            <w:pPr>
              <w:ind w:left="100"/>
              <w:spacing w:after="0" w:line="107" w:lineRule="exact"/>
              <w:rPr>
                <w:sz w:val="20"/>
                <w:szCs w:val="20"/>
                <w:color w:val="auto"/>
              </w:rPr>
            </w:pPr>
            <w:r>
              <w:rPr>
                <w:rFonts w:ascii="Times New Roman" w:cs="Times New Roman" w:eastAsia="Times New Roman" w:hAnsi="Times New Roman"/>
                <w:sz w:val="10"/>
                <w:szCs w:val="10"/>
                <w:color w:val="auto"/>
              </w:rPr>
              <w:t>exchange</w:t>
            </w: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40" w:type="dxa"/>
            <w:vAlign w:val="bottom"/>
          </w:tcPr>
          <w:p>
            <w:pPr>
              <w:ind w:left="100"/>
              <w:spacing w:after="0" w:line="107" w:lineRule="exact"/>
              <w:rPr>
                <w:sz w:val="20"/>
                <w:szCs w:val="20"/>
                <w:color w:val="auto"/>
              </w:rPr>
            </w:pPr>
            <w:r>
              <w:rPr>
                <w:rFonts w:ascii="Times New Roman" w:cs="Times New Roman" w:eastAsia="Times New Roman" w:hAnsi="Times New Roman"/>
                <w:sz w:val="10"/>
                <w:szCs w:val="10"/>
                <w:color w:val="auto"/>
              </w:rPr>
              <w:t>rates on</w:t>
            </w: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40" w:type="dxa"/>
            <w:vAlign w:val="bottom"/>
          </w:tcPr>
          <w:p>
            <w:pPr>
              <w:ind w:left="100"/>
              <w:spacing w:after="0" w:line="107" w:lineRule="exact"/>
              <w:rPr>
                <w:sz w:val="20"/>
                <w:szCs w:val="20"/>
                <w:color w:val="auto"/>
              </w:rPr>
            </w:pPr>
            <w:r>
              <w:rPr>
                <w:rFonts w:ascii="Times New Roman" w:cs="Times New Roman" w:eastAsia="Times New Roman" w:hAnsi="Times New Roman"/>
                <w:sz w:val="10"/>
                <w:szCs w:val="10"/>
                <w:color w:val="auto"/>
              </w:rPr>
              <w:t>cash, cash</w:t>
            </w: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40" w:type="dxa"/>
            <w:vAlign w:val="bottom"/>
          </w:tcPr>
          <w:p>
            <w:pPr>
              <w:ind w:left="100"/>
              <w:spacing w:after="0" w:line="107" w:lineRule="exact"/>
              <w:rPr>
                <w:sz w:val="20"/>
                <w:szCs w:val="20"/>
                <w:color w:val="auto"/>
              </w:rPr>
            </w:pPr>
            <w:r>
              <w:rPr>
                <w:rFonts w:ascii="Times New Roman" w:cs="Times New Roman" w:eastAsia="Times New Roman" w:hAnsi="Times New Roman"/>
                <w:sz w:val="10"/>
                <w:szCs w:val="10"/>
                <w:color w:val="auto"/>
              </w:rPr>
              <w:t>equivalents</w:t>
            </w: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40" w:type="dxa"/>
            <w:vAlign w:val="bottom"/>
          </w:tcPr>
          <w:p>
            <w:pPr>
              <w:ind w:left="100"/>
              <w:spacing w:after="0" w:line="107" w:lineRule="exact"/>
              <w:rPr>
                <w:sz w:val="20"/>
                <w:szCs w:val="20"/>
                <w:color w:val="auto"/>
              </w:rPr>
            </w:pPr>
            <w:r>
              <w:rPr>
                <w:rFonts w:ascii="Times New Roman" w:cs="Times New Roman" w:eastAsia="Times New Roman" w:hAnsi="Times New Roman"/>
                <w:sz w:val="10"/>
                <w:szCs w:val="10"/>
                <w:color w:val="auto"/>
              </w:rPr>
              <w:t>and</w:t>
            </w: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40" w:type="dxa"/>
            <w:vAlign w:val="bottom"/>
          </w:tcPr>
          <w:p>
            <w:pPr>
              <w:ind w:left="100"/>
              <w:spacing w:after="0" w:line="107" w:lineRule="exact"/>
              <w:rPr>
                <w:sz w:val="20"/>
                <w:szCs w:val="20"/>
                <w:color w:val="auto"/>
              </w:rPr>
            </w:pPr>
            <w:r>
              <w:rPr>
                <w:rFonts w:ascii="Times New Roman" w:cs="Times New Roman" w:eastAsia="Times New Roman" w:hAnsi="Times New Roman"/>
                <w:sz w:val="10"/>
                <w:szCs w:val="10"/>
                <w:color w:val="auto"/>
              </w:rPr>
              <w:t>restricted</w:t>
            </w:r>
          </w:p>
        </w:tc>
        <w:tc>
          <w:tcPr>
            <w:tcW w:w="4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1,347</w:t>
            </w:r>
          </w:p>
        </w:tc>
        <w:tc>
          <w:tcPr>
            <w:tcW w:w="100" w:type="dxa"/>
            <w:vAlign w:val="bottom"/>
          </w:tcPr>
          <w:p>
            <w:pPr>
              <w:spacing w:after="0"/>
              <w:rPr>
                <w:sz w:val="9"/>
                <w:szCs w:val="9"/>
                <w:color w:val="auto"/>
              </w:rPr>
            </w:pPr>
          </w:p>
        </w:tc>
        <w:tc>
          <w:tcPr>
            <w:tcW w:w="4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9"/>
                <w:szCs w:val="9"/>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9"/>
                <w:szCs w:val="9"/>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1,347</w:t>
            </w:r>
          </w:p>
        </w:tc>
        <w:tc>
          <w:tcPr>
            <w:tcW w:w="100" w:type="dxa"/>
            <w:vAlign w:val="bottom"/>
          </w:tcPr>
          <w:p>
            <w:pPr>
              <w:spacing w:after="0"/>
              <w:rPr>
                <w:sz w:val="9"/>
                <w:szCs w:val="9"/>
                <w:color w:val="auto"/>
              </w:rPr>
            </w:pPr>
          </w:p>
        </w:tc>
        <w:tc>
          <w:tcPr>
            <w:tcW w:w="4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3"/>
            <w:vMerge w:val="restart"/>
          </w:tcPr>
          <w:p>
            <w:pPr>
              <w:jc w:val="right"/>
              <w:ind w:right="28"/>
              <w:spacing w:after="0"/>
              <w:rPr>
                <w:sz w:val="20"/>
                <w:szCs w:val="20"/>
                <w:color w:val="auto"/>
              </w:rPr>
            </w:pPr>
            <w:r>
              <w:rPr>
                <w:rFonts w:ascii="Times New Roman" w:cs="Times New Roman" w:eastAsia="Times New Roman" w:hAnsi="Times New Roman"/>
                <w:sz w:val="10"/>
                <w:szCs w:val="10"/>
                <w:color w:val="auto"/>
              </w:rPr>
              <w:t>(6,264)</w:t>
            </w:r>
          </w:p>
        </w:tc>
        <w:tc>
          <w:tcPr>
            <w:tcW w:w="4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9"/>
                <w:szCs w:val="9"/>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0"/>
                <w:szCs w:val="10"/>
                <w:color w:val="auto"/>
              </w:rPr>
              <w:t>(6,264)</w:t>
            </w:r>
          </w:p>
        </w:tc>
        <w:tc>
          <w:tcPr>
            <w:tcW w:w="4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0"/>
                <w:szCs w:val="10"/>
                <w:color w:val="auto"/>
              </w:rPr>
              <w:t>(5,067)</w:t>
            </w:r>
          </w:p>
        </w:tc>
        <w:tc>
          <w:tcPr>
            <w:tcW w:w="4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6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cash</w:t>
            </w:r>
            <w:r>
              <w:rPr>
                <w:rFonts w:ascii="Times New Roman" w:cs="Times New Roman" w:eastAsia="Times New Roman" w:hAnsi="Times New Roman"/>
                <w:sz w:val="7"/>
                <w:szCs w:val="7"/>
                <w:color w:val="auto"/>
              </w:rPr>
              <w:t>(5)</w:t>
            </w:r>
          </w:p>
        </w:tc>
        <w:tc>
          <w:tcPr>
            <w:tcW w:w="480" w:type="dxa"/>
            <w:vAlign w:val="bottom"/>
            <w:gridSpan w:val="2"/>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640" w:type="dxa"/>
            <w:vAlign w:val="bottom"/>
            <w:shd w:val="clear" w:color="auto" w:fill="CCEEFF"/>
          </w:tcPr>
          <w:p>
            <w:pPr>
              <w:spacing w:after="0" w:line="91" w:lineRule="exact"/>
              <w:rPr>
                <w:sz w:val="20"/>
                <w:szCs w:val="20"/>
                <w:color w:val="auto"/>
              </w:rPr>
            </w:pPr>
            <w:r>
              <w:rPr>
                <w:rFonts w:ascii="Times New Roman" w:cs="Times New Roman" w:eastAsia="Times New Roman" w:hAnsi="Times New Roman"/>
                <w:sz w:val="10"/>
                <w:szCs w:val="10"/>
                <w:color w:val="auto"/>
              </w:rPr>
              <w:t>Net increase</w:t>
            </w:r>
          </w:p>
        </w:tc>
        <w:tc>
          <w:tcPr>
            <w:tcW w:w="4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640" w:type="dxa"/>
            <w:vAlign w:val="bottom"/>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color w:val="auto"/>
              </w:rPr>
              <w:t>(decrease)</w:t>
            </w: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40" w:type="dxa"/>
            <w:vAlign w:val="bottom"/>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color w:val="auto"/>
              </w:rPr>
              <w:t>in cash,</w:t>
            </w: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40" w:type="dxa"/>
            <w:vAlign w:val="bottom"/>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color w:val="auto"/>
              </w:rPr>
              <w:t>cash</w:t>
            </w: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40" w:type="dxa"/>
            <w:vAlign w:val="bottom"/>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color w:val="auto"/>
              </w:rPr>
              <w:t>equivalents</w:t>
            </w: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40" w:type="dxa"/>
            <w:vAlign w:val="bottom"/>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color w:val="auto"/>
              </w:rPr>
              <w:t>and</w:t>
            </w: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40" w:type="dxa"/>
            <w:vAlign w:val="bottom"/>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color w:val="auto"/>
              </w:rPr>
              <w:t>restricted</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79,660</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138,747</w:t>
            </w:r>
          </w:p>
        </w:tc>
        <w:tc>
          <w:tcPr>
            <w:tcW w:w="100" w:type="dxa"/>
            <w:vAlign w:val="bottom"/>
            <w:shd w:val="clear" w:color="auto" w:fill="CCEEFF"/>
          </w:tcPr>
          <w:p>
            <w:pPr>
              <w:spacing w:after="0"/>
              <w:rPr>
                <w:sz w:val="9"/>
                <w:szCs w:val="9"/>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49,277</w:t>
            </w:r>
          </w:p>
        </w:tc>
        <w:tc>
          <w:tcPr>
            <w:tcW w:w="60" w:type="dxa"/>
            <w:vAlign w:val="bottom"/>
            <w:shd w:val="clear" w:color="auto" w:fill="CCEEFF"/>
          </w:tcPr>
          <w:p>
            <w:pPr>
              <w:spacing w:after="0"/>
              <w:rPr>
                <w:sz w:val="9"/>
                <w:szCs w:val="9"/>
                <w:color w:val="auto"/>
              </w:rPr>
            </w:pPr>
          </w:p>
        </w:tc>
        <w:tc>
          <w:tcPr>
            <w:tcW w:w="62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(7,541)</w:t>
            </w:r>
          </w:p>
        </w:tc>
        <w:tc>
          <w:tcPr>
            <w:tcW w:w="4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260,143</w:t>
            </w:r>
          </w:p>
        </w:tc>
        <w:tc>
          <w:tcPr>
            <w:tcW w:w="100" w:type="dxa"/>
            <w:vAlign w:val="bottom"/>
            <w:shd w:val="clear" w:color="auto" w:fill="CCEEFF"/>
          </w:tcPr>
          <w:p>
            <w:pPr>
              <w:spacing w:after="0"/>
              <w:rPr>
                <w:sz w:val="9"/>
                <w:szCs w:val="9"/>
                <w:color w:val="auto"/>
              </w:rPr>
            </w:pPr>
          </w:p>
        </w:tc>
        <w:tc>
          <w:tcPr>
            <w:tcW w:w="4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(75,107)</w:t>
            </w:r>
          </w:p>
        </w:tc>
        <w:tc>
          <w:tcPr>
            <w:tcW w:w="660" w:type="dxa"/>
            <w:vAlign w:val="bottom"/>
            <w:gridSpan w:val="3"/>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rPr>
              <w:t>(74,140)</w:t>
            </w:r>
          </w:p>
        </w:tc>
        <w:tc>
          <w:tcPr>
            <w:tcW w:w="4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(27,017)</w:t>
            </w:r>
          </w:p>
        </w:tc>
        <w:tc>
          <w:tcPr>
            <w:tcW w:w="6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(5,225)</w:t>
            </w:r>
          </w:p>
        </w:tc>
        <w:tc>
          <w:tcPr>
            <w:tcW w:w="2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(181,489)</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62,197</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53,105</w:t>
            </w:r>
          </w:p>
        </w:tc>
        <w:tc>
          <w:tcPr>
            <w:tcW w:w="100" w:type="dxa"/>
            <w:vAlign w:val="bottom"/>
            <w:shd w:val="clear" w:color="auto" w:fill="CCEEFF"/>
          </w:tcPr>
          <w:p>
            <w:pPr>
              <w:spacing w:after="0"/>
              <w:rPr>
                <w:sz w:val="9"/>
                <w:szCs w:val="9"/>
                <w:color w:val="auto"/>
              </w:rPr>
            </w:pPr>
          </w:p>
        </w:tc>
        <w:tc>
          <w:tcPr>
            <w:tcW w:w="4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(9,092)</w:t>
            </w: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cash</w:t>
            </w:r>
          </w:p>
        </w:tc>
        <w:tc>
          <w:tcPr>
            <w:tcW w:w="4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3"/>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62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gridSpan w:val="2"/>
            <w:vMerge w:val="continue"/>
            <w:shd w:val="clear" w:color="auto" w:fill="CCEEFF"/>
          </w:tcPr>
          <w:p>
            <w:pPr>
              <w:spacing w:after="0"/>
              <w:rPr>
                <w:sz w:val="10"/>
                <w:szCs w:val="10"/>
                <w:color w:val="auto"/>
              </w:rPr>
            </w:pPr>
          </w:p>
        </w:tc>
        <w:tc>
          <w:tcPr>
            <w:tcW w:w="660" w:type="dxa"/>
            <w:vAlign w:val="bottom"/>
            <w:gridSpan w:val="3"/>
            <w:vMerge w:val="continue"/>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640" w:type="dxa"/>
            <w:vAlign w:val="bottom"/>
            <w:gridSpan w:val="3"/>
            <w:vMerge w:val="continue"/>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720" w:type="dxa"/>
            <w:vAlign w:val="bottom"/>
            <w:gridSpan w:val="3"/>
            <w:vMerge w:val="continue"/>
            <w:shd w:val="clear" w:color="auto" w:fill="CCEEFF"/>
          </w:tcPr>
          <w:p>
            <w:pPr>
              <w:spacing w:after="0"/>
              <w:rPr>
                <w:sz w:val="10"/>
                <w:szCs w:val="10"/>
                <w:color w:val="auto"/>
              </w:rPr>
            </w:pPr>
          </w:p>
        </w:tc>
        <w:tc>
          <w:tcPr>
            <w:tcW w:w="4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640" w:type="dxa"/>
            <w:vAlign w:val="bottom"/>
          </w:tcPr>
          <w:p>
            <w:pPr>
              <w:spacing w:after="0" w:line="91" w:lineRule="exact"/>
              <w:rPr>
                <w:sz w:val="20"/>
                <w:szCs w:val="20"/>
                <w:color w:val="auto"/>
              </w:rPr>
            </w:pPr>
            <w:r>
              <w:rPr>
                <w:rFonts w:ascii="Times New Roman" w:cs="Times New Roman" w:eastAsia="Times New Roman" w:hAnsi="Times New Roman"/>
                <w:sz w:val="10"/>
                <w:szCs w:val="10"/>
                <w:color w:val="auto"/>
              </w:rPr>
              <w:t>Cash, cash</w:t>
            </w: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640" w:type="dxa"/>
            <w:vAlign w:val="bottom"/>
          </w:tcPr>
          <w:p>
            <w:pPr>
              <w:ind w:left="100"/>
              <w:spacing w:after="0" w:line="107" w:lineRule="exact"/>
              <w:rPr>
                <w:sz w:val="20"/>
                <w:szCs w:val="20"/>
                <w:color w:val="auto"/>
              </w:rPr>
            </w:pPr>
            <w:r>
              <w:rPr>
                <w:rFonts w:ascii="Times New Roman" w:cs="Times New Roman" w:eastAsia="Times New Roman" w:hAnsi="Times New Roman"/>
                <w:sz w:val="10"/>
                <w:szCs w:val="10"/>
                <w:color w:val="auto"/>
              </w:rPr>
              <w:t>equivalents</w:t>
            </w: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40" w:type="dxa"/>
            <w:vAlign w:val="bottom"/>
          </w:tcPr>
          <w:p>
            <w:pPr>
              <w:ind w:left="100"/>
              <w:spacing w:after="0" w:line="107" w:lineRule="exact"/>
              <w:rPr>
                <w:sz w:val="20"/>
                <w:szCs w:val="20"/>
                <w:color w:val="auto"/>
              </w:rPr>
            </w:pPr>
            <w:r>
              <w:rPr>
                <w:rFonts w:ascii="Times New Roman" w:cs="Times New Roman" w:eastAsia="Times New Roman" w:hAnsi="Times New Roman"/>
                <w:sz w:val="10"/>
                <w:szCs w:val="10"/>
                <w:color w:val="auto"/>
              </w:rPr>
              <w:t>and</w:t>
            </w: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40" w:type="dxa"/>
            <w:vAlign w:val="bottom"/>
          </w:tcPr>
          <w:p>
            <w:pPr>
              <w:ind w:left="100"/>
              <w:spacing w:after="0" w:line="107" w:lineRule="exact"/>
              <w:rPr>
                <w:sz w:val="20"/>
                <w:szCs w:val="20"/>
                <w:color w:val="auto"/>
              </w:rPr>
            </w:pPr>
            <w:r>
              <w:rPr>
                <w:rFonts w:ascii="Times New Roman" w:cs="Times New Roman" w:eastAsia="Times New Roman" w:hAnsi="Times New Roman"/>
                <w:sz w:val="10"/>
                <w:szCs w:val="10"/>
                <w:color w:val="auto"/>
              </w:rPr>
              <w:t>restricted</w:t>
            </w: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40" w:type="dxa"/>
            <w:vAlign w:val="bottom"/>
          </w:tcPr>
          <w:p>
            <w:pPr>
              <w:ind w:left="100"/>
              <w:spacing w:after="0" w:line="107" w:lineRule="exact"/>
              <w:rPr>
                <w:sz w:val="20"/>
                <w:szCs w:val="20"/>
                <w:color w:val="auto"/>
              </w:rPr>
            </w:pPr>
            <w:r>
              <w:rPr>
                <w:rFonts w:ascii="Times New Roman" w:cs="Times New Roman" w:eastAsia="Times New Roman" w:hAnsi="Times New Roman"/>
                <w:sz w:val="10"/>
                <w:szCs w:val="10"/>
                <w:color w:val="auto"/>
              </w:rPr>
              <w:t>cash at the</w:t>
            </w: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40" w:type="dxa"/>
            <w:vAlign w:val="bottom"/>
          </w:tcPr>
          <w:p>
            <w:pPr>
              <w:ind w:left="100"/>
              <w:spacing w:after="0" w:line="107" w:lineRule="exact"/>
              <w:rPr>
                <w:sz w:val="20"/>
                <w:szCs w:val="20"/>
                <w:color w:val="auto"/>
              </w:rPr>
            </w:pPr>
            <w:r>
              <w:rPr>
                <w:rFonts w:ascii="Times New Roman" w:cs="Times New Roman" w:eastAsia="Times New Roman" w:hAnsi="Times New Roman"/>
                <w:sz w:val="10"/>
                <w:szCs w:val="10"/>
                <w:color w:val="auto"/>
              </w:rPr>
              <w:t>beginning</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6,248</w:t>
            </w:r>
          </w:p>
        </w:tc>
        <w:tc>
          <w:tcPr>
            <w:tcW w:w="60" w:type="dxa"/>
            <w:vAlign w:val="bottom"/>
          </w:tcPr>
          <w:p>
            <w:pPr>
              <w:spacing w:after="0"/>
              <w:rPr>
                <w:sz w:val="9"/>
                <w:szCs w:val="9"/>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19,488</w:t>
            </w:r>
          </w:p>
        </w:tc>
        <w:tc>
          <w:tcPr>
            <w:tcW w:w="100" w:type="dxa"/>
            <w:vAlign w:val="bottom"/>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15,643</w:t>
            </w:r>
          </w:p>
        </w:tc>
        <w:tc>
          <w:tcPr>
            <w:tcW w:w="60" w:type="dxa"/>
            <w:vAlign w:val="bottom"/>
          </w:tcPr>
          <w:p>
            <w:pPr>
              <w:spacing w:after="0"/>
              <w:rPr>
                <w:sz w:val="9"/>
                <w:szCs w:val="9"/>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20,140</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61,519</w:t>
            </w:r>
          </w:p>
        </w:tc>
        <w:tc>
          <w:tcPr>
            <w:tcW w:w="100" w:type="dxa"/>
            <w:vAlign w:val="bottom"/>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85,908</w:t>
            </w:r>
          </w:p>
        </w:tc>
        <w:tc>
          <w:tcPr>
            <w:tcW w:w="60" w:type="dxa"/>
            <w:vAlign w:val="bottom"/>
          </w:tcPr>
          <w:p>
            <w:pPr>
              <w:spacing w:after="0"/>
              <w:rPr>
                <w:sz w:val="9"/>
                <w:szCs w:val="9"/>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158,235</w:t>
            </w:r>
          </w:p>
        </w:tc>
        <w:tc>
          <w:tcPr>
            <w:tcW w:w="10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64,920</w:t>
            </w:r>
          </w:p>
        </w:tc>
        <w:tc>
          <w:tcPr>
            <w:tcW w:w="60" w:type="dxa"/>
            <w:vAlign w:val="bottom"/>
          </w:tcPr>
          <w:p>
            <w:pPr>
              <w:spacing w:after="0"/>
              <w:rPr>
                <w:sz w:val="9"/>
                <w:szCs w:val="9"/>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12,599</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321,662</w:t>
            </w:r>
          </w:p>
        </w:tc>
        <w:tc>
          <w:tcPr>
            <w:tcW w:w="10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10,801</w:t>
            </w:r>
          </w:p>
        </w:tc>
        <w:tc>
          <w:tcPr>
            <w:tcW w:w="60" w:type="dxa"/>
            <w:vAlign w:val="bottom"/>
          </w:tcPr>
          <w:p>
            <w:pPr>
              <w:spacing w:after="0"/>
              <w:rPr>
                <w:sz w:val="9"/>
                <w:szCs w:val="9"/>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84,095</w:t>
            </w:r>
          </w:p>
        </w:tc>
        <w:tc>
          <w:tcPr>
            <w:tcW w:w="10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37,903</w:t>
            </w:r>
          </w:p>
        </w:tc>
        <w:tc>
          <w:tcPr>
            <w:tcW w:w="60" w:type="dxa"/>
            <w:vAlign w:val="bottom"/>
          </w:tcPr>
          <w:p>
            <w:pPr>
              <w:spacing w:after="0"/>
              <w:rPr>
                <w:sz w:val="9"/>
                <w:szCs w:val="9"/>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7</w:t>
            </w:r>
          </w:p>
        </w:tc>
        <w:tc>
          <w:tcPr>
            <w:tcW w:w="0" w:type="dxa"/>
            <w:vAlign w:val="bottom"/>
          </w:tcPr>
          <w:p>
            <w:pPr>
              <w:spacing w:after="0"/>
              <w:rPr>
                <w:sz w:val="1"/>
                <w:szCs w:val="1"/>
                <w:color w:val="auto"/>
              </w:rPr>
            </w:pPr>
          </w:p>
        </w:tc>
      </w:tr>
      <w:tr>
        <w:trPr>
          <w:trHeight w:val="124"/>
        </w:trPr>
        <w:tc>
          <w:tcPr>
            <w:tcW w:w="6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of the year</w:t>
            </w:r>
          </w:p>
        </w:tc>
        <w:tc>
          <w:tcPr>
            <w:tcW w:w="4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640" w:type="dxa"/>
            <w:vAlign w:val="bottom"/>
            <w:shd w:val="clear" w:color="auto" w:fill="CCEEFF"/>
          </w:tcPr>
          <w:p>
            <w:pPr>
              <w:spacing w:after="0" w:line="90" w:lineRule="exact"/>
              <w:rPr>
                <w:sz w:val="20"/>
                <w:szCs w:val="20"/>
                <w:color w:val="auto"/>
              </w:rPr>
            </w:pPr>
            <w:r>
              <w:rPr>
                <w:rFonts w:ascii="Times New Roman" w:cs="Times New Roman" w:eastAsia="Times New Roman" w:hAnsi="Times New Roman"/>
                <w:sz w:val="10"/>
                <w:szCs w:val="10"/>
                <w:b w:val="1"/>
                <w:bCs w:val="1"/>
                <w:color w:val="auto"/>
              </w:rPr>
              <w:t>Cash, cash</w:t>
            </w:r>
          </w:p>
        </w:tc>
        <w:tc>
          <w:tcPr>
            <w:tcW w:w="42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640" w:type="dxa"/>
            <w:vAlign w:val="bottom"/>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b w:val="1"/>
                <w:bCs w:val="1"/>
                <w:color w:val="auto"/>
              </w:rPr>
              <w:t>equivalents</w:t>
            </w: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40" w:type="dxa"/>
            <w:vAlign w:val="bottom"/>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b w:val="1"/>
                <w:bCs w:val="1"/>
                <w:color w:val="auto"/>
              </w:rPr>
              <w:t>and</w:t>
            </w: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40" w:type="dxa"/>
            <w:vAlign w:val="bottom"/>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b w:val="1"/>
                <w:bCs w:val="1"/>
                <w:color w:val="auto"/>
              </w:rPr>
              <w:t>restricted</w:t>
            </w: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40" w:type="dxa"/>
            <w:vAlign w:val="bottom"/>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b w:val="1"/>
                <w:bCs w:val="1"/>
                <w:color w:val="auto"/>
              </w:rPr>
              <w:t>cash at the</w:t>
            </w: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40" w:type="dxa"/>
            <w:vAlign w:val="bottom"/>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b w:val="1"/>
                <w:bCs w:val="1"/>
                <w:color w:val="auto"/>
              </w:rPr>
              <w:t>end of the</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85,908</w:t>
            </w:r>
          </w:p>
        </w:tc>
        <w:tc>
          <w:tcPr>
            <w:tcW w:w="60" w:type="dxa"/>
            <w:vAlign w:val="bottom"/>
            <w:shd w:val="clear" w:color="auto" w:fill="CCEEFF"/>
          </w:tcPr>
          <w:p>
            <w:pPr>
              <w:spacing w:after="0"/>
              <w:rPr>
                <w:sz w:val="9"/>
                <w:szCs w:val="9"/>
                <w:color w:val="auto"/>
              </w:rPr>
            </w:pPr>
          </w:p>
        </w:tc>
        <w:tc>
          <w:tcPr>
            <w:tcW w:w="20" w:type="dxa"/>
            <w:vAlign w:val="bottom"/>
            <w:vMerge w:val="restart"/>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158,235</w:t>
            </w:r>
          </w:p>
        </w:tc>
        <w:tc>
          <w:tcPr>
            <w:tcW w:w="100" w:type="dxa"/>
            <w:vAlign w:val="bottom"/>
            <w:shd w:val="clear" w:color="auto" w:fill="CCEEFF"/>
          </w:tcPr>
          <w:p>
            <w:pPr>
              <w:spacing w:after="0"/>
              <w:rPr>
                <w:sz w:val="9"/>
                <w:szCs w:val="9"/>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64,920</w:t>
            </w:r>
          </w:p>
        </w:tc>
        <w:tc>
          <w:tcPr>
            <w:tcW w:w="60" w:type="dxa"/>
            <w:vAlign w:val="bottom"/>
            <w:shd w:val="clear" w:color="auto" w:fill="CCEEFF"/>
          </w:tcPr>
          <w:p>
            <w:pPr>
              <w:spacing w:after="0"/>
              <w:rPr>
                <w:sz w:val="9"/>
                <w:szCs w:val="9"/>
                <w:color w:val="auto"/>
              </w:rPr>
            </w:pPr>
          </w:p>
        </w:tc>
        <w:tc>
          <w:tcPr>
            <w:tcW w:w="40" w:type="dxa"/>
            <w:vAlign w:val="bottom"/>
            <w:vMerge w:val="restart"/>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12,599</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vMerge w:val="restart"/>
            <w:shd w:val="clear" w:color="auto" w:fill="CCEEFF"/>
          </w:tcPr>
          <w:p>
            <w:pPr>
              <w:spacing w:after="0"/>
              <w:rPr>
                <w:sz w:val="9"/>
                <w:szCs w:val="9"/>
                <w:color w:val="auto"/>
              </w:rPr>
            </w:pPr>
          </w:p>
        </w:tc>
        <w:tc>
          <w:tcPr>
            <w:tcW w:w="40" w:type="dxa"/>
            <w:vAlign w:val="bottom"/>
            <w:vMerge w:val="restart"/>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321,662</w:t>
            </w:r>
          </w:p>
        </w:tc>
        <w:tc>
          <w:tcPr>
            <w:tcW w:w="100" w:type="dxa"/>
            <w:vAlign w:val="bottom"/>
            <w:shd w:val="clear" w:color="auto" w:fill="CCEEFF"/>
          </w:tcPr>
          <w:p>
            <w:pPr>
              <w:spacing w:after="0"/>
              <w:rPr>
                <w:sz w:val="9"/>
                <w:szCs w:val="9"/>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10,801</w:t>
            </w:r>
          </w:p>
        </w:tc>
        <w:tc>
          <w:tcPr>
            <w:tcW w:w="60" w:type="dxa"/>
            <w:vAlign w:val="bottom"/>
            <w:shd w:val="clear" w:color="auto" w:fill="CCEEFF"/>
          </w:tcPr>
          <w:p>
            <w:pPr>
              <w:spacing w:after="0"/>
              <w:rPr>
                <w:sz w:val="9"/>
                <w:szCs w:val="9"/>
                <w:color w:val="auto"/>
              </w:rPr>
            </w:pPr>
          </w:p>
        </w:tc>
        <w:tc>
          <w:tcPr>
            <w:tcW w:w="40" w:type="dxa"/>
            <w:vAlign w:val="bottom"/>
            <w:vMerge w:val="restart"/>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84,095</w:t>
            </w:r>
          </w:p>
        </w:tc>
        <w:tc>
          <w:tcPr>
            <w:tcW w:w="10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37,903</w:t>
            </w:r>
          </w:p>
        </w:tc>
        <w:tc>
          <w:tcPr>
            <w:tcW w:w="60" w:type="dxa"/>
            <w:vAlign w:val="bottom"/>
            <w:shd w:val="clear" w:color="auto" w:fill="CCEEFF"/>
          </w:tcPr>
          <w:p>
            <w:pPr>
              <w:spacing w:after="0"/>
              <w:rPr>
                <w:sz w:val="9"/>
                <w:szCs w:val="9"/>
                <w:color w:val="auto"/>
              </w:rPr>
            </w:pPr>
          </w:p>
        </w:tc>
        <w:tc>
          <w:tcPr>
            <w:tcW w:w="40" w:type="dxa"/>
            <w:vAlign w:val="bottom"/>
            <w:vMerge w:val="restart"/>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7,374</w:t>
            </w: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vMerge w:val="restart"/>
            <w:shd w:val="clear" w:color="auto" w:fill="CCEEFF"/>
          </w:tcPr>
          <w:p>
            <w:pPr>
              <w:spacing w:after="0"/>
              <w:rPr>
                <w:sz w:val="9"/>
                <w:szCs w:val="9"/>
                <w:color w:val="auto"/>
              </w:rPr>
            </w:pPr>
          </w:p>
        </w:tc>
        <w:tc>
          <w:tcPr>
            <w:tcW w:w="40" w:type="dxa"/>
            <w:vAlign w:val="bottom"/>
            <w:vMerge w:val="restart"/>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140,173</w:t>
            </w:r>
          </w:p>
        </w:tc>
        <w:tc>
          <w:tcPr>
            <w:tcW w:w="100" w:type="dxa"/>
            <w:vAlign w:val="bottom"/>
            <w:shd w:val="clear" w:color="auto" w:fill="CCEEFF"/>
          </w:tcPr>
          <w:p>
            <w:pPr>
              <w:spacing w:after="0"/>
              <w:rPr>
                <w:sz w:val="9"/>
                <w:szCs w:val="9"/>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72,998</w:t>
            </w:r>
          </w:p>
        </w:tc>
        <w:tc>
          <w:tcPr>
            <w:tcW w:w="60" w:type="dxa"/>
            <w:vAlign w:val="bottom"/>
            <w:shd w:val="clear" w:color="auto" w:fill="CCEEFF"/>
          </w:tcPr>
          <w:p>
            <w:pPr>
              <w:spacing w:after="0"/>
              <w:rPr>
                <w:sz w:val="9"/>
                <w:szCs w:val="9"/>
                <w:color w:val="auto"/>
              </w:rPr>
            </w:pPr>
          </w:p>
        </w:tc>
        <w:tc>
          <w:tcPr>
            <w:tcW w:w="20" w:type="dxa"/>
            <w:vAlign w:val="bottom"/>
            <w:vMerge w:val="restart"/>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137,200</w:t>
            </w:r>
          </w:p>
        </w:tc>
        <w:tc>
          <w:tcPr>
            <w:tcW w:w="10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28,811</w:t>
            </w:r>
          </w:p>
        </w:tc>
        <w:tc>
          <w:tcPr>
            <w:tcW w:w="60" w:type="dxa"/>
            <w:vAlign w:val="bottom"/>
            <w:shd w:val="clear" w:color="auto" w:fill="CCEEFF"/>
          </w:tcPr>
          <w:p>
            <w:pPr>
              <w:spacing w:after="0"/>
              <w:rPr>
                <w:sz w:val="9"/>
                <w:szCs w:val="9"/>
                <w:color w:val="auto"/>
              </w:rPr>
            </w:pPr>
          </w:p>
        </w:tc>
        <w:tc>
          <w:tcPr>
            <w:tcW w:w="40" w:type="dxa"/>
            <w:vAlign w:val="bottom"/>
            <w:vMerge w:val="restart"/>
            <w:shd w:val="clear" w:color="auto" w:fill="CCEEFF"/>
          </w:tcPr>
          <w:p>
            <w:pPr>
              <w:spacing w:after="0"/>
              <w:rPr>
                <w:sz w:val="9"/>
                <w:szCs w:val="9"/>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8</w:t>
            </w:r>
          </w:p>
        </w:tc>
        <w:tc>
          <w:tcPr>
            <w:tcW w:w="0" w:type="dxa"/>
            <w:vAlign w:val="bottom"/>
          </w:tcPr>
          <w:p>
            <w:pPr>
              <w:spacing w:after="0"/>
              <w:rPr>
                <w:sz w:val="1"/>
                <w:szCs w:val="1"/>
                <w:color w:val="auto"/>
              </w:rPr>
            </w:pPr>
          </w:p>
        </w:tc>
      </w:tr>
      <w:tr>
        <w:trPr>
          <w:trHeight w:val="138"/>
        </w:trPr>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b w:val="1"/>
                <w:bCs w:val="1"/>
                <w:color w:val="auto"/>
              </w:rPr>
              <w:t>year</w:t>
            </w:r>
          </w:p>
        </w:tc>
        <w:tc>
          <w:tcPr>
            <w:tcW w:w="42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vMerge w:val="continue"/>
            <w:shd w:val="clear" w:color="auto" w:fill="CCEEFF"/>
          </w:tcPr>
          <w:p>
            <w:pPr>
              <w:spacing w:after="0"/>
              <w:rPr>
                <w:sz w:val="11"/>
                <w:szCs w:val="11"/>
                <w:color w:val="auto"/>
              </w:rPr>
            </w:pPr>
          </w:p>
        </w:tc>
        <w:tc>
          <w:tcPr>
            <w:tcW w:w="54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vMerge w:val="continue"/>
            <w:shd w:val="clear" w:color="auto" w:fill="CCEEFF"/>
          </w:tcPr>
          <w:p>
            <w:pPr>
              <w:spacing w:after="0"/>
              <w:rPr>
                <w:sz w:val="11"/>
                <w:szCs w:val="11"/>
                <w:color w:val="auto"/>
              </w:rPr>
            </w:pPr>
          </w:p>
        </w:tc>
        <w:tc>
          <w:tcPr>
            <w:tcW w:w="52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40" w:type="dxa"/>
            <w:vAlign w:val="bottom"/>
            <w:vMerge w:val="continue"/>
            <w:shd w:val="clear" w:color="auto" w:fill="CCEEFF"/>
          </w:tcPr>
          <w:p>
            <w:pPr>
              <w:spacing w:after="0"/>
              <w:rPr>
                <w:sz w:val="11"/>
                <w:szCs w:val="11"/>
                <w:color w:val="auto"/>
              </w:rPr>
            </w:pPr>
          </w:p>
        </w:tc>
        <w:tc>
          <w:tcPr>
            <w:tcW w:w="58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vMerge w:val="continue"/>
            <w:shd w:val="clear" w:color="auto" w:fill="CCEEFF"/>
          </w:tcPr>
          <w:p>
            <w:pPr>
              <w:spacing w:after="0"/>
              <w:rPr>
                <w:sz w:val="11"/>
                <w:szCs w:val="11"/>
                <w:color w:val="auto"/>
              </w:rPr>
            </w:pPr>
          </w:p>
        </w:tc>
        <w:tc>
          <w:tcPr>
            <w:tcW w:w="52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vMerge w:val="continue"/>
            <w:shd w:val="clear" w:color="auto" w:fill="CCEEFF"/>
          </w:tcPr>
          <w:p>
            <w:pPr>
              <w:spacing w:after="0"/>
              <w:rPr>
                <w:sz w:val="11"/>
                <w:szCs w:val="11"/>
                <w:color w:val="auto"/>
              </w:rPr>
            </w:pPr>
          </w:p>
        </w:tc>
        <w:tc>
          <w:tcPr>
            <w:tcW w:w="52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40" w:type="dxa"/>
            <w:vAlign w:val="bottom"/>
            <w:vMerge w:val="continue"/>
            <w:shd w:val="clear" w:color="auto" w:fill="CCEEFF"/>
          </w:tcPr>
          <w:p>
            <w:pPr>
              <w:spacing w:after="0"/>
              <w:rPr>
                <w:sz w:val="11"/>
                <w:szCs w:val="11"/>
                <w:color w:val="auto"/>
              </w:rPr>
            </w:pPr>
          </w:p>
        </w:tc>
        <w:tc>
          <w:tcPr>
            <w:tcW w:w="58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vMerge w:val="continue"/>
            <w:shd w:val="clear" w:color="auto" w:fill="CCEEFF"/>
          </w:tcPr>
          <w:p>
            <w:pPr>
              <w:spacing w:after="0"/>
              <w:rPr>
                <w:sz w:val="11"/>
                <w:szCs w:val="11"/>
                <w:color w:val="auto"/>
              </w:rPr>
            </w:pPr>
          </w:p>
        </w:tc>
        <w:tc>
          <w:tcPr>
            <w:tcW w:w="54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vMerge w:val="continue"/>
            <w:shd w:val="clear" w:color="auto" w:fill="CCEEFF"/>
          </w:tcPr>
          <w:p>
            <w:pPr>
              <w:spacing w:after="0"/>
              <w:rPr>
                <w:sz w:val="11"/>
                <w:szCs w:val="11"/>
                <w:color w:val="auto"/>
              </w:rPr>
            </w:pPr>
          </w:p>
        </w:tc>
        <w:tc>
          <w:tcPr>
            <w:tcW w:w="340" w:type="dxa"/>
            <w:vAlign w:val="bottom"/>
            <w:tcBorders>
              <w:bottom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74295</wp:posOffset>
            </wp:positionV>
            <wp:extent cx="77851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8510" cy="6350"/>
                    </a:xfrm>
                    <a:prstGeom prst="rect">
                      <a:avLst/>
                    </a:prstGeom>
                    <a:noFill/>
                  </pic:spPr>
                </pic:pic>
              </a:graphicData>
            </a:graphic>
          </wp:anchor>
        </w:drawing>
      </w:r>
    </w:p>
    <w:p>
      <w:pPr>
        <w:spacing w:after="0" w:line="12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Notes:</w:t>
      </w:r>
    </w:p>
    <w:p>
      <w:pPr>
        <w:spacing w:after="0" w:line="9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(1)    Represents the elimination of the intercompany transactions at the consolidation level.</w:t>
      </w:r>
    </w:p>
    <w:p>
      <w:pPr>
        <w:spacing w:after="0" w:line="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(2)    Represents the elimination of the investment among the Parent, other subsidiaries, WFOE, and the VIE and the VIE’s subsidiaries.</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(3)    Represents the elimination of intercompany balances among the Parent, other subsidiaries, WFOE, and the VIE and the VIE’s subsidiaries.</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(4)    For the years ended December 31, 2019, 2020 and 2021, the WFOE did not charge any service fee from the VIE as the VIE was in cumulative loss position.</w:t>
      </w:r>
    </w:p>
    <w:p>
      <w:pPr>
        <w:spacing w:after="0" w:line="6" w:lineRule="exact"/>
        <w:rPr>
          <w:sz w:val="20"/>
          <w:szCs w:val="20"/>
          <w:color w:val="auto"/>
        </w:rPr>
      </w:pPr>
    </w:p>
    <w:p>
      <w:pPr>
        <w:ind w:left="1940" w:right="20"/>
        <w:spacing w:after="0" w:line="249" w:lineRule="auto"/>
        <w:rPr>
          <w:sz w:val="20"/>
          <w:szCs w:val="20"/>
          <w:color w:val="auto"/>
        </w:rPr>
      </w:pPr>
      <w:r>
        <w:rPr>
          <w:rFonts w:ascii="Times New Roman" w:cs="Times New Roman" w:eastAsia="Times New Roman" w:hAnsi="Times New Roman"/>
          <w:sz w:val="13"/>
          <w:szCs w:val="13"/>
          <w:color w:val="auto"/>
        </w:rPr>
        <w:t>For the years ended December 31, 2019, 2020 and 2021, cash paid by WFOE to VIE and VIE’s subsidiaries were RMB27.6 million, RMB14.8 million and RMB3.2 million, respecti purchase of software and inventories.</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For the years ended December 31, 2019, 2020 and 2021, cash paid by other subsidiaries to WFOE were RMB7.9 million, nil and nil, respectively, which represented purchase of inve</w:t>
      </w:r>
    </w:p>
    <w:p>
      <w:pPr>
        <w:sectPr>
          <w:pgSz w:w="11900" w:h="16838" w:orient="portrait"/>
          <w:cols w:equalWidth="0" w:num="1">
            <w:col w:w="11360"/>
          </w:cols>
          <w:pgMar w:left="300" w:top="388" w:right="239" w:bottom="1069" w:gutter="0" w:footer="0" w:header="0"/>
        </w:sectPr>
      </w:pPr>
    </w:p>
    <w:p>
      <w:pPr>
        <w:spacing w:after="0" w:line="33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2"/>
          <w:szCs w:val="12"/>
          <w:color w:val="auto"/>
        </w:rPr>
        <w:t>12</w:t>
      </w:r>
    </w:p>
    <w:p>
      <w:pPr>
        <w:sectPr>
          <w:pgSz w:w="11900" w:h="16838" w:orient="portrait"/>
          <w:cols w:equalWidth="0" w:num="1">
            <w:col w:w="11360"/>
          </w:cols>
          <w:pgMar w:left="300" w:top="388" w:right="239" w:bottom="1069"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ind w:left="1980" w:hanging="304"/>
        <w:spacing w:after="0"/>
        <w:tabs>
          <w:tab w:leader="none" w:pos="1980" w:val="left"/>
        </w:tabs>
        <w:numPr>
          <w:ilvl w:val="0"/>
          <w:numId w:val="1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Reserved</w:t>
      </w:r>
    </w:p>
    <w:p>
      <w:pPr>
        <w:spacing w:after="0" w:line="93" w:lineRule="exact"/>
        <w:rPr>
          <w:rFonts w:ascii="Times New Roman" w:cs="Times New Roman" w:eastAsia="Times New Roman" w:hAnsi="Times New Roman"/>
          <w:sz w:val="13"/>
          <w:szCs w:val="13"/>
          <w:b w:val="1"/>
          <w:bCs w:val="1"/>
          <w:color w:val="auto"/>
        </w:rPr>
      </w:pPr>
    </w:p>
    <w:p>
      <w:pPr>
        <w:ind w:left="2000" w:right="6399" w:hanging="324"/>
        <w:spacing w:after="0" w:line="406" w:lineRule="auto"/>
        <w:tabs>
          <w:tab w:leader="none" w:pos="1994" w:val="left"/>
        </w:tabs>
        <w:numPr>
          <w:ilvl w:val="0"/>
          <w:numId w:val="1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 xml:space="preserve">Capitalization and indebtedness </w:t>
      </w:r>
      <w:r>
        <w:rPr>
          <w:rFonts w:ascii="Times New Roman" w:cs="Times New Roman" w:eastAsia="Times New Roman" w:hAnsi="Times New Roman"/>
          <w:sz w:val="13"/>
          <w:szCs w:val="13"/>
          <w:color w:val="auto"/>
        </w:rPr>
        <w:t>Not applicable.</w:t>
      </w:r>
    </w:p>
    <w:p>
      <w:pPr>
        <w:spacing w:after="0" w:line="145" w:lineRule="exact"/>
        <w:rPr>
          <w:rFonts w:ascii="Times New Roman" w:cs="Times New Roman" w:eastAsia="Times New Roman" w:hAnsi="Times New Roman"/>
          <w:sz w:val="13"/>
          <w:szCs w:val="13"/>
          <w:b w:val="1"/>
          <w:bCs w:val="1"/>
          <w:color w:val="auto"/>
        </w:rPr>
      </w:pPr>
    </w:p>
    <w:p>
      <w:pPr>
        <w:ind w:left="2000" w:right="5899" w:hanging="324"/>
        <w:spacing w:after="0" w:line="406" w:lineRule="auto"/>
        <w:tabs>
          <w:tab w:leader="none" w:pos="1994" w:val="left"/>
        </w:tabs>
        <w:numPr>
          <w:ilvl w:val="0"/>
          <w:numId w:val="1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 xml:space="preserve">Reasons for the offer and use of proceeds </w:t>
      </w:r>
      <w:r>
        <w:rPr>
          <w:rFonts w:ascii="Times New Roman" w:cs="Times New Roman" w:eastAsia="Times New Roman" w:hAnsi="Times New Roman"/>
          <w:sz w:val="13"/>
          <w:szCs w:val="13"/>
          <w:color w:val="auto"/>
        </w:rPr>
        <w:t>Not applicable.</w:t>
      </w:r>
    </w:p>
    <w:p>
      <w:pPr>
        <w:spacing w:after="0" w:line="145" w:lineRule="exact"/>
        <w:rPr>
          <w:rFonts w:ascii="Times New Roman" w:cs="Times New Roman" w:eastAsia="Times New Roman" w:hAnsi="Times New Roman"/>
          <w:sz w:val="13"/>
          <w:szCs w:val="13"/>
          <w:b w:val="1"/>
          <w:bCs w:val="1"/>
          <w:color w:val="auto"/>
        </w:rPr>
      </w:pPr>
    </w:p>
    <w:p>
      <w:pPr>
        <w:ind w:left="1980" w:hanging="304"/>
        <w:spacing w:after="0"/>
        <w:tabs>
          <w:tab w:leader="none" w:pos="1980" w:val="left"/>
        </w:tabs>
        <w:numPr>
          <w:ilvl w:val="0"/>
          <w:numId w:val="1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Risk factors</w:t>
      </w:r>
    </w:p>
    <w:p>
      <w:pPr>
        <w:spacing w:after="0" w:line="85" w:lineRule="exact"/>
        <w:rPr>
          <w:rFonts w:ascii="Times New Roman" w:cs="Times New Roman" w:eastAsia="Times New Roman" w:hAnsi="Times New Roman"/>
          <w:sz w:val="13"/>
          <w:szCs w:val="13"/>
          <w:b w:val="1"/>
          <w:bCs w:val="1"/>
          <w:color w:val="auto"/>
        </w:rPr>
      </w:pPr>
    </w:p>
    <w:p>
      <w:pPr>
        <w:ind w:left="2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Below please find a summary of the principal risks we face, organized under relevant headings.</w:t>
      </w:r>
    </w:p>
    <w:p>
      <w:pPr>
        <w:spacing w:after="0" w:line="23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Risks Relating to Our Business and Industry</w:t>
      </w:r>
    </w:p>
    <w:p>
      <w:pPr>
        <w:spacing w:after="0" w:line="98" w:lineRule="exact"/>
        <w:rPr>
          <w:sz w:val="20"/>
          <w:szCs w:val="20"/>
          <w:color w:val="auto"/>
        </w:rPr>
      </w:pPr>
    </w:p>
    <w:p>
      <w:pPr>
        <w:ind w:left="2380" w:hanging="315"/>
        <w:spacing w:after="0"/>
        <w:tabs>
          <w:tab w:leader="none" w:pos="238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future growth depends on the demand for, and customers’ willingness to adopt, our passenger-grade AAVs and air mobility solutions;</w:t>
      </w:r>
    </w:p>
    <w:p>
      <w:pPr>
        <w:spacing w:after="0" w:line="105" w:lineRule="exact"/>
        <w:rPr>
          <w:rFonts w:ascii="Times New Roman" w:cs="Times New Roman" w:eastAsia="Times New Roman" w:hAnsi="Times New Roman"/>
          <w:sz w:val="12"/>
          <w:szCs w:val="12"/>
          <w:color w:val="auto"/>
        </w:rPr>
      </w:pPr>
    </w:p>
    <w:p>
      <w:pPr>
        <w:ind w:left="2380" w:right="579" w:hanging="315"/>
        <w:spacing w:after="0" w:line="257" w:lineRule="auto"/>
        <w:tabs>
          <w:tab w:leader="none" w:pos="23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jurisdictions where we, the VIE and its subsidiaries sell and plan to sell products, the commercial use of passenger-grade AAVs, and in some cases non-passenger-grade AAVs, is subject to an uncertain or lengthy approval process; we cannot predict when regulations will change, and any new regulations may impose onerous requirements and restrictions with which we, the VIE and its subsidiaries, the AAVs and potential customers may be unable to comply. As a result, we, the VIE and its subsidiaries may be limited in, or completely restricted from, growing business in the foreseeable future;</w:t>
      </w:r>
    </w:p>
    <w:p>
      <w:pPr>
        <w:spacing w:after="0" w:line="65"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be unable to make timely product deliveries due to limited production capacity;</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framework and conditional agreements may not result in material sales of our products;</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substantial customer concentration and we have experienced a significant increase in accounts receivable;</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technology platform may not perform in line with customer specifications or expectations; and</w:t>
      </w:r>
    </w:p>
    <w:p>
      <w:pPr>
        <w:spacing w:after="0" w:line="93" w:lineRule="exact"/>
        <w:rPr>
          <w:rFonts w:ascii="Times New Roman" w:cs="Times New Roman" w:eastAsia="Times New Roman" w:hAnsi="Times New Roman"/>
          <w:sz w:val="13"/>
          <w:szCs w:val="13"/>
          <w:color w:val="auto"/>
        </w:rPr>
      </w:pPr>
    </w:p>
    <w:p>
      <w:pPr>
        <w:ind w:left="2380" w:right="619" w:hanging="315"/>
        <w:spacing w:after="0" w:line="278" w:lineRule="auto"/>
        <w:tabs>
          <w:tab w:leader="none" w:pos="23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are a relatively young company with a short operating history, and we may not be able to sustain our rapid growth, effectively manage our growth or implement our business strategies.</w:t>
      </w:r>
    </w:p>
    <w:p>
      <w:pPr>
        <w:spacing w:after="0" w:line="19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Risks Relating to Doing Business in China</w:t>
      </w:r>
    </w:p>
    <w:p>
      <w:pPr>
        <w:spacing w:after="0" w:line="98" w:lineRule="exact"/>
        <w:rPr>
          <w:sz w:val="20"/>
          <w:szCs w:val="20"/>
          <w:color w:val="auto"/>
        </w:rPr>
      </w:pPr>
    </w:p>
    <w:p>
      <w:pPr>
        <w:ind w:left="2380" w:right="699" w:hanging="315"/>
        <w:spacing w:after="0" w:line="278" w:lineRule="auto"/>
        <w:tabs>
          <w:tab w:leader="none" w:pos="23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China’s economic, political or social conditions or government policies could have a material adverse effect on our business, financial condition and results of operation;</w:t>
      </w:r>
    </w:p>
    <w:p>
      <w:pPr>
        <w:spacing w:after="0" w:line="52"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Uncertainties in the interpretation and enforcement of PRC laws and regulations could limit the legal protections available to you and us;</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be adversely affected by the complexities, uncertainties and changes in PRC regulations on technology companies;</w:t>
      </w:r>
    </w:p>
    <w:p>
      <w:pPr>
        <w:spacing w:after="0" w:line="93" w:lineRule="exact"/>
        <w:rPr>
          <w:rFonts w:ascii="Times New Roman" w:cs="Times New Roman" w:eastAsia="Times New Roman" w:hAnsi="Times New Roman"/>
          <w:sz w:val="13"/>
          <w:szCs w:val="13"/>
          <w:color w:val="auto"/>
        </w:rPr>
      </w:pPr>
    </w:p>
    <w:p>
      <w:pPr>
        <w:ind w:left="2380" w:right="639" w:hanging="315"/>
        <w:spacing w:after="0" w:line="253" w:lineRule="auto"/>
        <w:tabs>
          <w:tab w:leader="none" w:pos="23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ADSs will be delisted and our ADSs and shares may be prohibited from trading in the over-the-counter market under the Holding Foreign Companies Accountable Act, or the HFCA Act, if the PCAOB is unable to inspect or fully investigate auditors located in China. On December 16, 2021, PCAOB issued the HFCA Act Determination Report, according to which our auditor is subject to the determinations that the PCAOB is unable to inspect or investigate completely. Under the current law, delisting and prohibition from over-the-counter trading in the U.S. could take place in 2024. If this happens there is no certainty that we will be able to list our ADS or shares on a non-U.S. exchange or that a market for our shares will develop outside of the U.S. The delisting of our ADSs, or the threat of their being delisted, may materially and adversely affect the value of your investment. In addition, the potential enactment of the Accelerating Holding Foreign Companies Accountable Act would decrease the number of non-inspection years from three years to two, thus reducing the time period before our ADSs may be prohibited from over-the-counter trading or delisted. If this bill were enacted, our ADS could be delisted from the exchange and prohibited from over-the-counter trading in the U.S. in 2023;</w:t>
      </w:r>
    </w:p>
    <w:p>
      <w:pPr>
        <w:spacing w:after="0" w:line="67" w:lineRule="exact"/>
        <w:rPr>
          <w:rFonts w:ascii="Times New Roman" w:cs="Times New Roman" w:eastAsia="Times New Roman" w:hAnsi="Times New Roman"/>
          <w:sz w:val="13"/>
          <w:szCs w:val="13"/>
          <w:color w:val="auto"/>
        </w:rPr>
      </w:pPr>
    </w:p>
    <w:p>
      <w:pPr>
        <w:ind w:left="2380" w:right="939" w:hanging="315"/>
        <w:spacing w:after="0" w:line="278" w:lineRule="auto"/>
        <w:tabs>
          <w:tab w:leader="none" w:pos="23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Increases in labor costs and enforcement of stricter labor laws and regulations in the PRC may adversely affect our business and our profitability; and</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10159"/>
          </w:cols>
          <w:pgMar w:left="300" w:top="388"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jc w:val="both"/>
        <w:ind w:left="2380" w:right="639" w:hanging="315"/>
        <w:spacing w:after="0" w:line="264" w:lineRule="auto"/>
        <w:tabs>
          <w:tab w:leader="none" w:pos="23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spacing w:after="0" w:line="20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Risks Relating to the ADSs and Trading Market</w:t>
      </w:r>
    </w:p>
    <w:p>
      <w:pPr>
        <w:spacing w:after="0" w:line="98" w:lineRule="exact"/>
        <w:rPr>
          <w:sz w:val="20"/>
          <w:szCs w:val="20"/>
          <w:color w:val="auto"/>
        </w:rPr>
      </w:pPr>
    </w:p>
    <w:p>
      <w:pPr>
        <w:ind w:left="2380" w:hanging="315"/>
        <w:spacing w:after="0"/>
        <w:tabs>
          <w:tab w:leader="none" w:pos="23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trading price of the ADSs is likely to be volatile, which could result in substantial losses to investors;</w:t>
      </w:r>
    </w:p>
    <w:p>
      <w:pPr>
        <w:spacing w:after="0" w:line="93" w:lineRule="exact"/>
        <w:rPr>
          <w:rFonts w:ascii="Times New Roman" w:cs="Times New Roman" w:eastAsia="Times New Roman" w:hAnsi="Times New Roman"/>
          <w:sz w:val="13"/>
          <w:szCs w:val="13"/>
          <w:color w:val="auto"/>
        </w:rPr>
      </w:pPr>
    </w:p>
    <w:p>
      <w:pPr>
        <w:ind w:left="2380" w:right="599" w:hanging="315"/>
        <w:spacing w:after="0" w:line="278" w:lineRule="auto"/>
        <w:tabs>
          <w:tab w:leader="none" w:pos="23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52" w:lineRule="exact"/>
        <w:rPr>
          <w:rFonts w:ascii="Times New Roman" w:cs="Times New Roman" w:eastAsia="Times New Roman" w:hAnsi="Times New Roman"/>
          <w:sz w:val="13"/>
          <w:szCs w:val="13"/>
          <w:color w:val="auto"/>
        </w:rPr>
      </w:pPr>
    </w:p>
    <w:p>
      <w:pPr>
        <w:ind w:left="2380" w:right="899" w:hanging="315"/>
        <w:spacing w:after="0" w:line="278" w:lineRule="auto"/>
        <w:tabs>
          <w:tab w:leader="none" w:pos="23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are a “controlled company” within the meaning of the Nasdaq Stock Market Rules and, as a result, may rely on exemptions from certain corporate governance requirements that provide protection to shareholders of other companies;</w:t>
      </w:r>
    </w:p>
    <w:p>
      <w:pPr>
        <w:spacing w:after="0" w:line="52" w:lineRule="exact"/>
        <w:rPr>
          <w:rFonts w:ascii="Times New Roman" w:cs="Times New Roman" w:eastAsia="Times New Roman" w:hAnsi="Times New Roman"/>
          <w:sz w:val="13"/>
          <w:szCs w:val="13"/>
          <w:color w:val="auto"/>
        </w:rPr>
      </w:pPr>
    </w:p>
    <w:p>
      <w:pPr>
        <w:ind w:left="2380" w:right="659" w:hanging="315"/>
        <w:spacing w:after="0" w:line="278" w:lineRule="auto"/>
        <w:tabs>
          <w:tab w:leader="none" w:pos="23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securities or industry analysts do not publish research or reports about our business, or if they adversely change their recommendations regarding the ADSs, the market price for the ADSs and trading volume could decline; and</w:t>
      </w:r>
    </w:p>
    <w:p>
      <w:pPr>
        <w:spacing w:after="0" w:line="52"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sale or availability for sale of substantial amounts of the ADSs could adversely affect their market price.</w:t>
      </w:r>
    </w:p>
    <w:p>
      <w:pPr>
        <w:spacing w:after="0" w:line="23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Risks Relating to Our Business and Industry</w:t>
      </w:r>
    </w:p>
    <w:p>
      <w:pPr>
        <w:spacing w:after="0" w:line="8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Our future growth depends on the demand for, and customers’ willingness to adopt, our passenger-grade AAVs and air mobility solutions.</w:t>
      </w:r>
    </w:p>
    <w:p>
      <w:pPr>
        <w:spacing w:after="0" w:line="88" w:lineRule="exact"/>
        <w:rPr>
          <w:sz w:val="20"/>
          <w:szCs w:val="20"/>
          <w:color w:val="auto"/>
        </w:rPr>
      </w:pPr>
    </w:p>
    <w:p>
      <w:pPr>
        <w:ind w:left="1680" w:right="639" w:firstLine="317"/>
        <w:spacing w:after="0" w:line="264" w:lineRule="auto"/>
        <w:rPr>
          <w:sz w:val="20"/>
          <w:szCs w:val="20"/>
          <w:color w:val="auto"/>
        </w:rPr>
      </w:pPr>
      <w:r>
        <w:rPr>
          <w:rFonts w:ascii="Times New Roman" w:cs="Times New Roman" w:eastAsia="Times New Roman" w:hAnsi="Times New Roman"/>
          <w:sz w:val="13"/>
          <w:szCs w:val="13"/>
          <w:color w:val="auto"/>
        </w:rPr>
        <w:t>We operate in the new and evolving AAV industry. Our business and operating results depend in large part on the acceptance of and demand for our passenger-grade AAVs and air mobility solutions. The success of these products and services are and will be subject to risks, including with respect to:</w:t>
      </w:r>
    </w:p>
    <w:p>
      <w:pPr>
        <w:spacing w:after="0" w:line="61" w:lineRule="exact"/>
        <w:rPr>
          <w:sz w:val="20"/>
          <w:szCs w:val="20"/>
          <w:color w:val="auto"/>
        </w:rPr>
      </w:pPr>
    </w:p>
    <w:p>
      <w:pPr>
        <w:ind w:left="2380" w:hanging="315"/>
        <w:spacing w:after="0"/>
        <w:tabs>
          <w:tab w:leader="none" w:pos="238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extent of market reception and adoption of AAVs as transportation and logistics solutions;</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navigating a new and evolving regulatory environment;</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timely fulfillment of product orders;</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produce safe, high-quality and cost-effective AAVs on an ongoing basis;</w:t>
      </w:r>
    </w:p>
    <w:p>
      <w:pPr>
        <w:spacing w:after="0" w:line="93" w:lineRule="exact"/>
        <w:rPr>
          <w:rFonts w:ascii="Times New Roman" w:cs="Times New Roman" w:eastAsia="Times New Roman" w:hAnsi="Times New Roman"/>
          <w:sz w:val="13"/>
          <w:szCs w:val="13"/>
          <w:color w:val="auto"/>
        </w:rPr>
      </w:pPr>
    </w:p>
    <w:p>
      <w:pPr>
        <w:ind w:left="2380" w:right="639" w:hanging="315"/>
        <w:spacing w:after="0" w:line="278" w:lineRule="auto"/>
        <w:tabs>
          <w:tab w:leader="none" w:pos="238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performance of our AAVs relative to customer expectations and customers’ interest in and demand for our passenger-grade AAVs and air mobility solutions; and</w:t>
      </w:r>
    </w:p>
    <w:p>
      <w:pPr>
        <w:spacing w:after="0" w:line="52"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building a well-recognized and respected brand.</w:t>
      </w:r>
    </w:p>
    <w:p>
      <w:pPr>
        <w:spacing w:after="0" w:line="162" w:lineRule="exact"/>
        <w:rPr>
          <w:sz w:val="20"/>
          <w:szCs w:val="20"/>
          <w:color w:val="auto"/>
        </w:rPr>
      </w:pPr>
    </w:p>
    <w:p>
      <w:pPr>
        <w:ind w:left="1680" w:right="679" w:firstLine="317"/>
        <w:spacing w:after="0" w:line="259" w:lineRule="auto"/>
        <w:rPr>
          <w:sz w:val="20"/>
          <w:szCs w:val="20"/>
          <w:color w:val="auto"/>
        </w:rPr>
      </w:pPr>
      <w:r>
        <w:rPr>
          <w:rFonts w:ascii="Times New Roman" w:cs="Times New Roman" w:eastAsia="Times New Roman" w:hAnsi="Times New Roman"/>
          <w:sz w:val="13"/>
          <w:szCs w:val="13"/>
          <w:color w:val="auto"/>
        </w:rPr>
        <w:t>Our failure to manage the risks described above may discourage current or potential customers from purchasing our passenger-grade AAVs or using our AAV commercial solutions, and there may be downward price pressure on our AAVs and commercial solutions. If the market for passenger-grade AAVs or air mobility solutions does not develop as we expect or develops more slowly than we expect, our business, prospects, financial condition and operating results will be materially and adversely affected.</w:t>
      </w:r>
    </w:p>
    <w:p>
      <w:pPr>
        <w:spacing w:after="0" w:line="129" w:lineRule="exact"/>
        <w:rPr>
          <w:sz w:val="20"/>
          <w:szCs w:val="20"/>
          <w:color w:val="auto"/>
        </w:rPr>
      </w:pPr>
    </w:p>
    <w:p>
      <w:pPr>
        <w:ind w:left="1680" w:right="639"/>
        <w:spacing w:after="0" w:line="258" w:lineRule="auto"/>
        <w:rPr>
          <w:sz w:val="20"/>
          <w:szCs w:val="20"/>
          <w:color w:val="auto"/>
        </w:rPr>
      </w:pPr>
      <w:r>
        <w:rPr>
          <w:rFonts w:ascii="Times New Roman" w:cs="Times New Roman" w:eastAsia="Times New Roman" w:hAnsi="Times New Roman"/>
          <w:sz w:val="13"/>
          <w:szCs w:val="13"/>
          <w:b w:val="1"/>
          <w:bCs w:val="1"/>
          <w:i w:val="1"/>
          <w:iCs w:val="1"/>
          <w:color w:val="auto"/>
        </w:rPr>
        <w:t>In the jurisdictions where we, the VIE and its subsidiaries sell and plan to sell products, the commercial use of passenger-grade AAVs, and in some cases non-passenger-grade AAVs, is subject to an uncertain or lengthy approval process; we cannot predict when regulations will change, and any new regulations may impose onerous requirements and restrictions with which we, the VIE and its subsidiaries, the AAVs and potential customers may be unable to comply. As a result, we, the VIE and its subsidiaries may be limited in, or completely restricted from, growing business in the foreseeable future.</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10159"/>
          </w:cols>
          <w:pgMar w:left="300" w:top="388"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579" w:firstLine="317"/>
        <w:spacing w:after="0" w:line="253" w:lineRule="auto"/>
        <w:rPr>
          <w:sz w:val="20"/>
          <w:szCs w:val="20"/>
          <w:color w:val="auto"/>
        </w:rPr>
      </w:pPr>
      <w:r>
        <w:rPr>
          <w:rFonts w:ascii="Times New Roman" w:cs="Times New Roman" w:eastAsia="Times New Roman" w:hAnsi="Times New Roman"/>
          <w:sz w:val="13"/>
          <w:szCs w:val="13"/>
          <w:color w:val="auto"/>
        </w:rPr>
        <w:t>We operate in a new and rapidly evolving industry, which is subject to extensive legal and regulatory requirements. As described below, in the jurisdictions relevant to us, the commercial use and delivery of our passenger-grade AAVs are, and in the near future are expected to continue to be, subject to an uncertain or lengthy approval process. Without obtaining all applicable regulatory approvals, our AAVs are currently mainly operated on a limited trial basis by our customers in tourism locations in China and are not in broad, mainstream commercial operations. We are unable to estimate the average length of time required to obtain the applicable regulatory approvals due to the nascent nature of AAV-related regulations and the lack of relevant precedents. For example, we are not aware of any operator having been granted all required approvals for the commercial operations of passenger-grade AAVs in China, the United States or elsewhere. In addition, PRC and U.S. regulations impose significant restrictions on our non-passenger-grade AAVs. We cannot predict when these regulations will change, and any new regulations may impose onerous requirements and restrictions.</w:t>
      </w:r>
    </w:p>
    <w:p>
      <w:pPr>
        <w:spacing w:after="0" w:line="138" w:lineRule="exact"/>
        <w:rPr>
          <w:sz w:val="20"/>
          <w:szCs w:val="20"/>
          <w:color w:val="auto"/>
        </w:rPr>
      </w:pPr>
    </w:p>
    <w:p>
      <w:pPr>
        <w:ind w:left="1680" w:right="559" w:firstLine="317"/>
        <w:spacing w:after="0" w:line="251" w:lineRule="auto"/>
        <w:rPr>
          <w:sz w:val="20"/>
          <w:szCs w:val="20"/>
          <w:color w:val="auto"/>
        </w:rPr>
      </w:pPr>
      <w:r>
        <w:rPr>
          <w:rFonts w:ascii="Times New Roman" w:cs="Times New Roman" w:eastAsia="Times New Roman" w:hAnsi="Times New Roman"/>
          <w:sz w:val="13"/>
          <w:szCs w:val="13"/>
          <w:color w:val="auto"/>
        </w:rPr>
        <w:t>In China, the Civil Aviation Administration of China, or CAAC, published the Guidance on UAV Airworthiness Assessment Based on Operation Risks, or the UAV Airworthiness Guidance, on January 25, 2019, which is based on the assessment classification and management of operational risks of UAVs. On May 26, 2020, the Department of Aircraft Airworthiness Certification of the CAAC issued the Administrative Procedures for Airworthiness Assessment of Civil Unmanned Aerial Vehicle Systems (Trial), or the Airworthiness Assessment Procedures, effective on June 1, 2020, with a one-year trial period. According to the Airworthiness Assessment Procedures, enterprises shall apply for the approval letter of design and manufacture from the CAAC if they plan to design and manufacture civil unmanned aerial vehicle systems. The holder of an approval letter of design and manufacture shall set up an airworthiness examination agency, which shall, in accordance with the Administrative Procedures for the Real-name Registration of Civil UAVs (Draft), complete the pre-registration of the civil unmanned aerial vehicle systems it manufactures and, at the time of a customer’s completing the real-name registration and applying for airworthiness approval, conduct verification and inspection and give suggestion to the CAAC as to whether or not to issue the airworthiness approval. The airworthiness approval for a private UAV system shall be completed simultaneously with the real-name registration. We may be required to comply with these regulatory requirements and to obtain relevant licenses, permits, registrations or certificates under such regulatory requirements. However, since the Airworthiness Assessment Procedures is newly enacted, uncertainties still exist in relation to its interpretation and implementation, and there is no detailed rule regarding when and how we should apply for the relevant approvals mentioned therein. Additional rules and regulations with respect to the airworthiness of AAVs are still under discussion by the CAAC. We are making contributions as a member of the CAAC Special Expert Taskforce. On October 29, 2021, CAAC further published Civil Unmanned Aircraft System Airworthiness Certification Management Procedures (Draft for Comments), Civil Unmanned Aircraft System Safety Analysis Guidelines (Draft for Comment), and Civil Unmanned Aircraft Registration Management Procedures (Draft for Comment). Such draft UAV rules mainly cover the medium UAVs weigh between 25 kilograms and 150 kilograms, and large UAVs exceed 150 kilograms in weight. However, we cannot assure you that we will be able to obtain any of the certificates of design and manufacture or airworthiness as required under the detailed rules and regulations in a timely manner or that we can satisfy the relevant requirements or standards under the detailed rules or regulations to be promulgated in the future, which may materially and adversely affect our business and future prospects.</w:t>
      </w:r>
    </w:p>
    <w:p>
      <w:pPr>
        <w:spacing w:after="0" w:line="139" w:lineRule="exact"/>
        <w:rPr>
          <w:sz w:val="20"/>
          <w:szCs w:val="20"/>
          <w:color w:val="auto"/>
        </w:rPr>
      </w:pPr>
    </w:p>
    <w:p>
      <w:pPr>
        <w:ind w:left="1680" w:right="559" w:firstLine="317"/>
        <w:spacing w:after="0" w:line="257" w:lineRule="auto"/>
        <w:rPr>
          <w:sz w:val="20"/>
          <w:szCs w:val="20"/>
          <w:color w:val="auto"/>
        </w:rPr>
      </w:pPr>
      <w:r>
        <w:rPr>
          <w:rFonts w:ascii="Times New Roman" w:cs="Times New Roman" w:eastAsia="Times New Roman" w:hAnsi="Times New Roman"/>
          <w:sz w:val="13"/>
          <w:szCs w:val="13"/>
          <w:color w:val="auto"/>
        </w:rPr>
        <w:t xml:space="preserve">Under the </w:t>
      </w:r>
      <w:r>
        <w:rPr>
          <w:rFonts w:ascii="Times New Roman" w:cs="Times New Roman" w:eastAsia="Times New Roman" w:hAnsi="Times New Roman"/>
          <w:sz w:val="13"/>
          <w:szCs w:val="13"/>
          <w:i w:val="1"/>
          <w:iCs w:val="1"/>
          <w:color w:val="auto"/>
        </w:rPr>
        <w:t>Trial Operation Rules (Interim) for Specific Unmanned Aircraft</w:t>
      </w:r>
      <w:r>
        <w:rPr>
          <w:rFonts w:ascii="Times New Roman" w:cs="Times New Roman" w:eastAsia="Times New Roman" w:hAnsi="Times New Roman"/>
          <w:sz w:val="13"/>
          <w:szCs w:val="13"/>
          <w:color w:val="auto"/>
        </w:rPr>
        <w:t xml:space="preserve"> issued by the CAAC on February 1, 2019, or Interim Rules, to start any specific trial operation, the prospective operator of certain classes of UAVs must submit an application and be approved by the CAAC. In February 2019, we submitted an application to the CAAC for trial operation in relation to a customer’s use of our EHang 216, a model of our passenger-grade AAVs, for aerial logistics use. In May 2020, we obtained the trial operation approval from the CAAC, which expired on May 31, 2021. However, even if this approval is granted by the CAAC, we cannot assure you that it can be extended to the operations of other customers.</w:t>
      </w:r>
    </w:p>
    <w:p>
      <w:pPr>
        <w:spacing w:after="0" w:line="135" w:lineRule="exact"/>
        <w:rPr>
          <w:sz w:val="20"/>
          <w:szCs w:val="20"/>
          <w:color w:val="auto"/>
        </w:rPr>
      </w:pPr>
    </w:p>
    <w:p>
      <w:pPr>
        <w:ind w:left="1680" w:right="599" w:firstLine="317"/>
        <w:spacing w:after="0" w:line="255" w:lineRule="auto"/>
        <w:rPr>
          <w:sz w:val="20"/>
          <w:szCs w:val="20"/>
          <w:color w:val="auto"/>
        </w:rPr>
      </w:pPr>
      <w:r>
        <w:rPr>
          <w:rFonts w:ascii="Times New Roman" w:cs="Times New Roman" w:eastAsia="Times New Roman" w:hAnsi="Times New Roman"/>
          <w:sz w:val="13"/>
          <w:szCs w:val="13"/>
          <w:color w:val="auto"/>
        </w:rPr>
        <w:t>Further, the VIE and its subsidiaries are required to obtain approvals from local divisions of the People’s Liberation Army Air Force, or PLAAF, for proposed flight routes in connection with our business. As the approvals from the PLAAF are usually granted on a one-off basis or are only valid for a limited period of time and the local divisions of PLAAF may exercise air traffic control under certain circumstances which may restrict us from operating our AAVs from time to time, we cannot assure you that the VIE and its subsidiaries will be able to obtain such approval for each matter on which we will work on with our customers or partners in the future. If such approval is not granted in a timely manner, we, the VIE and its subsidiaries, as well as our and their customers or partners will not be able to fly the AAVs in the proposed flight routes.</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10159"/>
          </w:cols>
          <w:pgMar w:left="300" w:top="388"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559" w:firstLine="317"/>
        <w:spacing w:after="0" w:line="253" w:lineRule="auto"/>
        <w:rPr>
          <w:sz w:val="20"/>
          <w:szCs w:val="20"/>
          <w:color w:val="auto"/>
        </w:rPr>
      </w:pPr>
      <w:r>
        <w:rPr>
          <w:rFonts w:ascii="Times New Roman" w:cs="Times New Roman" w:eastAsia="Times New Roman" w:hAnsi="Times New Roman"/>
          <w:sz w:val="13"/>
          <w:szCs w:val="13"/>
          <w:color w:val="auto"/>
        </w:rPr>
        <w:t>As we sell our AAV products internationally, we face challenges in quickly and sufficiently familiarizing ourselves with foreign regulatory environments and policy frameworks. If any new regulation is put in place, or a different interpretation of existing regulation is adopted, our ability to manufacture, market, sell or operate our AAVs or to advertise or deliver air mobility solutions in general may be limited or otherwise affected. Failure to comply with applicable regulations or to obtain, maintain or renew the necessary permits, licenses, registrations or certificates could cause delays in, or prevent us from, manufacturing, marketing, selling and operating our AAV products, meeting product demand and expectations, introducing new products or expanding our service coverage, and could materially and adversely affect our operation results. If we are found to be in violation of applicable laws or regulations, we could be subject to administrative punishment, including fines, injunctions, recalls or asset seizures, as well as potential criminal sanctions, any of which could have a material adverse effect on our business, financial condition, results of operations and prospects.</w:t>
      </w:r>
    </w:p>
    <w:p>
      <w:pPr>
        <w:spacing w:after="0" w:line="21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We may be unable to make timely product deliveries due to limited production capacity.</w:t>
      </w:r>
    </w:p>
    <w:p>
      <w:pPr>
        <w:spacing w:after="0" w:line="88" w:lineRule="exact"/>
        <w:rPr>
          <w:sz w:val="20"/>
          <w:szCs w:val="20"/>
          <w:color w:val="auto"/>
        </w:rPr>
      </w:pPr>
    </w:p>
    <w:p>
      <w:pPr>
        <w:ind w:left="1680" w:right="559" w:firstLine="317"/>
        <w:spacing w:after="0" w:line="252" w:lineRule="auto"/>
        <w:rPr>
          <w:sz w:val="20"/>
          <w:szCs w:val="20"/>
          <w:color w:val="auto"/>
        </w:rPr>
      </w:pPr>
      <w:r>
        <w:rPr>
          <w:rFonts w:ascii="Times New Roman" w:cs="Times New Roman" w:eastAsia="Times New Roman" w:hAnsi="Times New Roman"/>
          <w:sz w:val="13"/>
          <w:szCs w:val="13"/>
          <w:color w:val="auto"/>
        </w:rPr>
        <w:t>As of December 31, 2021, we had unfilled pre-orders for more than 1,000 units of passenger-grade AAVs. Commercial production of our passenger-grade AAVs requires timely and adequate supply of various types of raw materials and components, as well as mass production capacity and efficient manufacturing and assembly. We have limited experience in high-volume manufacturing of our AAVs. We cannot assure you that we will be able to expand our production capacity efficiently and cost-effectively, or to procure sufficient raw materials and components to meet our production volume. While we are looking into expanding our manufacturing capacity through partnerships, such partnerships may not be successful, or we may not be able to do so in a timely manner to fulfill our backlog orders. While we obtain components from multiple sources whenever possible, some of the components used in our AAVs are currently selected to be purchased from a single source to improve cost-efficiency. Disruption in the supply of components, whether or not from a single-source supplier, could temporarily disrupt commercial production of our AAVs. We also outsource certain manufacturing activities to third party contract manufacturers. We may experience operational difficulties with our contract manufacturers, including reductions in the availability of production capacity, failure to comply with product specifications, insufficient quality control, failure to meet production deadlines, increases in manufacturing costs and longer lead time.</w:t>
      </w:r>
    </w:p>
    <w:p>
      <w:pPr>
        <w:spacing w:after="0" w:line="141" w:lineRule="exact"/>
        <w:rPr>
          <w:sz w:val="20"/>
          <w:szCs w:val="20"/>
          <w:color w:val="auto"/>
        </w:rPr>
      </w:pPr>
    </w:p>
    <w:p>
      <w:pPr>
        <w:ind w:left="1680" w:right="599" w:firstLine="317"/>
        <w:spacing w:after="0" w:line="278" w:lineRule="auto"/>
        <w:rPr>
          <w:sz w:val="20"/>
          <w:szCs w:val="20"/>
          <w:color w:val="auto"/>
        </w:rPr>
      </w:pPr>
      <w:r>
        <w:rPr>
          <w:rFonts w:ascii="Times New Roman" w:cs="Times New Roman" w:eastAsia="Times New Roman" w:hAnsi="Times New Roman"/>
          <w:sz w:val="13"/>
          <w:szCs w:val="13"/>
          <w:color w:val="auto"/>
        </w:rPr>
        <w:t>Any of the foregoing could result in our failure to make timely deliveries to our customers. Such failure would materially and adversely affect our business, results of operations, financial condition and prospects.</w:t>
      </w:r>
    </w:p>
    <w:p>
      <w:pPr>
        <w:spacing w:after="0" w:line="19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Our framework and conditional agreements may not result in material sales of our products.</w:t>
      </w:r>
    </w:p>
    <w:p>
      <w:pPr>
        <w:spacing w:after="0" w:line="88" w:lineRule="exact"/>
        <w:rPr>
          <w:sz w:val="20"/>
          <w:szCs w:val="20"/>
          <w:color w:val="auto"/>
        </w:rPr>
      </w:pPr>
    </w:p>
    <w:p>
      <w:pPr>
        <w:ind w:left="1680" w:right="599" w:firstLine="317"/>
        <w:spacing w:after="0" w:line="252" w:lineRule="auto"/>
        <w:rPr>
          <w:sz w:val="20"/>
          <w:szCs w:val="20"/>
          <w:color w:val="auto"/>
        </w:rPr>
      </w:pPr>
      <w:r>
        <w:rPr>
          <w:rFonts w:ascii="Times New Roman" w:cs="Times New Roman" w:eastAsia="Times New Roman" w:hAnsi="Times New Roman"/>
          <w:sz w:val="13"/>
          <w:szCs w:val="13"/>
          <w:color w:val="auto"/>
        </w:rPr>
        <w:t>We have entered into a number of long-term agreements with customers and partners relating to the sale of our passenger-grade AAVs. Some of these agreements are conditional, and our counterparty is not obligated to purchase our products unless a number of conditions are satisfied. Under our agreement with a U.S. biotechnology customer, the customer is not required to purchase our AAVs unless our AAVs achieve a number of performance milestones and it obtains required approvals from the Federal Aviation Administration, or the FAA, and the Food and Drug Administration, or the FDA, for the commercial operation of our AAVs. We have yet to achieve the performance milestones, and the customers are allowed to terminate the agreements before that happens. Further, it may be time-consuming for the customer to obtain the required approvals, if they are able to do so at all. Some other agreements are framework agreements containing sales targets, but that does not obligate our counterparties to purchase our products at all. We expect the number of orders and pre-orders we receive under these framework agreements to depend on a number of factors, including changes in the regulatory environment, customers’ acceptance of and demand for our products and services and our production capacity. For the foregoing reasons, we may not receive substantial orders from our current or potential customers. As our long-term agreements may not result in material sales of our products, our future results of operations may not scale or otherwise meet our current expectations.</w:t>
      </w:r>
    </w:p>
    <w:p>
      <w:pPr>
        <w:spacing w:after="0" w:line="21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We have substantial customer concentration and we have experienced a significant increase in accounts receivable.</w:t>
      </w:r>
    </w:p>
    <w:p>
      <w:pPr>
        <w:spacing w:after="0" w:line="88" w:lineRule="exact"/>
        <w:rPr>
          <w:sz w:val="20"/>
          <w:szCs w:val="20"/>
          <w:color w:val="auto"/>
        </w:rPr>
      </w:pPr>
    </w:p>
    <w:p>
      <w:pPr>
        <w:ind w:left="1680" w:right="559" w:firstLine="317"/>
        <w:spacing w:after="0" w:line="252" w:lineRule="auto"/>
        <w:rPr>
          <w:sz w:val="20"/>
          <w:szCs w:val="20"/>
          <w:color w:val="auto"/>
        </w:rPr>
      </w:pPr>
      <w:r>
        <w:rPr>
          <w:rFonts w:ascii="Times New Roman" w:cs="Times New Roman" w:eastAsia="Times New Roman" w:hAnsi="Times New Roman"/>
          <w:sz w:val="13"/>
          <w:szCs w:val="13"/>
          <w:color w:val="auto"/>
        </w:rPr>
        <w:t>Due to the short history of our business and that we have not achieved significant scale, we had and expect to continue to have customer concentration. In 2019, 2020 and 2021, the largest customer accounted for 24%, 51% and 35% of our revenues, respectively. There are inherent risks whenever a large percentage of revenues are concentrated with a limited number of customers that mainly operate our AAVs in tourism locations in China, rather than in broad, mainstream commercial operations. We are unable to predict the future level of demand for our services that will be generated by these customers. In addition, our accounts receivable balance significantly increased from RMB41.1 million as of December 31, 2019 to RMB179.4 million as of December 31, 2020, out of which RMB16.2 million was included in other non-current assets. However, our accounts receivable balance decreased to RMB56.2 million (US$8.8 million) as of December 31, 2021 due to additional allowance for doubtful account provided in 2021, as the resurgence of the COVID-19 and related control measures have repeatedly impacted on our customers from tourism sectors, which suffered disproportionately from the pandemic. As of December 31, 2021, accounts receivable balance (net of allowances) from our top two customers accounted for 58% of our total accounts receivable balance. For our air mobility solutions and aerial media solutions, we typically require a portion of payments upfront and the remaining amounts are contractually due ranging from three to six months. However, due to the COVID-19 continuing impacts in 2020 and 2021, we faced delayed collection of our accounts receivable from some of our customers later than the due dates. If our major customers were to cease purchasing our products or services, cancel existing orders or fail to make payments to us in a timely fashion, our business and results of operations will be materially and adversely affected.</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10159"/>
          </w:cols>
          <w:pgMar w:left="300" w:top="388"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Our technology platform may not perform in line with customer specifications or expectations.</w:t>
      </w:r>
    </w:p>
    <w:p>
      <w:pPr>
        <w:spacing w:after="0" w:line="88" w:lineRule="exact"/>
        <w:rPr>
          <w:sz w:val="20"/>
          <w:szCs w:val="20"/>
          <w:color w:val="auto"/>
        </w:rPr>
      </w:pPr>
    </w:p>
    <w:p>
      <w:pPr>
        <w:ind w:left="1680" w:right="759" w:firstLine="317"/>
        <w:spacing w:after="0" w:line="254" w:lineRule="auto"/>
        <w:rPr>
          <w:sz w:val="20"/>
          <w:szCs w:val="20"/>
          <w:color w:val="auto"/>
        </w:rPr>
      </w:pPr>
      <w:r>
        <w:rPr>
          <w:rFonts w:ascii="Times New Roman" w:cs="Times New Roman" w:eastAsia="Times New Roman" w:hAnsi="Times New Roman"/>
          <w:sz w:val="13"/>
          <w:szCs w:val="13"/>
          <w:color w:val="auto"/>
        </w:rPr>
        <w:t>Our technology platform, consisting of our AAVs, in-flight operating systems and on-the-ground infrastructure, may not perform in line with customers’ expectations. For example, our AAVs may not be as easy to operate or maintain as customers expect. In addition, certain orders and pre-orders of our passenger-grade AAVs are conditioned on their meeting defined technical specifications (such as a specified cruising speed, operational range and payload capacity) according to agreed-upon delivery timetables. See “Item 4. Information on the Company—B. Business Overview—Our AAV Commercial Solutions” for further details. Future customers may also require performance specifications that we are unable to deliver. Some of these target specifications, such as those dependent on battery technology, are constrained by the pace of general technological advancement and the capabilities of our suppliers, which are largely beyond our control.</w:t>
      </w:r>
    </w:p>
    <w:p>
      <w:pPr>
        <w:spacing w:after="0" w:line="138" w:lineRule="exact"/>
        <w:rPr>
          <w:sz w:val="20"/>
          <w:szCs w:val="20"/>
          <w:color w:val="auto"/>
        </w:rPr>
      </w:pPr>
    </w:p>
    <w:p>
      <w:pPr>
        <w:ind w:left="1680" w:right="559" w:firstLine="317"/>
        <w:spacing w:after="0" w:line="257" w:lineRule="auto"/>
        <w:rPr>
          <w:sz w:val="20"/>
          <w:szCs w:val="20"/>
          <w:color w:val="auto"/>
        </w:rPr>
      </w:pPr>
      <w:r>
        <w:rPr>
          <w:rFonts w:ascii="Times New Roman" w:cs="Times New Roman" w:eastAsia="Times New Roman" w:hAnsi="Times New Roman"/>
          <w:sz w:val="13"/>
          <w:szCs w:val="13"/>
          <w:color w:val="auto"/>
        </w:rPr>
        <w:t>Our technology platform may contain design or manufacturing defects that result in unsatisfactory performance or require repair. Our technology platform uses a substantial amount of algorithms and software to operate. Software products are inherently complex and often contain defects and errors, especially when first introduced. While we have performed extensive internal testing on our AAV software and hardware systems, we have a limited frame of reference by which to evaluate the long-term performance of our technology platform. There can be no assurance that we will be able to detect and fix any defects in our technology platform before we, the VIE and its subsidiaries sell products and services to customers.</w:t>
      </w:r>
    </w:p>
    <w:p>
      <w:pPr>
        <w:spacing w:after="0" w:line="133" w:lineRule="exact"/>
        <w:rPr>
          <w:sz w:val="20"/>
          <w:szCs w:val="20"/>
          <w:color w:val="auto"/>
        </w:rPr>
      </w:pPr>
    </w:p>
    <w:p>
      <w:pPr>
        <w:ind w:left="1680" w:right="579" w:firstLine="317"/>
        <w:spacing w:after="0" w:line="259" w:lineRule="auto"/>
        <w:rPr>
          <w:sz w:val="20"/>
          <w:szCs w:val="20"/>
          <w:color w:val="auto"/>
        </w:rPr>
      </w:pPr>
      <w:r>
        <w:rPr>
          <w:rFonts w:ascii="Times New Roman" w:cs="Times New Roman" w:eastAsia="Times New Roman" w:hAnsi="Times New Roman"/>
          <w:sz w:val="13"/>
          <w:szCs w:val="13"/>
          <w:color w:val="auto"/>
        </w:rPr>
        <w:t>If our technology platform is defective or otherwise fails to perform as expected or in accordance with prescribed technical specifications and timetable, our AAVs may experience accidents and we may suffer adverse publicity, order cancellations, revenue declines, delivery delays, product recalls, product liability claims, and significant warranty and other expenses. These consequences could have a material adverse impact on our business, financial condition, operating results and prospects.</w:t>
      </w:r>
    </w:p>
    <w:p>
      <w:pPr>
        <w:spacing w:after="0" w:line="20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Our reputation and the trading price of our ADSs may be negatively affected by adverse publicity or detrimental conduct against us.</w:t>
      </w:r>
    </w:p>
    <w:p>
      <w:pPr>
        <w:spacing w:after="0" w:line="88" w:lineRule="exact"/>
        <w:rPr>
          <w:sz w:val="20"/>
          <w:szCs w:val="20"/>
          <w:color w:val="auto"/>
        </w:rPr>
      </w:pPr>
    </w:p>
    <w:p>
      <w:pPr>
        <w:ind w:left="1680" w:right="599" w:firstLine="317"/>
        <w:spacing w:after="0" w:line="253" w:lineRule="auto"/>
        <w:rPr>
          <w:sz w:val="20"/>
          <w:szCs w:val="20"/>
          <w:color w:val="auto"/>
        </w:rPr>
      </w:pPr>
      <w:r>
        <w:rPr>
          <w:rFonts w:ascii="Times New Roman" w:cs="Times New Roman" w:eastAsia="Times New Roman" w:hAnsi="Times New Roman"/>
          <w:sz w:val="13"/>
          <w:szCs w:val="13"/>
          <w:color w:val="auto"/>
        </w:rPr>
        <w:t>Adverse publicity concerning our failure or perceived failure to comply with legal and regulatory requirements, alleged accounting or financial reporting irregularities, regulatory scrutiny and further regulatory action or litigation could harm our reputation and cause the trading price of our ADSs to decline and fluctuate significantly. For example, after Wolfpack Research, an entity unrelated to us, issued a report containing various allegations about us in February 2021, the trading price of our ADSs declined sharply and we received numerous investor inquiries. The negative publicity and the resulting decline of the trading price of our ADSs also led to the filing of three putative shareholder class action lawsuits against us and some of our senior executive officers, and may potentially have further severe impact on the market price of our ADSs and divert management’s attention from the day-to-day operations of our company. Our management and audit committee conducted additional procedures and actions to mitigate risks of the short seller allegations. However, we may be constrained in the manner in which we can proceed against the relevant short sellers by principles of freedom of speech, applicable state law or issues of commercial confidentiality.</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17</w:t>
      </w:r>
    </w:p>
    <w:p>
      <w:pPr>
        <w:sectPr>
          <w:pgSz w:w="11900" w:h="16838" w:orient="portrait"/>
          <w:cols w:equalWidth="0" w:num="1">
            <w:col w:w="10159"/>
          </w:cols>
          <w:pgMar w:left="300" w:top="388"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579" w:firstLine="317"/>
        <w:spacing w:after="0" w:line="254" w:lineRule="auto"/>
        <w:rPr>
          <w:sz w:val="20"/>
          <w:szCs w:val="20"/>
          <w:color w:val="auto"/>
        </w:rPr>
      </w:pPr>
      <w:r>
        <w:rPr>
          <w:rFonts w:ascii="Times New Roman" w:cs="Times New Roman" w:eastAsia="Times New Roman" w:hAnsi="Times New Roman"/>
          <w:sz w:val="13"/>
          <w:szCs w:val="13"/>
          <w:color w:val="auto"/>
        </w:rPr>
        <w:t>We may continue to be the target of adverse publicity and detrimental conduct against us, including complaints, anonymous or otherwise, to regulatory agencies regarding our operations, accounting, revenues and regulatory compliance. Additionally, allegations against us may be posted on the internet by any person or entity which identifies itself or on an anonymous basis. We, the VIE and its subsidiaries may be subject to government or regulatory investigation or inquiries, or shareholder lawsuits, as a result of such third-party conduct and may be required to incur significant time and substantial costs to defend ourselves, and there is no assurance that we, the VIE and its subsidiaries will be able to conclusively refute each of the allegations within a reasonable period of time or at all. Our reputation may also be negatively affected as a result of the public dissemination of allegations or malicious statements about us, which in turn may materially and adversely affect the trading price of our ADSs.</w:t>
      </w:r>
    </w:p>
    <w:p>
      <w:pPr>
        <w:spacing w:after="0" w:line="211" w:lineRule="exact"/>
        <w:rPr>
          <w:sz w:val="20"/>
          <w:szCs w:val="20"/>
          <w:color w:val="auto"/>
        </w:rPr>
      </w:pPr>
    </w:p>
    <w:p>
      <w:pPr>
        <w:ind w:left="1680" w:right="73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We have been named as a defendant in a consolidated class action lawsuit which could have a material adverse impact on our business, financial condition, results of operations, cash flows and reputation.</w:t>
      </w:r>
    </w:p>
    <w:p>
      <w:pPr>
        <w:spacing w:after="0" w:line="38" w:lineRule="exact"/>
        <w:rPr>
          <w:sz w:val="20"/>
          <w:szCs w:val="20"/>
          <w:color w:val="auto"/>
        </w:rPr>
      </w:pPr>
    </w:p>
    <w:p>
      <w:pPr>
        <w:ind w:left="1680" w:right="559" w:firstLine="317"/>
        <w:spacing w:after="0" w:line="274" w:lineRule="auto"/>
        <w:rPr>
          <w:sz w:val="20"/>
          <w:szCs w:val="20"/>
          <w:color w:val="auto"/>
        </w:rPr>
      </w:pPr>
      <w:r>
        <w:rPr>
          <w:rFonts w:ascii="Times New Roman" w:cs="Times New Roman" w:eastAsia="Times New Roman" w:hAnsi="Times New Roman"/>
          <w:sz w:val="12"/>
          <w:szCs w:val="12"/>
          <w:color w:val="auto"/>
        </w:rPr>
        <w:t>We are defending against a consolidated class action lawsuit described in “Item 8. Financial Information—A. Consolidated Statements and Other Financial Information—Legal Proceedings.” While we intend to defend against this lawsuit vigorously, we are currently unable to estimate the possible loss or possible range of loss, if any, associated with the resolution of this lawsuit. In the event that our initial defense of this lawsuit is unsuccessful, there can be no assurance that we will prevail in any appeal. Any adverse outcome of this lawsuit, including any plaintiff’s appeal of the judgment, could have a material adverse effect on our business, financial condition, operating results, cash flows and reputation. In addition, there can be no assurance that our insurance carriers will cover all or part of the defense costs, or any liabilities that may arise from this matter. The litigation process may require us to use a significant portion of our cash resources, divert our management’s attention from the day-to-day operations of our company, and dissuade potential customers from using our services, which could harm our business. We, the VIE or its subsidiaries also may be subject to claims for indemnification related to this matter, and we, the VIE or its subsidiaries cannot predict the impact that indemnification claims may have on our business or financial results. We, the VIE or its subsidiaries may need to settle this litigation on terms that are unfavorable to us, or we, the VIE or its subsidiaries may be subject to an unfavorable judgment that may not be reversible upon appeal. The terms of any settlement or judgment may require us, the VIE or its subsidiaries to cease some or all of our operations or pay substantial amounts to the other party. We, the VIE or its subsidiaries also may receive unfavorable preliminary or interim rulings in the course of litigation, and there can be no assurances that favorable a final outcome will be obtained.</w:t>
      </w:r>
    </w:p>
    <w:p>
      <w:pPr>
        <w:spacing w:after="0" w:line="205" w:lineRule="exact"/>
        <w:rPr>
          <w:sz w:val="20"/>
          <w:szCs w:val="20"/>
          <w:color w:val="auto"/>
        </w:rPr>
      </w:pPr>
    </w:p>
    <w:p>
      <w:pPr>
        <w:ind w:left="1680" w:right="93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We are a relatively young company with a short operating history, and we may not be able to sustain our rapid growth, effectively manage our growth or implement our business strategies.</w:t>
      </w:r>
    </w:p>
    <w:p>
      <w:pPr>
        <w:spacing w:after="0" w:line="38" w:lineRule="exact"/>
        <w:rPr>
          <w:sz w:val="20"/>
          <w:szCs w:val="20"/>
          <w:color w:val="auto"/>
        </w:rPr>
      </w:pPr>
    </w:p>
    <w:p>
      <w:pPr>
        <w:ind w:left="1680" w:right="559" w:firstLine="317"/>
        <w:spacing w:after="0" w:line="257" w:lineRule="auto"/>
        <w:rPr>
          <w:sz w:val="20"/>
          <w:szCs w:val="20"/>
          <w:color w:val="auto"/>
        </w:rPr>
      </w:pPr>
      <w:r>
        <w:rPr>
          <w:rFonts w:ascii="Times New Roman" w:cs="Times New Roman" w:eastAsia="Times New Roman" w:hAnsi="Times New Roman"/>
          <w:sz w:val="13"/>
          <w:szCs w:val="13"/>
          <w:color w:val="auto"/>
        </w:rPr>
        <w:t>We, the VIE and its subsidiaries have been providing AAV commercial solutions since 2014. Although we have experienced growth, our historical performance may not be indicative of our future performance due to our limited operating history. We are currently commercializing our AAVs and air mobility solutions, and have a short history of accepting orders for our AAVs and delivering them to customers for testing, training and demonstration purposes. There is only a limited historical basis for making judgments on the demand for our products and services or our ability to produce and deliver AAVs and air mobility solutions, or to become profitable in the future.</w:t>
      </w:r>
    </w:p>
    <w:p>
      <w:pPr>
        <w:spacing w:after="0" w:line="133" w:lineRule="exact"/>
        <w:rPr>
          <w:sz w:val="20"/>
          <w:szCs w:val="20"/>
          <w:color w:val="auto"/>
        </w:rPr>
      </w:pPr>
    </w:p>
    <w:p>
      <w:pPr>
        <w:ind w:left="1680" w:right="779" w:firstLine="317"/>
        <w:spacing w:after="0" w:line="278" w:lineRule="auto"/>
        <w:rPr>
          <w:sz w:val="20"/>
          <w:szCs w:val="20"/>
          <w:color w:val="auto"/>
        </w:rPr>
      </w:pPr>
      <w:r>
        <w:rPr>
          <w:rFonts w:ascii="Times New Roman" w:cs="Times New Roman" w:eastAsia="Times New Roman" w:hAnsi="Times New Roman"/>
          <w:sz w:val="13"/>
          <w:szCs w:val="13"/>
          <w:color w:val="auto"/>
        </w:rPr>
        <w:t>You should consider our business and future prospects in light of the risks and challenges we face as a new entrant to a nascent industry and to overseas markets, including risks and challenges associated with our ability to:</w:t>
      </w:r>
    </w:p>
    <w:p>
      <w:pPr>
        <w:spacing w:after="0" w:line="52" w:lineRule="exact"/>
        <w:rPr>
          <w:sz w:val="20"/>
          <w:szCs w:val="20"/>
          <w:color w:val="auto"/>
        </w:rPr>
      </w:pPr>
    </w:p>
    <w:p>
      <w:pPr>
        <w:ind w:left="2380" w:hanging="315"/>
        <w:spacing w:after="0"/>
        <w:tabs>
          <w:tab w:leader="none" w:pos="23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provide safe, convenient and effective air mobility solutions;</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maintain reliable, secure, high-performance and scalable infrastructure;</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identify suitable facilities to expand manufacturing capacity;</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navigate the evolving and complex regulatory environment across all the markets in which we operate;</w:t>
      </w:r>
    </w:p>
    <w:p>
      <w:pPr>
        <w:spacing w:after="0" w:line="93" w:lineRule="exact"/>
        <w:rPr>
          <w:rFonts w:ascii="Times New Roman" w:cs="Times New Roman" w:eastAsia="Times New Roman" w:hAnsi="Times New Roman"/>
          <w:sz w:val="13"/>
          <w:szCs w:val="13"/>
          <w:color w:val="auto"/>
        </w:rPr>
      </w:pPr>
    </w:p>
    <w:p>
      <w:pPr>
        <w:jc w:val="both"/>
        <w:ind w:left="2380" w:right="659" w:hanging="315"/>
        <w:spacing w:after="0" w:line="264" w:lineRule="auto"/>
        <w:tabs>
          <w:tab w:leader="none" w:pos="23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anticipate and adapt to changing market conditions, including technological developments and changes in the competitive landscape, and adjust, manage and execute our marketing and sales activities to cater to local economic and demographic conditions, cultural differences and customer preferences across all our current and future markets;</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18</w:t>
      </w:r>
    </w:p>
    <w:p>
      <w:pPr>
        <w:sectPr>
          <w:pgSz w:w="11900" w:h="16838" w:orient="portrait"/>
          <w:cols w:equalWidth="0" w:num="1">
            <w:col w:w="10159"/>
          </w:cols>
          <w:pgMar w:left="300" w:top="388"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2380" w:hanging="315"/>
        <w:spacing w:after="0"/>
        <w:tabs>
          <w:tab w:leader="none" w:pos="23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successfully market our AAV commercial solutions;</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improve and maintain our operational efficiency; and</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attract, retain and motivate talented employees.</w:t>
      </w:r>
    </w:p>
    <w:p>
      <w:pPr>
        <w:spacing w:after="0" w:line="16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If we fail to address any or all of these risks and challenges, our business may be materially and adversely affected.</w:t>
      </w:r>
    </w:p>
    <w:p>
      <w:pPr>
        <w:spacing w:after="0" w:line="162" w:lineRule="exact"/>
        <w:rPr>
          <w:sz w:val="20"/>
          <w:szCs w:val="20"/>
          <w:color w:val="auto"/>
        </w:rPr>
      </w:pPr>
    </w:p>
    <w:p>
      <w:pPr>
        <w:ind w:left="1680" w:right="559" w:firstLine="317"/>
        <w:spacing w:after="0" w:line="278" w:lineRule="auto"/>
        <w:rPr>
          <w:sz w:val="20"/>
          <w:szCs w:val="20"/>
          <w:color w:val="auto"/>
        </w:rPr>
      </w:pPr>
      <w:r>
        <w:rPr>
          <w:rFonts w:ascii="Times New Roman" w:cs="Times New Roman" w:eastAsia="Times New Roman" w:hAnsi="Times New Roman"/>
          <w:sz w:val="12"/>
          <w:szCs w:val="12"/>
          <w:color w:val="auto"/>
        </w:rPr>
        <w:t>As our business grows, we, the VIE or its subsidiaries may adjust our product and service offerings. These adjustments may not bring about expected results and may instead have a material and adverse impact on our financial condition and results of operations. For example, we and the VIE historically manufactured and sold consumer drones while we and the VIE were developing our passenger-grade AAVs and AAV commercial solutions. Our consumer drone business was not successful. We and the VIE gradually phased out this business to focus on more innovative products and services. Our revenue structure may continue to evolve in response to market demand. In particular, we expect the relative revenue contribution from air mobility solutions to increase and that from aerial media solutions to decrease in the foreseeable future. Our growth is dependent on the development of such new products and services. We may not accurately identify market needs before we invest in the development of a new product or a new service. In addition, we might face difficulties or delays in the development process, which may result in losses in our market share and competitive advantages.</w:t>
      </w:r>
    </w:p>
    <w:p>
      <w:pPr>
        <w:spacing w:after="0" w:line="122" w:lineRule="exact"/>
        <w:rPr>
          <w:sz w:val="20"/>
          <w:szCs w:val="20"/>
          <w:color w:val="auto"/>
        </w:rPr>
      </w:pPr>
    </w:p>
    <w:p>
      <w:pPr>
        <w:ind w:left="1680" w:right="679" w:firstLine="317"/>
        <w:spacing w:after="0" w:line="257" w:lineRule="auto"/>
        <w:rPr>
          <w:sz w:val="20"/>
          <w:szCs w:val="20"/>
          <w:color w:val="auto"/>
        </w:rPr>
      </w:pPr>
      <w:r>
        <w:rPr>
          <w:rFonts w:ascii="Times New Roman" w:cs="Times New Roman" w:eastAsia="Times New Roman" w:hAnsi="Times New Roman"/>
          <w:sz w:val="13"/>
          <w:szCs w:val="13"/>
          <w:color w:val="auto"/>
        </w:rPr>
        <w:t>In pursuit of our growth strategy, we, the VIE or its subsidiaries may enter into new strategic relationships to further penetrate our targeted markets. For example, we cooperated with local partners for developing UAM businesses and received pre-orders for our passenger-grade AAVs from partners in Japan, Indonesia, Malaysia, etc. Should these relationships fail to materialize and develop into demand or orders for our products and services, or should we fail to work effectively with these companies, we may lose opportunities to generate sales growth and our business, results of operations and financial condition could be adversely affected.</w:t>
      </w:r>
    </w:p>
    <w:p>
      <w:pPr>
        <w:spacing w:after="0" w:line="207" w:lineRule="exact"/>
        <w:rPr>
          <w:sz w:val="20"/>
          <w:szCs w:val="20"/>
          <w:color w:val="auto"/>
        </w:rPr>
      </w:pPr>
    </w:p>
    <w:p>
      <w:pPr>
        <w:ind w:left="1680" w:right="619"/>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Our AAVs and AAV commercial solutions are subject to safety standards, and the failure to satisfy such mandated safety standards or failure to design, manufacture and operate safe and high-performance AAVs and related operating systems and infrastructure would have a material adverse effect on our business and operating results.</w:t>
      </w:r>
    </w:p>
    <w:p>
      <w:pPr>
        <w:spacing w:after="0" w:line="50" w:lineRule="exact"/>
        <w:rPr>
          <w:sz w:val="20"/>
          <w:szCs w:val="20"/>
          <w:color w:val="auto"/>
        </w:rPr>
      </w:pPr>
    </w:p>
    <w:p>
      <w:pPr>
        <w:ind w:left="1680" w:right="559" w:firstLine="317"/>
        <w:spacing w:after="0" w:line="252" w:lineRule="auto"/>
        <w:rPr>
          <w:sz w:val="20"/>
          <w:szCs w:val="20"/>
          <w:color w:val="auto"/>
        </w:rPr>
      </w:pPr>
      <w:r>
        <w:rPr>
          <w:rFonts w:ascii="Times New Roman" w:cs="Times New Roman" w:eastAsia="Times New Roman" w:hAnsi="Times New Roman"/>
          <w:sz w:val="13"/>
          <w:szCs w:val="13"/>
          <w:color w:val="auto"/>
        </w:rPr>
        <w:t>Sales of our AAVs, including our passenger-grade AAVs and non-passenger-grade AAVs, must comply with applicable standards in the market where they are sold, including standards on design, manufacturing and operation. In China, for example, certain components of our AAVs must pass various tests and undergo a certification process and be affixed with a China Compulsory Certificate, or CCC, before they can be installed on our AAVs. We cannot assure you that we have obtained the CCC for all the components of our AAVs that are listed in the CCC Product Catalogue. Failure to install components with a CCC may prevent us from selling the affected products and negatively affect our manufacturing and sales of AAVs. See “Item 4. Information on the Company—B. Business Overview—PRC Regulation” for further details. In the United States, the FAA oversees the safety of aircraft operations in the national airspace system and has the authority to grant airworthiness certificates and related exemptions to unmanned aircraft systems. If we fail to have our AAVs satisfy applicable aerial vehicle standards in any jurisdiction where we operate, our business and operating results would be adversely affected. To achieve a high level of safety assurance, we have also established our own AAV safety standards. While we are committed to producing safe and high-quality products, there can be no assurance that our safety technology will be effective in preventing incidents related to product safety, such as accidents involving our AAVs. Failure to ensure the safe operation of our AAVs will affect our reputation and the sales of our AAVs, which will ultimately adversely affect our business operation and financial results.</w:t>
      </w:r>
    </w:p>
    <w:p>
      <w:pPr>
        <w:spacing w:after="0" w:line="21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We have incurred, and in the future may continue to incur, net losses.</w:t>
      </w:r>
    </w:p>
    <w:p>
      <w:pPr>
        <w:spacing w:after="0" w:line="88" w:lineRule="exact"/>
        <w:rPr>
          <w:sz w:val="20"/>
          <w:szCs w:val="20"/>
          <w:color w:val="auto"/>
        </w:rPr>
      </w:pPr>
    </w:p>
    <w:p>
      <w:pPr>
        <w:ind w:left="1680" w:right="559" w:firstLine="317"/>
        <w:spacing w:after="0" w:line="259" w:lineRule="auto"/>
        <w:rPr>
          <w:sz w:val="20"/>
          <w:szCs w:val="20"/>
          <w:color w:val="auto"/>
        </w:rPr>
      </w:pPr>
      <w:r>
        <w:rPr>
          <w:rFonts w:ascii="Times New Roman" w:cs="Times New Roman" w:eastAsia="Times New Roman" w:hAnsi="Times New Roman"/>
          <w:sz w:val="13"/>
          <w:szCs w:val="13"/>
          <w:color w:val="auto"/>
        </w:rPr>
        <w:t>We have incurred net losses in the past. In 2019, 2020 and 2021, we had net losses of RMB48.0 million, RMB92.0 million and RMB313.9 million (US$49.3 million), respectively, and we had net operating cash outflows of RMB55.5 million, RMB151.7 million, and RMB121.6 million (US$19.1 million), respectively. We expect our costs to increase in future periods as we continue to expand our business and operations. We also expect to incur substantial costs and expenses as a result of being a public company.</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19</w:t>
      </w:r>
    </w:p>
    <w:p>
      <w:pPr>
        <w:sectPr>
          <w:pgSz w:w="11900" w:h="16838" w:orient="portrait"/>
          <w:cols w:equalWidth="0" w:num="1">
            <w:col w:w="10159"/>
          </w:cols>
          <w:pgMar w:left="300" w:top="388"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559" w:firstLine="317"/>
        <w:spacing w:after="0" w:line="257" w:lineRule="auto"/>
        <w:rPr>
          <w:sz w:val="20"/>
          <w:szCs w:val="20"/>
          <w:color w:val="auto"/>
        </w:rPr>
      </w:pPr>
      <w:r>
        <w:rPr>
          <w:rFonts w:ascii="Times New Roman" w:cs="Times New Roman" w:eastAsia="Times New Roman" w:hAnsi="Times New Roman"/>
          <w:sz w:val="13"/>
          <w:szCs w:val="13"/>
          <w:color w:val="auto"/>
        </w:rPr>
        <w:t>We cannot assure you that we will be able to generate net profits or positive operating cash flows in the future. Our ability to achieve profitability depends in large part on, among other factors, our ability to increase orders and sales of our AAVs, AAV commercial solutions and services, achieve economies of scale, establish effective pricing strategies, effectively navigate the regulatory environments in different jurisdictions, and increase operational efficiency. If we are unable to generate adequate revenues or effectively manage our expenses, we may continue to incur significant losses in the future and may not be able to achieve or subsequently maintain profitability.</w:t>
      </w:r>
    </w:p>
    <w:p>
      <w:pPr>
        <w:spacing w:after="0" w:line="20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We may not be successful in competing in the UAV industry.</w:t>
      </w:r>
    </w:p>
    <w:p>
      <w:pPr>
        <w:spacing w:after="0" w:line="88" w:lineRule="exact"/>
        <w:rPr>
          <w:sz w:val="20"/>
          <w:szCs w:val="20"/>
          <w:color w:val="auto"/>
        </w:rPr>
      </w:pPr>
    </w:p>
    <w:p>
      <w:pPr>
        <w:ind w:left="1680" w:right="579" w:firstLine="317"/>
        <w:spacing w:after="0" w:line="283" w:lineRule="auto"/>
        <w:rPr>
          <w:sz w:val="20"/>
          <w:szCs w:val="20"/>
          <w:color w:val="auto"/>
        </w:rPr>
      </w:pPr>
      <w:r>
        <w:rPr>
          <w:rFonts w:ascii="Times New Roman" w:cs="Times New Roman" w:eastAsia="Times New Roman" w:hAnsi="Times New Roman"/>
          <w:sz w:val="12"/>
          <w:szCs w:val="12"/>
          <w:color w:val="auto"/>
        </w:rPr>
        <w:t>We operate in the UAV industry and provide various commercial solutions, including air mobility (consisting of passenger transportation and logistics), smart city management and aerial media solutions. In addition to competing with other UAV companies, we compete with traditional industry players providing similar solutions, such as aircraft and ground transportation service providers. Many of our current and potential competitors, particularly international competitors, have significantly greater financial, technical, manufacturing, marketing and other resources than we do and may be able to devote greater resources to the design, development, manufacturing, distribution, promotion, sale and support of their products.</w:t>
      </w:r>
    </w:p>
    <w:p>
      <w:pPr>
        <w:spacing w:after="0" w:line="120" w:lineRule="exact"/>
        <w:rPr>
          <w:sz w:val="20"/>
          <w:szCs w:val="20"/>
          <w:color w:val="auto"/>
        </w:rPr>
      </w:pPr>
    </w:p>
    <w:p>
      <w:pPr>
        <w:ind w:left="1680" w:right="559" w:firstLine="317"/>
        <w:spacing w:after="0" w:line="287" w:lineRule="auto"/>
        <w:rPr>
          <w:sz w:val="20"/>
          <w:szCs w:val="20"/>
          <w:color w:val="auto"/>
        </w:rPr>
      </w:pPr>
      <w:r>
        <w:rPr>
          <w:rFonts w:ascii="Times New Roman" w:cs="Times New Roman" w:eastAsia="Times New Roman" w:hAnsi="Times New Roman"/>
          <w:sz w:val="12"/>
          <w:szCs w:val="12"/>
          <w:color w:val="auto"/>
        </w:rPr>
        <w:t>We expect competition in our industry to intensify in the future in light of increased demand for alternative transportation, continuing globalization and consolidation in the global UAV industry. Factors affecting competition include, among others, ability to innovate, development speed, product quality, reliability, safety and features, pricing and customer service. Increased competition may lead to lower AAV unit sales and increased inventory, which may result in downward price pressure and adversely affect our business, financial condition, operating results and prospects.</w:t>
      </w:r>
    </w:p>
    <w:p>
      <w:pPr>
        <w:spacing w:after="0" w:line="118" w:lineRule="exact"/>
        <w:rPr>
          <w:sz w:val="20"/>
          <w:szCs w:val="20"/>
          <w:color w:val="auto"/>
        </w:rPr>
      </w:pPr>
    </w:p>
    <w:p>
      <w:pPr>
        <w:ind w:left="1680" w:right="579" w:firstLine="317"/>
        <w:spacing w:after="0" w:line="259" w:lineRule="auto"/>
        <w:rPr>
          <w:sz w:val="20"/>
          <w:szCs w:val="20"/>
          <w:color w:val="auto"/>
        </w:rPr>
      </w:pPr>
      <w:r>
        <w:rPr>
          <w:rFonts w:ascii="Times New Roman" w:cs="Times New Roman" w:eastAsia="Times New Roman" w:hAnsi="Times New Roman"/>
          <w:sz w:val="13"/>
          <w:szCs w:val="13"/>
          <w:color w:val="auto"/>
        </w:rPr>
        <w:t>Our ability to successfully compete in our industry will be fundamental to our future success in existing and new markets and will affect our market share. If our competitors introduce AAVs or services that are superior in quality or performance and/or lower in price compared with our offerings, we may lose existing customers or be unable to attract new customers at prices that would allow us to generate attractive rates of return on our investment, if at all.</w:t>
      </w:r>
    </w:p>
    <w:p>
      <w:pPr>
        <w:spacing w:after="0" w:line="207" w:lineRule="exact"/>
        <w:rPr>
          <w:sz w:val="20"/>
          <w:szCs w:val="20"/>
          <w:color w:val="auto"/>
        </w:rPr>
      </w:pPr>
    </w:p>
    <w:p>
      <w:pPr>
        <w:ind w:left="1680" w:right="77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Any significant cybersecurity incident or disruption to our operating systems or our command-and-control centers could subject us to significant reputational, financial, legal and operational consequences.</w:t>
      </w:r>
    </w:p>
    <w:p>
      <w:pPr>
        <w:spacing w:after="0" w:line="38" w:lineRule="exact"/>
        <w:rPr>
          <w:sz w:val="20"/>
          <w:szCs w:val="20"/>
          <w:color w:val="auto"/>
        </w:rPr>
      </w:pPr>
    </w:p>
    <w:p>
      <w:pPr>
        <w:jc w:val="both"/>
        <w:ind w:left="1680" w:right="599" w:firstLine="317"/>
        <w:spacing w:after="0" w:line="264" w:lineRule="auto"/>
        <w:rPr>
          <w:sz w:val="20"/>
          <w:szCs w:val="20"/>
          <w:color w:val="auto"/>
        </w:rPr>
      </w:pPr>
      <w:r>
        <w:rPr>
          <w:rFonts w:ascii="Times New Roman" w:cs="Times New Roman" w:eastAsia="Times New Roman" w:hAnsi="Times New Roman"/>
          <w:sz w:val="13"/>
          <w:szCs w:val="13"/>
          <w:color w:val="auto"/>
        </w:rPr>
        <w:t>We depend on our and the VIE’s integrated in-flight operating systems and on-the-ground infrastructure to operate our products and services. Any material disruption to or slowdown of our operating systems or infrastructure could cause our AAVs to malfunction or result in outages or delays in our services, which could harm our brand and adversely affect our operating results.</w:t>
      </w:r>
    </w:p>
    <w:p>
      <w:pPr>
        <w:spacing w:after="0" w:line="129" w:lineRule="exact"/>
        <w:rPr>
          <w:sz w:val="20"/>
          <w:szCs w:val="20"/>
          <w:color w:val="auto"/>
        </w:rPr>
      </w:pPr>
    </w:p>
    <w:p>
      <w:pPr>
        <w:ind w:left="1680" w:right="659" w:firstLine="317"/>
        <w:spacing w:after="0" w:line="254" w:lineRule="auto"/>
        <w:rPr>
          <w:sz w:val="20"/>
          <w:szCs w:val="20"/>
          <w:color w:val="auto"/>
        </w:rPr>
      </w:pPr>
      <w:r>
        <w:rPr>
          <w:rFonts w:ascii="Times New Roman" w:cs="Times New Roman" w:eastAsia="Times New Roman" w:hAnsi="Times New Roman"/>
          <w:sz w:val="13"/>
          <w:szCs w:val="13"/>
          <w:color w:val="auto"/>
        </w:rPr>
        <w:t>Our command-and-control centers rely on our proprietary cloud database, which can store all of the data collected under our clients’ approvals. Problems with our command-and-control centers or our telecommunications network providers could adversely affect our services and products. Our telecommunications network providers could decide to cease providing services to us without adequate notice. Any change in service levels of our telecommunications network or any errors, defects, disruptions or other performance problems with our operating systems or infrastructure could harm our brand and potentially affect our user data. If changes in technology cause our operating systems or infrastructure to become obsolete, or if our operating systems or command-and-control centers are inadequate to support our growth, we could lose customers, and our business and operating results could be adversely affected.</w:t>
      </w:r>
    </w:p>
    <w:p>
      <w:pPr>
        <w:spacing w:after="0" w:line="138" w:lineRule="exact"/>
        <w:rPr>
          <w:sz w:val="20"/>
          <w:szCs w:val="20"/>
          <w:color w:val="auto"/>
        </w:rPr>
      </w:pPr>
    </w:p>
    <w:p>
      <w:pPr>
        <w:ind w:left="1680" w:right="719" w:firstLine="317"/>
        <w:spacing w:after="0" w:line="259" w:lineRule="auto"/>
        <w:rPr>
          <w:sz w:val="20"/>
          <w:szCs w:val="20"/>
          <w:color w:val="auto"/>
        </w:rPr>
      </w:pPr>
      <w:r>
        <w:rPr>
          <w:rFonts w:ascii="Times New Roman" w:cs="Times New Roman" w:eastAsia="Times New Roman" w:hAnsi="Times New Roman"/>
          <w:sz w:val="13"/>
          <w:szCs w:val="13"/>
          <w:color w:val="auto"/>
        </w:rPr>
        <w:t>We could be subject to breaches of security by hackers. Although we proactively employ multiple measures to defend our systems against intrusions and attacks, our measures may not prevent unauthorized access or use of sensitive data. A breach of our AAV operating systems or command-and-control systems may result in product damages, data losses and, in extreme cases, AAV accidents or hijacking of our AAVs to perform unlawful activities.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20</w:t>
      </w:r>
    </w:p>
    <w:p>
      <w:pPr>
        <w:sectPr>
          <w:pgSz w:w="11900" w:h="16838" w:orient="portrait"/>
          <w:cols w:equalWidth="0" w:num="1">
            <w:col w:w="10159"/>
          </w:cols>
          <w:pgMar w:left="300" w:top="388"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jc w:val="both"/>
        <w:ind w:left="1680" w:right="679" w:firstLine="317"/>
        <w:spacing w:after="0" w:line="264" w:lineRule="auto"/>
        <w:rPr>
          <w:sz w:val="20"/>
          <w:szCs w:val="20"/>
          <w:color w:val="auto"/>
        </w:rPr>
      </w:pPr>
      <w:r>
        <w:rPr>
          <w:rFonts w:ascii="Times New Roman" w:cs="Times New Roman" w:eastAsia="Times New Roman" w:hAnsi="Times New Roman"/>
          <w:sz w:val="13"/>
          <w:szCs w:val="13"/>
          <w:color w:val="auto"/>
        </w:rPr>
        <w:t>A cybersecurity breach could harm our reputation and deter our customers and potential customers from using our AAVs. In addition, any such breach could cause us to incur costs to correct the breaches or failures, expose us to uninsured liability, increase our risk of regulatory scrutiny, subject us to lawsuits and result in the imposition of material penalties and fines.</w:t>
      </w:r>
    </w:p>
    <w:p>
      <w:pPr>
        <w:spacing w:after="0" w:line="20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An accident involving an AAV provided by us or another manufacturer could harm the AAV industry.</w:t>
      </w:r>
    </w:p>
    <w:p>
      <w:pPr>
        <w:spacing w:after="0" w:line="88" w:lineRule="exact"/>
        <w:rPr>
          <w:sz w:val="20"/>
          <w:szCs w:val="20"/>
          <w:color w:val="auto"/>
        </w:rPr>
      </w:pPr>
    </w:p>
    <w:p>
      <w:pPr>
        <w:ind w:left="1680" w:right="579" w:firstLine="317"/>
        <w:spacing w:after="0" w:line="253" w:lineRule="auto"/>
        <w:rPr>
          <w:sz w:val="20"/>
          <w:szCs w:val="20"/>
          <w:color w:val="auto"/>
        </w:rPr>
      </w:pPr>
      <w:r>
        <w:rPr>
          <w:rFonts w:ascii="Times New Roman" w:cs="Times New Roman" w:eastAsia="Times New Roman" w:hAnsi="Times New Roman"/>
          <w:sz w:val="13"/>
          <w:szCs w:val="13"/>
          <w:color w:val="auto"/>
        </w:rPr>
        <w:t>An accident involving an AAV provided by us or another manufacturer could cause regulatory agencies around the world to tighten restrictions on the use of AAVs, particularly over-populated areas, and could cause the public to lose confidence in our products and AAVs generally. There are risks associated with autopilot, flight control, communications and other advanced technologies, and, from time to time, there have been accidents associated with these technologies. The safety of certain cutting-edge technologies depends in part on user interaction, and users may not be accustomed to using such technologies. We, the VIE or its subsidiaries could face unfavorable and tightened regulatory control and intervention on the use of autopilot and other advanced technologies and be subject to liability and government scrutiny to the extent accidents associated with our autonomous navigation systems occur. Should a high-profile accident occur resulting in substantial casualty or damages, either involving our AAVs or products offered by other companies, public confidence in and regulatory attitudes toward AAVs could deteriorate. Any of the foregoing could materially and adversely affect our results of operations, financial condition and growth prospects.</w:t>
      </w:r>
    </w:p>
    <w:p>
      <w:pPr>
        <w:spacing w:after="0" w:line="21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We may be compelled to undertake product recalls or take other actions, which could adversely affect our brand image and results of operations.</w:t>
      </w:r>
    </w:p>
    <w:p>
      <w:pPr>
        <w:spacing w:after="0" w:line="88" w:lineRule="exact"/>
        <w:rPr>
          <w:sz w:val="20"/>
          <w:szCs w:val="20"/>
          <w:color w:val="auto"/>
        </w:rPr>
      </w:pPr>
    </w:p>
    <w:p>
      <w:pPr>
        <w:ind w:left="1680" w:right="619" w:firstLine="317"/>
        <w:spacing w:after="0" w:line="253" w:lineRule="auto"/>
        <w:rPr>
          <w:sz w:val="20"/>
          <w:szCs w:val="20"/>
          <w:color w:val="auto"/>
        </w:rPr>
      </w:pPr>
      <w:r>
        <w:rPr>
          <w:rFonts w:ascii="Times New Roman" w:cs="Times New Roman" w:eastAsia="Times New Roman" w:hAnsi="Times New Roman"/>
          <w:sz w:val="13"/>
          <w:szCs w:val="13"/>
          <w:color w:val="auto"/>
        </w:rPr>
        <w:t>Our AAVs may not perform in line with customers’ expectations. Any product defects, accidents or any other failure of our AAVs to perform as expected could harm our reputation and result in adverse publicity, revenue loss, delivery delays and product recalls, which could harm our brand and reputation. Any product recall or lawsuit seeking significant monetary damages either in excess of or outside of our insurance coverage may have a material adverse effect on our business and financial condition. In the future, we may, voluntarily or involuntarily, initiate a recall if any of our AAVs, including any systems or components sourced from our suppliers, prove to be defective or noncompliant with applicable laws and regulations. Such recalls, whether voluntary or involuntary and whether caused by systems or components engineered or manufactured by us or our suppliers, could incur significant expenses and adversely affect our brand image in our target markets. They may also inhibit or prevent commercialization of our current and future product candidates.</w:t>
      </w:r>
    </w:p>
    <w:p>
      <w:pPr>
        <w:spacing w:after="0" w:line="214" w:lineRule="exact"/>
        <w:rPr>
          <w:sz w:val="20"/>
          <w:szCs w:val="20"/>
          <w:color w:val="auto"/>
        </w:rPr>
      </w:pPr>
    </w:p>
    <w:p>
      <w:pPr>
        <w:ind w:left="1680" w:right="69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We may become subject to product liability claims or warranty claims, which could harm our financial condition and liquidity if we are not able to successfully defend or insure against such claims.</w:t>
      </w:r>
    </w:p>
    <w:p>
      <w:pPr>
        <w:spacing w:after="0" w:line="38" w:lineRule="exact"/>
        <w:rPr>
          <w:sz w:val="20"/>
          <w:szCs w:val="20"/>
          <w:color w:val="auto"/>
        </w:rPr>
      </w:pPr>
    </w:p>
    <w:p>
      <w:pPr>
        <w:ind w:left="1680" w:right="539" w:firstLine="317"/>
        <w:spacing w:after="0" w:line="253" w:lineRule="auto"/>
        <w:rPr>
          <w:sz w:val="20"/>
          <w:szCs w:val="20"/>
          <w:color w:val="auto"/>
        </w:rPr>
      </w:pPr>
      <w:r>
        <w:rPr>
          <w:rFonts w:ascii="Times New Roman" w:cs="Times New Roman" w:eastAsia="Times New Roman" w:hAnsi="Times New Roman"/>
          <w:sz w:val="13"/>
          <w:szCs w:val="13"/>
          <w:color w:val="auto"/>
        </w:rPr>
        <w:t>We may be exposed to significant product liability claims if our AAVs do not perform as expected or malfunction. Any defects, errors, or failures in our products or the misuse of our AAVs, operating systems and infrastructure could also result in injury, death or property damage. Our risks in this area are particularly pronounced given we have limited field experience in the operation of our AAVs. A successful product liability claim against us could require us to pay a substantial monetary award. Moreover, a product liability claim could generate substantial negative publicity about our AAVs and business and inhibit or prevent commercialization of our current and future AAV models. Our insurance coverage might not be sufficient to cover all potential product liability claims. In addition, the same level of insurance coverage may not be available in the future at economical prices, or at all. Even if we are fully insured as it relates to a claim, the claim could nevertheless diminish our brand and divert management’s attention and resources, which could have a negative impact on our business, financial condition and result of operations.</w:t>
      </w:r>
    </w:p>
    <w:p>
      <w:pPr>
        <w:spacing w:after="0" w:line="140" w:lineRule="exact"/>
        <w:rPr>
          <w:sz w:val="20"/>
          <w:szCs w:val="20"/>
          <w:color w:val="auto"/>
        </w:rPr>
      </w:pPr>
    </w:p>
    <w:p>
      <w:pPr>
        <w:ind w:left="1680" w:right="659" w:firstLine="317"/>
        <w:spacing w:after="0" w:line="257" w:lineRule="auto"/>
        <w:rPr>
          <w:sz w:val="20"/>
          <w:szCs w:val="20"/>
          <w:color w:val="auto"/>
        </w:rPr>
      </w:pPr>
      <w:r>
        <w:rPr>
          <w:rFonts w:ascii="Times New Roman" w:cs="Times New Roman" w:eastAsia="Times New Roman" w:hAnsi="Times New Roman"/>
          <w:sz w:val="13"/>
          <w:szCs w:val="13"/>
          <w:color w:val="auto"/>
        </w:rPr>
        <w:t>We generally provide standard warranties on our AAVs. The term of a warranty is between six months to three years, depending on the product line and the specific part or component. The occurrence of any material defects in our AAVs could make us liable for damages and warranty claims. In addition, we could incur significant costs to correct any defects or other problems, including costs related to product recalls. Warranty claims may also lead to litigation. Any negative publicity related to the perceived quality of our AAVs could affect our brand image, decrease retailer, distributor and customer demand, and adversely affect our operating results and financial condition.</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21</w:t>
      </w:r>
    </w:p>
    <w:p>
      <w:pPr>
        <w:sectPr>
          <w:pgSz w:w="11900" w:h="16838" w:orient="portrait"/>
          <w:cols w:equalWidth="0" w:num="1">
            <w:col w:w="10159"/>
          </w:cols>
          <w:pgMar w:left="300" w:top="388"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18" w:lineRule="exact"/>
        <w:rPr>
          <w:sz w:val="20"/>
          <w:szCs w:val="20"/>
          <w:color w:val="auto"/>
        </w:rPr>
      </w:pPr>
    </w:p>
    <w:p>
      <w:pPr>
        <w:ind w:left="1680" w:right="87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If we fail to successfully develop and commercialize new products, services and technologies that are well received by customers, our operating results may be materially and adversely affected.</w:t>
      </w:r>
    </w:p>
    <w:p>
      <w:pPr>
        <w:spacing w:after="0" w:line="38" w:lineRule="exact"/>
        <w:rPr>
          <w:sz w:val="20"/>
          <w:szCs w:val="20"/>
          <w:color w:val="auto"/>
        </w:rPr>
      </w:pPr>
    </w:p>
    <w:p>
      <w:pPr>
        <w:ind w:left="1680" w:right="679" w:firstLine="317"/>
        <w:spacing w:after="0" w:line="283" w:lineRule="auto"/>
        <w:rPr>
          <w:sz w:val="20"/>
          <w:szCs w:val="20"/>
          <w:color w:val="auto"/>
        </w:rPr>
      </w:pPr>
      <w:r>
        <w:rPr>
          <w:rFonts w:ascii="Times New Roman" w:cs="Times New Roman" w:eastAsia="Times New Roman" w:hAnsi="Times New Roman"/>
          <w:sz w:val="12"/>
          <w:szCs w:val="12"/>
          <w:color w:val="auto"/>
        </w:rPr>
        <w:t>Our future growth depends on whether we can continually develop and introduce new generations of our existing AAV product lines and update our operating systems and infrastructure with enhanced functionalities and value-added services. This is particularly important in the current industry landscape where technologies and consumer preferences evolve rapidly, which may shorten the lifecycles of our existing products. We plan to upgrade our current AAV models and introduce new models in order to continue to provide AAVs with the latest technologies. As technological advancements can be complex and costly, we could experience delays in the development and introduction of new products and services in the future.</w:t>
      </w:r>
    </w:p>
    <w:p>
      <w:pPr>
        <w:spacing w:after="0" w:line="120" w:lineRule="exact"/>
        <w:rPr>
          <w:sz w:val="20"/>
          <w:szCs w:val="20"/>
          <w:color w:val="auto"/>
        </w:rPr>
      </w:pPr>
    </w:p>
    <w:p>
      <w:pPr>
        <w:ind w:left="1680" w:right="559" w:firstLine="317"/>
        <w:spacing w:after="0" w:line="253" w:lineRule="auto"/>
        <w:rPr>
          <w:sz w:val="20"/>
          <w:szCs w:val="20"/>
          <w:color w:val="auto"/>
        </w:rPr>
      </w:pPr>
      <w:r>
        <w:rPr>
          <w:rFonts w:ascii="Times New Roman" w:cs="Times New Roman" w:eastAsia="Times New Roman" w:hAnsi="Times New Roman"/>
          <w:sz w:val="13"/>
          <w:szCs w:val="13"/>
          <w:color w:val="auto"/>
        </w:rPr>
        <w:t>Our ability to roll out new and innovative products and services depends on a number of factors, including significant investments in research and development, quality control of our products and services and effective management of our supply chain. We may need to devote more resources to the research and development of new or enhanced products, services and technologies, which may reduce our profitability. In addition, our research and development efforts may not yield the benefits we expect to achieve in a timely manner, or at all. To the extent that we are unable to execute our strategy of continuously introducing new and innovative products, diversifying our product portfolio and satisfying consumers’ changing preferences, we may not be able to grow our user base, and our competitive position and results of operations may be adversely affected. Even if we are able to keep up with technological changes and develop new models, our prior models may as a result become obsolete sooner than expected, potentially reducing our return on investment.</w:t>
      </w:r>
    </w:p>
    <w:p>
      <w:pPr>
        <w:spacing w:after="0" w:line="214" w:lineRule="exact"/>
        <w:rPr>
          <w:sz w:val="20"/>
          <w:szCs w:val="20"/>
          <w:color w:val="auto"/>
        </w:rPr>
      </w:pPr>
    </w:p>
    <w:p>
      <w:pPr>
        <w:ind w:left="1680" w:right="113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We have limited experience in managing sales to multiple countries and we are subject to a variety of costs and risks due to our continued international expansion.</w:t>
      </w:r>
    </w:p>
    <w:p>
      <w:pPr>
        <w:spacing w:after="0" w:line="38" w:lineRule="exact"/>
        <w:rPr>
          <w:sz w:val="20"/>
          <w:szCs w:val="20"/>
          <w:color w:val="auto"/>
        </w:rPr>
      </w:pPr>
    </w:p>
    <w:p>
      <w:pPr>
        <w:ind w:left="1680" w:right="639" w:firstLine="317"/>
        <w:spacing w:after="0" w:line="254" w:lineRule="auto"/>
        <w:rPr>
          <w:sz w:val="20"/>
          <w:szCs w:val="20"/>
          <w:color w:val="auto"/>
        </w:rPr>
      </w:pPr>
      <w:r>
        <w:rPr>
          <w:rFonts w:ascii="Times New Roman" w:cs="Times New Roman" w:eastAsia="Times New Roman" w:hAnsi="Times New Roman"/>
          <w:sz w:val="13"/>
          <w:szCs w:val="13"/>
          <w:color w:val="auto"/>
        </w:rPr>
        <w:t>We delivered five, seven and two passenger-grade AAVs abroad in 2019, 2020 and 2021, respectively. We have entered into sales contracts with customers outside China. In 2019, we also entered into an agreement to establish a command-and-control center in Azerbaijan. In 2020, we delivered our passenger-grade AAVs to customers in Canada, Mexico, Japan, Korea, etc. In 2021, we delivered our passenger-grade AAVs to customers in Korea and Indonesia. As international expansion is one of our core strategies, we expect our international sales to increase in the future. In markets outside China, we generally have less experience in marketing, selling and deploying our AAVs. International expansion has required and will continue to require us to invest significant capital and other resources, and our efforts may not be successful. International sales and operations are subject to risks such as:</w:t>
      </w:r>
    </w:p>
    <w:p>
      <w:pPr>
        <w:spacing w:after="0" w:line="69" w:lineRule="exact"/>
        <w:rPr>
          <w:sz w:val="20"/>
          <w:szCs w:val="20"/>
          <w:color w:val="auto"/>
        </w:rPr>
      </w:pPr>
    </w:p>
    <w:p>
      <w:pPr>
        <w:ind w:left="2380" w:hanging="315"/>
        <w:spacing w:after="0"/>
        <w:tabs>
          <w:tab w:leader="none" w:pos="2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limited brand recognition;</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costs associated with establishing new distribution networks;</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difficulty in finding qualified partners for overseas distribution;</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inability to anticipate changes in local market conditions, economic landscapes, and consumers’ preferences and customs;</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difficulties in staffing and managing foreign operations;</w:t>
      </w:r>
    </w:p>
    <w:p>
      <w:pPr>
        <w:spacing w:after="0" w:line="93" w:lineRule="exact"/>
        <w:rPr>
          <w:rFonts w:ascii="Times New Roman" w:cs="Times New Roman" w:eastAsia="Times New Roman" w:hAnsi="Times New Roman"/>
          <w:sz w:val="13"/>
          <w:szCs w:val="13"/>
          <w:color w:val="auto"/>
        </w:rPr>
      </w:pPr>
    </w:p>
    <w:p>
      <w:pPr>
        <w:ind w:left="2380" w:right="779" w:hanging="315"/>
        <w:spacing w:after="0" w:line="278" w:lineRule="auto"/>
        <w:tabs>
          <w:tab w:leader="none" w:pos="2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lack of familiarity with and understanding of the local legal, regulatory and policy frameworks, as well as burdens of complying with a wide variety of local laws and regulations, including those governing personal data protection and safety control;</w:t>
      </w:r>
    </w:p>
    <w:p>
      <w:pPr>
        <w:spacing w:after="0" w:line="52"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political and economic instability;</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trade restrictions;</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differing employment laws and practices, as well as potential labor disruptions;</w:t>
      </w:r>
    </w:p>
    <w:p>
      <w:pPr>
        <w:spacing w:after="0" w:line="11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22</w:t>
      </w:r>
    </w:p>
    <w:p>
      <w:pPr>
        <w:sectPr>
          <w:pgSz w:w="11900" w:h="16838" w:orient="portrait"/>
          <w:cols w:equalWidth="0" w:num="1">
            <w:col w:w="10159"/>
          </w:cols>
          <w:pgMar w:left="300" w:top="388"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2380" w:hanging="315"/>
        <w:spacing w:after="0"/>
        <w:tabs>
          <w:tab w:leader="none" w:pos="23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imposition of government controls;</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lesser degrees of intellectual property protection;</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tariffs and customs duties and the classifications of our goods by applicable governmental bodies; and</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legal system subject to undue influence or corruption.</w:t>
      </w:r>
    </w:p>
    <w:p>
      <w:pPr>
        <w:spacing w:after="0" w:line="162" w:lineRule="exact"/>
        <w:rPr>
          <w:sz w:val="20"/>
          <w:szCs w:val="20"/>
          <w:color w:val="auto"/>
        </w:rPr>
      </w:pPr>
    </w:p>
    <w:p>
      <w:pPr>
        <w:ind w:left="1680" w:right="699" w:firstLine="317"/>
        <w:spacing w:after="0" w:line="264" w:lineRule="auto"/>
        <w:rPr>
          <w:sz w:val="20"/>
          <w:szCs w:val="20"/>
          <w:color w:val="auto"/>
        </w:rPr>
      </w:pPr>
      <w:r>
        <w:rPr>
          <w:rFonts w:ascii="Times New Roman" w:cs="Times New Roman" w:eastAsia="Times New Roman" w:hAnsi="Times New Roman"/>
          <w:sz w:val="13"/>
          <w:szCs w:val="13"/>
          <w:color w:val="auto"/>
        </w:rPr>
        <w:t>Additionally, to export our AAVs to certain jurisdictions, we may face challenges in coordinating with both PRC and the applicable foreign governments and regulatory authorities. If we cannot export our AAVs to such jurisdictions, our business, prospects, financial condition and operating results may be materially and adversely impacted.</w:t>
      </w:r>
    </w:p>
    <w:p>
      <w:pPr>
        <w:spacing w:after="0" w:line="129" w:lineRule="exact"/>
        <w:rPr>
          <w:sz w:val="20"/>
          <w:szCs w:val="20"/>
          <w:color w:val="auto"/>
        </w:rPr>
      </w:pPr>
    </w:p>
    <w:p>
      <w:pPr>
        <w:ind w:left="1680" w:right="599" w:firstLine="317"/>
        <w:spacing w:after="0" w:line="264" w:lineRule="auto"/>
        <w:rPr>
          <w:sz w:val="20"/>
          <w:szCs w:val="20"/>
          <w:color w:val="auto"/>
        </w:rPr>
      </w:pPr>
      <w:r>
        <w:rPr>
          <w:rFonts w:ascii="Times New Roman" w:cs="Times New Roman" w:eastAsia="Times New Roman" w:hAnsi="Times New Roman"/>
          <w:sz w:val="13"/>
          <w:szCs w:val="13"/>
          <w:color w:val="auto"/>
        </w:rPr>
        <w:t>The failure to manage any of these risks could negatively affect our international business and consequently our overall business and operating results. In addition, the concern over these risks may also prevent us from entering into, or marketing, selling or releasing certain of our AAVs and AAV commercial solutions in, certain markets.</w:t>
      </w:r>
    </w:p>
    <w:p>
      <w:pPr>
        <w:spacing w:after="0" w:line="20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We may rely on some third-party distributors for sales, marketing and distribution activities relating to our AAVs.</w:t>
      </w:r>
    </w:p>
    <w:p>
      <w:pPr>
        <w:spacing w:after="0" w:line="88" w:lineRule="exact"/>
        <w:rPr>
          <w:sz w:val="20"/>
          <w:szCs w:val="20"/>
          <w:color w:val="auto"/>
        </w:rPr>
      </w:pPr>
    </w:p>
    <w:p>
      <w:pPr>
        <w:ind w:left="1680" w:right="559" w:firstLine="317"/>
        <w:spacing w:after="0" w:line="253" w:lineRule="auto"/>
        <w:rPr>
          <w:sz w:val="20"/>
          <w:szCs w:val="20"/>
          <w:color w:val="auto"/>
        </w:rPr>
      </w:pPr>
      <w:r>
        <w:rPr>
          <w:rFonts w:ascii="Times New Roman" w:cs="Times New Roman" w:eastAsia="Times New Roman" w:hAnsi="Times New Roman"/>
          <w:sz w:val="13"/>
          <w:szCs w:val="13"/>
          <w:color w:val="auto"/>
        </w:rPr>
        <w:t>Currently we do not rely on any third-party distributors for sales, marketing and distribution activities relating to our AAVs. However, some of our business partners may act as third-party distributors that sell, market and distribute our AAVs to their customers in the future. Accordingly, we may be subject to a number of risks associated with third-party distributors, including a lack of day-to-day control over the activities of third-party distributors selling or using our products and solutions; third-party distributors may terminate their arrangements with us on limited or no notice, or may change the terms of these arrangements in a manner that is unfavorable to us for reasons outside of our control; and any disagreements with our third-party distributors could lead to costly and time-consuming litigation or arbitration. If we fail to establish and maintain satisfactory relationships with our third-party distributors, we may not be able to sell, market and distribute our AAVs according to our internal budget and plans, our future revenues and market share may not grow at a pace that we expect, and we could be subject to increases in sales and marketing and other costs which would harm our results of operations and financial condition.</w:t>
      </w:r>
    </w:p>
    <w:p>
      <w:pPr>
        <w:spacing w:after="0" w:line="212" w:lineRule="exact"/>
        <w:rPr>
          <w:sz w:val="20"/>
          <w:szCs w:val="20"/>
          <w:color w:val="auto"/>
        </w:rPr>
      </w:pPr>
    </w:p>
    <w:p>
      <w:pPr>
        <w:ind w:left="1680" w:right="95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Our operations may be interrupted by production difficulties or delays due to mechanical failures, utility shortages or stoppages, fire, natural disaster or other calamities at or near our facilities.</w:t>
      </w:r>
    </w:p>
    <w:p>
      <w:pPr>
        <w:spacing w:after="0" w:line="38" w:lineRule="exact"/>
        <w:rPr>
          <w:sz w:val="20"/>
          <w:szCs w:val="20"/>
          <w:color w:val="auto"/>
        </w:rPr>
      </w:pPr>
    </w:p>
    <w:p>
      <w:pPr>
        <w:ind w:left="1680" w:right="639" w:firstLine="317"/>
        <w:spacing w:after="0" w:line="255" w:lineRule="auto"/>
        <w:rPr>
          <w:sz w:val="20"/>
          <w:szCs w:val="20"/>
          <w:color w:val="auto"/>
        </w:rPr>
      </w:pPr>
      <w:r>
        <w:rPr>
          <w:rFonts w:ascii="Times New Roman" w:cs="Times New Roman" w:eastAsia="Times New Roman" w:hAnsi="Times New Roman"/>
          <w:sz w:val="13"/>
          <w:szCs w:val="13"/>
          <w:color w:val="auto"/>
        </w:rPr>
        <w:t>Production difficulties, such as capacity constraints, mechanical and systems failures and the need for equipment upgrades, may suspend our production and/or reduce our output. There can be no assurance that we will not experience problems with our production facilities in the future or that we will be able to address any such problems in a timely manner. Problems with key equipment in one or more of our production facilities may affect our ability to produce our AAVs or cause us to incur significant expenses to repair or replace such equipment. Scheduled and unscheduled maintenance programs may affect our production output. Any of these could have a material adverse effect on our business, financial condition, results of operations and prospects.</w:t>
      </w:r>
    </w:p>
    <w:p>
      <w:pPr>
        <w:spacing w:after="0" w:line="136" w:lineRule="exact"/>
        <w:rPr>
          <w:sz w:val="20"/>
          <w:szCs w:val="20"/>
          <w:color w:val="auto"/>
        </w:rPr>
      </w:pPr>
    </w:p>
    <w:p>
      <w:pPr>
        <w:ind w:left="1680" w:right="719" w:firstLine="317"/>
        <w:spacing w:after="0" w:line="254" w:lineRule="auto"/>
        <w:rPr>
          <w:sz w:val="20"/>
          <w:szCs w:val="20"/>
          <w:color w:val="auto"/>
        </w:rPr>
      </w:pPr>
      <w:r>
        <w:rPr>
          <w:rFonts w:ascii="Times New Roman" w:cs="Times New Roman" w:eastAsia="Times New Roman" w:hAnsi="Times New Roman"/>
          <w:sz w:val="13"/>
          <w:szCs w:val="13"/>
          <w:color w:val="auto"/>
        </w:rPr>
        <w:t>We depend on a continuous supply of utilities, such as electricity and water, to operate our production facilities. Any disruption to the supply of electricity or other utilities may disrupt our production, or cause the deterioration or loss of our inventory. This could adversely affect our ability to fulfill our sales orders and consequently may have an adverse effect on our business and results of operations. In addition, fire, natural disasters, pandemics or extreme weather, including droughts, floods, typhoons or other storms, or excessive cold or heat, could cause power outages, fuel shortages, water shortages, damage to our production, processing or distribution facilities or disruption of transportation channels, any of which could impair or interfere with our operations. We cannot assure you that such events will not happen in the future or that we will be able to take adequate measures to mitigate the likelihood or potential impact of such events, or to effectively respond to such events if they occur.</w:t>
      </w:r>
    </w:p>
    <w:p>
      <w:pPr>
        <w:spacing w:after="0" w:line="211" w:lineRule="exact"/>
        <w:rPr>
          <w:sz w:val="20"/>
          <w:szCs w:val="20"/>
          <w:color w:val="auto"/>
        </w:rPr>
      </w:pPr>
    </w:p>
    <w:p>
      <w:pPr>
        <w:ind w:left="1680" w:right="75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Our consumers may experience service failures or interruptions due to defects in the software, infrastructure, components or engineering system that compromise our products and services, or due to errors in product installation, any of which could harm our business.</w:t>
      </w:r>
    </w:p>
    <w:p>
      <w:pPr>
        <w:spacing w:after="0" w:line="6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23</w:t>
      </w:r>
    </w:p>
    <w:p>
      <w:pPr>
        <w:sectPr>
          <w:pgSz w:w="11900" w:h="16838" w:orient="portrait"/>
          <w:cols w:equalWidth="0" w:num="1">
            <w:col w:w="10159"/>
          </w:cols>
          <w:pgMar w:left="300" w:top="388"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599" w:firstLine="317"/>
        <w:spacing w:after="0" w:line="259" w:lineRule="auto"/>
        <w:rPr>
          <w:sz w:val="20"/>
          <w:szCs w:val="20"/>
          <w:color w:val="auto"/>
        </w:rPr>
      </w:pPr>
      <w:r>
        <w:rPr>
          <w:rFonts w:ascii="Times New Roman" w:cs="Times New Roman" w:eastAsia="Times New Roman" w:hAnsi="Times New Roman"/>
          <w:sz w:val="13"/>
          <w:szCs w:val="13"/>
          <w:color w:val="auto"/>
        </w:rPr>
        <w:t>Our products and services may contain undetected defects in the software, infrastructure, components or engineering system. Sophisticated software and applications, such as those adopted and offered by us, often contain “bugs” that can unexpectedly interfere with the software and applications’ intended operations. Our internet services may from time to time experience outages, service slowdowns or errors. Defects may also occur in components or processes used in our products or for our services.</w:t>
      </w:r>
    </w:p>
    <w:p>
      <w:pPr>
        <w:spacing w:after="0" w:line="133" w:lineRule="exact"/>
        <w:rPr>
          <w:sz w:val="20"/>
          <w:szCs w:val="20"/>
          <w:color w:val="auto"/>
        </w:rPr>
      </w:pPr>
    </w:p>
    <w:p>
      <w:pPr>
        <w:ind w:left="1680" w:right="639" w:firstLine="317"/>
        <w:spacing w:after="0" w:line="264" w:lineRule="auto"/>
        <w:rPr>
          <w:sz w:val="20"/>
          <w:szCs w:val="20"/>
          <w:color w:val="auto"/>
        </w:rPr>
      </w:pPr>
      <w:r>
        <w:rPr>
          <w:rFonts w:ascii="Times New Roman" w:cs="Times New Roman" w:eastAsia="Times New Roman" w:hAnsi="Times New Roman"/>
          <w:sz w:val="13"/>
          <w:szCs w:val="13"/>
          <w:color w:val="auto"/>
        </w:rPr>
        <w:t>There can be no assurance that we will be able to detect and fix all defects in the hardware, software and services we offer. Failure to do so could result in decreases in sales of our products and services, lost revenues, significant warranty and other expenses, decreases in customer confidence and loyalty, losing market share to our competitors, and harm to our reputation.</w:t>
      </w:r>
    </w:p>
    <w:p>
      <w:pPr>
        <w:spacing w:after="0" w:line="203" w:lineRule="exact"/>
        <w:rPr>
          <w:sz w:val="20"/>
          <w:szCs w:val="20"/>
          <w:color w:val="auto"/>
        </w:rPr>
      </w:pPr>
    </w:p>
    <w:p>
      <w:pPr>
        <w:ind w:left="1680" w:right="59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Our success depends on the continuing efforts of our key employees, including our senior management members and other key personnel. If we fail to hire, retain and motivate our key employees, we could lose the innovation, collaboration and focus that contribute to our business.</w:t>
      </w:r>
    </w:p>
    <w:p>
      <w:pPr>
        <w:spacing w:after="0" w:line="38" w:lineRule="exact"/>
        <w:rPr>
          <w:sz w:val="20"/>
          <w:szCs w:val="20"/>
          <w:color w:val="auto"/>
        </w:rPr>
      </w:pPr>
    </w:p>
    <w:p>
      <w:pPr>
        <w:ind w:left="1680" w:right="619" w:firstLine="317"/>
        <w:spacing w:after="0" w:line="253" w:lineRule="auto"/>
        <w:rPr>
          <w:sz w:val="20"/>
          <w:szCs w:val="20"/>
          <w:color w:val="auto"/>
        </w:rPr>
      </w:pPr>
      <w:r>
        <w:rPr>
          <w:rFonts w:ascii="Times New Roman" w:cs="Times New Roman" w:eastAsia="Times New Roman" w:hAnsi="Times New Roman"/>
          <w:sz w:val="13"/>
          <w:szCs w:val="13"/>
          <w:color w:val="auto"/>
        </w:rPr>
        <w:t>We believe that our success depends substantially on the continued efforts of our key employees, including our senior management members and other qualified and key personnel. We rely on our executive officers, senior management and key employees to generate business and execute programs successfully. In addition, the relationships and reputation that members of our management and key employees have established and maintain with government personnel contribute to our ability to maintain good customer relations and to identify new business opportunities. The loss of any key personnel or our failure to attract additional talent could reduce our employee retention, disrupt our research and development activities and operations, and impair our revenue growth and competitiveness. If one or more of our executive officers or key employees were unable or unwilling to continue their services with us, we might not be able to replace them easily, in a timely manner, or at all, and we might lose the innovation, collaboration and focus that contribute to our business.</w:t>
      </w:r>
    </w:p>
    <w:p>
      <w:pPr>
        <w:spacing w:after="0" w:line="21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Our business and prospects depend significantly on our ability to build our EHang brand.</w:t>
      </w:r>
    </w:p>
    <w:p>
      <w:pPr>
        <w:spacing w:after="0" w:line="88" w:lineRule="exact"/>
        <w:rPr>
          <w:sz w:val="20"/>
          <w:szCs w:val="20"/>
          <w:color w:val="auto"/>
        </w:rPr>
      </w:pPr>
    </w:p>
    <w:p>
      <w:pPr>
        <w:ind w:left="1680" w:right="599" w:firstLine="317"/>
        <w:spacing w:after="0" w:line="253" w:lineRule="auto"/>
        <w:rPr>
          <w:sz w:val="20"/>
          <w:szCs w:val="20"/>
          <w:color w:val="auto"/>
        </w:rPr>
      </w:pPr>
      <w:r>
        <w:rPr>
          <w:rFonts w:ascii="Times New Roman" w:cs="Times New Roman" w:eastAsia="Times New Roman" w:hAnsi="Times New Roman"/>
          <w:sz w:val="13"/>
          <w:szCs w:val="13"/>
          <w:color w:val="auto"/>
        </w:rPr>
        <w:t>Our business and prospects are heavily dependent on our ability to build, maintain and strengthen the EHang brand. If we do not continue to establish, maintain and strengthen our brand, we may lose the opportunity to build a critical mass of customers. Promoting and positioning our brand will likely depend significantly on our ability to provide high-quality AAVs and AAV commercial solutions and engage with our customers as intended. In addition, we expect that our ability to develop, maintain and strengthen the EHang brand will also depend heavily on the success of our user development and branding efforts. Such efforts mainly include building a community of engaged online and offline users as well as other branding initiatives, such as AAV shows and events. To promote our brand, we may be required to change our user development and branding practices, which could result in substantially increased expenses. If we do not develop and maintain a strong brand, our business, prospects, financial condition and operating results will be materially and adversely impacted.</w:t>
      </w:r>
    </w:p>
    <w:p>
      <w:pPr>
        <w:spacing w:after="0" w:line="140" w:lineRule="exact"/>
        <w:rPr>
          <w:sz w:val="20"/>
          <w:szCs w:val="20"/>
          <w:color w:val="auto"/>
        </w:rPr>
      </w:pPr>
    </w:p>
    <w:p>
      <w:pPr>
        <w:ind w:left="1680" w:right="579" w:firstLine="317"/>
        <w:spacing w:after="0" w:line="254" w:lineRule="auto"/>
        <w:rPr>
          <w:sz w:val="20"/>
          <w:szCs w:val="20"/>
          <w:color w:val="auto"/>
        </w:rPr>
      </w:pPr>
      <w:r>
        <w:rPr>
          <w:rFonts w:ascii="Times New Roman" w:cs="Times New Roman" w:eastAsia="Times New Roman" w:hAnsi="Times New Roman"/>
          <w:sz w:val="13"/>
          <w:szCs w:val="13"/>
          <w:color w:val="auto"/>
        </w:rPr>
        <w:t>Our EHang brand could be subject to adverse publicity if incidents related to our products occur or are perceived to have occurred, whether or not we are at fault. In particular, given the popularity of social media, including WeChat and Weibo in China, any negative publicity, regardless of its truthfulness, could quickly proliferate and harm consumer perceptions of and confidence in our brand. Furthermore, we may be affected by adverse publicity related to our manufacturing or other partners, whether or not such publicity is related to their collaboration with us. Our ability to successfully position our brand could also be adversely affected by perceptions of the quality of our partners’ products and services. In addition, from time to time, our AAVs and AAV commercial solutions are evaluated and reviewed by third parties. Any unfavorable reviews could adversely affect consumer perceptions of our AAVs and AAV commercial solutions.</w:t>
      </w:r>
    </w:p>
    <w:p>
      <w:pPr>
        <w:spacing w:after="0" w:line="21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Weather and seasonality may have a material adverse effect on our operations.</w:t>
      </w:r>
    </w:p>
    <w:p>
      <w:pPr>
        <w:spacing w:after="0" w:line="88" w:lineRule="exact"/>
        <w:rPr>
          <w:sz w:val="20"/>
          <w:szCs w:val="20"/>
          <w:color w:val="auto"/>
        </w:rPr>
      </w:pPr>
    </w:p>
    <w:p>
      <w:pPr>
        <w:ind w:left="1680" w:right="559" w:firstLine="317"/>
        <w:spacing w:after="0" w:line="253" w:lineRule="auto"/>
        <w:rPr>
          <w:sz w:val="20"/>
          <w:szCs w:val="20"/>
          <w:color w:val="auto"/>
        </w:rPr>
      </w:pPr>
      <w:r>
        <w:rPr>
          <w:rFonts w:ascii="Times New Roman" w:cs="Times New Roman" w:eastAsia="Times New Roman" w:hAnsi="Times New Roman"/>
          <w:sz w:val="13"/>
          <w:szCs w:val="13"/>
          <w:color w:val="auto"/>
        </w:rPr>
        <w:t>Our sales of AAVs and AAV commercial solutions may be affected by weather and seasonality. Our AAV commercial solutions are mainly delivered outdoor. Customers may choose alternative transportation in severe weather conditions in consideration of safety factors, even if our AAVs are able to endure such conditions. As a result, our business, financial condition and operating results may be materially and adversely impacted by the weather conditions. Our operating results may vary from period to period due to many factors, including seasonal factors that may have an effect on the demand for our AAV commercial solutions in the future. As a result, our quarterly results of operations and financial position at the end of a particular quarter may not necessarily be representative of the results we expect at year-end or in other quarters of a year. Our operating results would suffer if we did not achieve revenues consistent with our expectations due to seasonal demand and weather changes because many of our expenses are based on anticipated levels of annual revenues.</w:t>
      </w:r>
    </w:p>
    <w:p>
      <w:pPr>
        <w:spacing w:after="0" w:line="3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24</w:t>
      </w:r>
    </w:p>
    <w:p>
      <w:pPr>
        <w:sectPr>
          <w:pgSz w:w="11900" w:h="16838" w:orient="portrait"/>
          <w:cols w:equalWidth="0" w:num="1">
            <w:col w:w="10159"/>
          </w:cols>
          <w:pgMar w:left="300" w:top="388"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18" w:lineRule="exact"/>
        <w:rPr>
          <w:sz w:val="20"/>
          <w:szCs w:val="20"/>
          <w:color w:val="auto"/>
        </w:rPr>
      </w:pPr>
    </w:p>
    <w:p>
      <w:pPr>
        <w:ind w:left="1680" w:right="69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Any decline in the business of our business partners or the deterioration of our relationship with them could have a material adverse effect on our operating results.</w:t>
      </w:r>
    </w:p>
    <w:p>
      <w:pPr>
        <w:spacing w:after="0" w:line="38" w:lineRule="exact"/>
        <w:rPr>
          <w:sz w:val="20"/>
          <w:szCs w:val="20"/>
          <w:color w:val="auto"/>
        </w:rPr>
      </w:pPr>
    </w:p>
    <w:p>
      <w:pPr>
        <w:ind w:left="1680" w:right="659" w:firstLine="317"/>
        <w:spacing w:after="0" w:line="259" w:lineRule="auto"/>
        <w:rPr>
          <w:sz w:val="20"/>
          <w:szCs w:val="20"/>
          <w:color w:val="auto"/>
        </w:rPr>
      </w:pPr>
      <w:r>
        <w:rPr>
          <w:rFonts w:ascii="Times New Roman" w:cs="Times New Roman" w:eastAsia="Times New Roman" w:hAnsi="Times New Roman"/>
          <w:sz w:val="13"/>
          <w:szCs w:val="13"/>
          <w:color w:val="auto"/>
        </w:rPr>
        <w:t>We collaborate with various business partners to promote our AAVs and AAV commercial solutions. There can be no guarantee that those business partners will continue to collaborate with us in the future. If we are unable to maintain good relationships with our business partners, or the business of our business partners declines, the reach of our products and services may be adversely affected and our ability to maintain and expand our user base may decrease.</w:t>
      </w:r>
    </w:p>
    <w:p>
      <w:pPr>
        <w:spacing w:after="0" w:line="133" w:lineRule="exact"/>
        <w:rPr>
          <w:sz w:val="20"/>
          <w:szCs w:val="20"/>
          <w:color w:val="auto"/>
        </w:rPr>
      </w:pPr>
    </w:p>
    <w:p>
      <w:pPr>
        <w:ind w:left="1680" w:right="539" w:firstLine="317"/>
        <w:spacing w:after="0" w:line="259" w:lineRule="auto"/>
        <w:rPr>
          <w:sz w:val="20"/>
          <w:szCs w:val="20"/>
          <w:color w:val="auto"/>
        </w:rPr>
      </w:pPr>
      <w:r>
        <w:rPr>
          <w:rFonts w:ascii="Times New Roman" w:cs="Times New Roman" w:eastAsia="Times New Roman" w:hAnsi="Times New Roman"/>
          <w:sz w:val="13"/>
          <w:szCs w:val="13"/>
          <w:color w:val="auto"/>
        </w:rPr>
        <w:t>Most of the agreements with our business partners do not prohibit them from working with our competitors or from offering competing services. If our partners change their standard terms and conditions in a manner that is detrimental to our business, or if our business partners decide not to continue working with us, or choose to devote more resources to supporting our competitors or their own competing products, we may not be able to find a substitute on commercially favorable terms, or at all, and our competitive advantages may diminish.</w:t>
      </w:r>
    </w:p>
    <w:p>
      <w:pPr>
        <w:spacing w:after="0" w:line="207" w:lineRule="exact"/>
        <w:rPr>
          <w:sz w:val="20"/>
          <w:szCs w:val="20"/>
          <w:color w:val="auto"/>
        </w:rPr>
      </w:pPr>
    </w:p>
    <w:p>
      <w:pPr>
        <w:ind w:left="1680" w:right="81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We rely on external suppliers for raw materials and certain key externally sourced components and parts used in the assembly of our AAVs, and have limited control over the quality of these components and parts.</w:t>
      </w:r>
    </w:p>
    <w:p>
      <w:pPr>
        <w:spacing w:after="0" w:line="38" w:lineRule="exact"/>
        <w:rPr>
          <w:sz w:val="20"/>
          <w:szCs w:val="20"/>
          <w:color w:val="auto"/>
        </w:rPr>
      </w:pPr>
    </w:p>
    <w:p>
      <w:pPr>
        <w:ind w:left="1680" w:right="619" w:firstLine="317"/>
        <w:spacing w:after="0" w:line="253" w:lineRule="auto"/>
        <w:rPr>
          <w:sz w:val="20"/>
          <w:szCs w:val="20"/>
          <w:color w:val="auto"/>
        </w:rPr>
      </w:pPr>
      <w:r>
        <w:rPr>
          <w:rFonts w:ascii="Times New Roman" w:cs="Times New Roman" w:eastAsia="Times New Roman" w:hAnsi="Times New Roman"/>
          <w:sz w:val="13"/>
          <w:szCs w:val="13"/>
          <w:color w:val="auto"/>
        </w:rPr>
        <w:t>We purchase certain key externally sourced components and raw materials, such as computers chips, batteries, motors and electronic displays, from external suppliers for use in our assembly, production and operations of AAVs. A continuous and stable supply of components and raw materials that meet our standards is crucial to our assembly, production and operations. We cannot assure you that we will be able to maintain our existing relationships with our suppliers and continue to be able to stably source key components and raw materials at reasonable prices, or at all. We have integrated our suppliers’ technologies within our products such that having to change to an alternative supplier may cause significant disruption to our operations. The supply of key components could be interrupted for any reason, or there could be significant increases in the prices of these key components. Additionally, changes in business conditions, force majeure, governmental changes and other factors beyond our control, or that we do not presently anticipate, could also affect our suppliers’ ability to deliver components to us on a timely basis. If any of these events occurs, our business, financial condition, results of operations and prospects may be materially and adversely affected.</w:t>
      </w:r>
    </w:p>
    <w:p>
      <w:pPr>
        <w:spacing w:after="0" w:line="138" w:lineRule="exact"/>
        <w:rPr>
          <w:sz w:val="20"/>
          <w:szCs w:val="20"/>
          <w:color w:val="auto"/>
        </w:rPr>
      </w:pPr>
    </w:p>
    <w:p>
      <w:pPr>
        <w:ind w:left="1680" w:right="579" w:firstLine="317"/>
        <w:spacing w:after="0" w:line="255" w:lineRule="auto"/>
        <w:rPr>
          <w:sz w:val="20"/>
          <w:szCs w:val="20"/>
          <w:color w:val="auto"/>
        </w:rPr>
      </w:pPr>
      <w:r>
        <w:rPr>
          <w:rFonts w:ascii="Times New Roman" w:cs="Times New Roman" w:eastAsia="Times New Roman" w:hAnsi="Times New Roman"/>
          <w:sz w:val="13"/>
          <w:szCs w:val="13"/>
          <w:color w:val="auto"/>
        </w:rPr>
        <w:t>We cannot guarantee that the quality of components and parts manufactured by external suppliers will be consistent and maintained at a high standard. Any defects of or quality issues with these components or any noncompliance incidents associated with these third-party suppliers could result in quality issues with our AAVs and hence compromise our brand image and results of operations. In extreme situations, we may be exposed to liabilities as a result of significant damages caused by certain components from external suppliers and we cannot assure you that we will be able to obtain sufficient insurance coverage at an acceptable cost in the future. A successful claim brought against us in excess of our available insurance coverage may have a material adverse effect on our business, financial condition and operating results.</w:t>
      </w:r>
    </w:p>
    <w:p>
      <w:pPr>
        <w:spacing w:after="0" w:line="21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Safety issues or public perceptions of safety issues concerning lithium-ion batteries could have a material adverse impact on our business.</w:t>
      </w:r>
    </w:p>
    <w:p>
      <w:pPr>
        <w:spacing w:after="0" w:line="88" w:lineRule="exact"/>
        <w:rPr>
          <w:sz w:val="20"/>
          <w:szCs w:val="20"/>
          <w:color w:val="auto"/>
        </w:rPr>
      </w:pPr>
    </w:p>
    <w:p>
      <w:pPr>
        <w:ind w:left="1680" w:right="579" w:firstLine="317"/>
        <w:spacing w:after="0" w:line="253" w:lineRule="auto"/>
        <w:rPr>
          <w:sz w:val="20"/>
          <w:szCs w:val="20"/>
          <w:color w:val="auto"/>
        </w:rPr>
      </w:pPr>
      <w:r>
        <w:rPr>
          <w:rFonts w:ascii="Times New Roman" w:cs="Times New Roman" w:eastAsia="Times New Roman" w:hAnsi="Times New Roman"/>
          <w:sz w:val="13"/>
          <w:szCs w:val="13"/>
          <w:color w:val="auto"/>
        </w:rPr>
        <w:t>The battery packs installed on our AAVs make use of lithium-ion cells. On rare occasions, lithium-ion cells can rapidly release the energy they contain by venting smoke and flames in a manner that can ignite nearby materials as well as other lithium-ion cells. While the battery packs used for our AAVs are designed to passively contain any single cell’s release of energy without spreading to neighboring cells, a field or testing failure of our AAVs could occur, which could result in accidents, casualty or damages, and subject us to lawsuits, product recalls, or redesign efforts. Also, negative public perceptions regarding the suitability of lithium-ion cells for AAV applications or any future incident involving lithium-ion cells, even if such incident does not involve our AAVs, could seriously harm our business. In addition, we store a significant number of lithium-ion cells at our facilities. Any mishandling of battery cells may cause disruption to the operation of our facilities. While we have implemented safety procedures related to the handling of the cells, a safety issue or fire related to the cells could disrupt our operations. Such damage or injury could lead to adverse publicity and potentially a safety recall.</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25</w:t>
      </w:r>
    </w:p>
    <w:p>
      <w:pPr>
        <w:sectPr>
          <w:pgSz w:w="11900" w:h="16838" w:orient="portrait"/>
          <w:cols w:equalWidth="0" w:num="1">
            <w:col w:w="10159"/>
          </w:cols>
          <w:pgMar w:left="300" w:top="388"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18" w:lineRule="exact"/>
        <w:rPr>
          <w:sz w:val="20"/>
          <w:szCs w:val="20"/>
          <w:color w:val="auto"/>
        </w:rPr>
      </w:pPr>
    </w:p>
    <w:p>
      <w:pPr>
        <w:ind w:left="1680" w:right="55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We rely on third-party logistics providers to deliver our domestic sales orders and certain overseas orders. Inadequate third-party logistics services or failure to mitigate the risks of damage or disruption to our distribution logistics could adversely affect our business.</w:t>
      </w:r>
    </w:p>
    <w:p>
      <w:pPr>
        <w:spacing w:after="0" w:line="38" w:lineRule="exact"/>
        <w:rPr>
          <w:sz w:val="20"/>
          <w:szCs w:val="20"/>
          <w:color w:val="auto"/>
        </w:rPr>
      </w:pPr>
    </w:p>
    <w:p>
      <w:pPr>
        <w:ind w:left="1680" w:right="739" w:firstLine="317"/>
        <w:spacing w:after="0" w:line="255" w:lineRule="auto"/>
        <w:rPr>
          <w:sz w:val="20"/>
          <w:szCs w:val="20"/>
          <w:color w:val="auto"/>
        </w:rPr>
      </w:pPr>
      <w:r>
        <w:rPr>
          <w:rFonts w:ascii="Times New Roman" w:cs="Times New Roman" w:eastAsia="Times New Roman" w:hAnsi="Times New Roman"/>
          <w:sz w:val="13"/>
          <w:szCs w:val="13"/>
          <w:color w:val="auto"/>
        </w:rPr>
        <w:t>Our ability to transport and sell our AAVs is critical to our success across our operations. We typically rely on third-party logistics service providers to deliver our domestic sales orders and certain overseas orders. Damage or disruption to our distribution logistics due to disputes, weather, natural disasters, fire, explosions, terrorism, pandemics or labor strikes could impair our ability to distribute or sell our AAVs. Inadequate third-party logistics services could also potentially disrupt our distribution and sales and compromise our business reputation. Failure to take adequate steps to mitigate the likelihood or potential impact of such events, or to effectively manage such events if they occur, could adversely affect our business, financial condition and results of operations, as well as require additional resources to restore our supply chain.</w:t>
      </w:r>
    </w:p>
    <w:p>
      <w:pPr>
        <w:spacing w:after="0" w:line="210" w:lineRule="exact"/>
        <w:rPr>
          <w:sz w:val="20"/>
          <w:szCs w:val="20"/>
          <w:color w:val="auto"/>
        </w:rPr>
      </w:pPr>
    </w:p>
    <w:p>
      <w:pPr>
        <w:ind w:left="1680" w:right="57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If we fail to comply with environmental and work safety laws and regulations, we could become subject to fines or penalties or incur costs that could harm our business.</w:t>
      </w:r>
    </w:p>
    <w:p>
      <w:pPr>
        <w:spacing w:after="0" w:line="38" w:lineRule="exact"/>
        <w:rPr>
          <w:sz w:val="20"/>
          <w:szCs w:val="20"/>
          <w:color w:val="auto"/>
        </w:rPr>
      </w:pPr>
    </w:p>
    <w:p>
      <w:pPr>
        <w:ind w:left="1680" w:right="559" w:firstLine="317"/>
        <w:spacing w:after="0" w:line="253" w:lineRule="auto"/>
        <w:rPr>
          <w:sz w:val="20"/>
          <w:szCs w:val="20"/>
          <w:color w:val="auto"/>
        </w:rPr>
      </w:pPr>
      <w:r>
        <w:rPr>
          <w:rFonts w:ascii="Times New Roman" w:cs="Times New Roman" w:eastAsia="Times New Roman" w:hAnsi="Times New Roman"/>
          <w:sz w:val="13"/>
          <w:szCs w:val="13"/>
          <w:color w:val="auto"/>
        </w:rPr>
        <w:t>We are subject to numerous environmental and work safety laws and regulations. For more details, see “Item 4. Information on the Company—B. Business Overview—PRC Regulation—Environmental Protection and Work Safety.” We also could incur significant costs associated with civil or criminal fines and penalties for failure to comply with such laws and regulations. Environmental and social laws and regulations have tended to become increasingly stringent. There has been increased global focus on environmental and social issues and it is possible that China may potentially adopt more stringent standards or new regulations in these areas. To the extent regulatory changes occur in the future, they could result in, among other things, increased costs to our company. In addition, we may incur substantial costs in order to comply with current or future environmental and work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14" w:lineRule="exact"/>
        <w:rPr>
          <w:sz w:val="20"/>
          <w:szCs w:val="20"/>
          <w:color w:val="auto"/>
        </w:rPr>
      </w:pPr>
    </w:p>
    <w:p>
      <w:pPr>
        <w:ind w:left="1680" w:right="69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If our business partners, contractors, suppliers, sales agents, dealers or third-party logistics services providers fail to use ethical business practices and comply with applicable laws and regulations, our brand image could be harmed due to negative publicity beyond our own control.</w:t>
      </w:r>
    </w:p>
    <w:p>
      <w:pPr>
        <w:spacing w:after="0" w:line="38" w:lineRule="exact"/>
        <w:rPr>
          <w:sz w:val="20"/>
          <w:szCs w:val="20"/>
          <w:color w:val="auto"/>
        </w:rPr>
      </w:pPr>
    </w:p>
    <w:p>
      <w:pPr>
        <w:ind w:left="1680" w:right="559" w:firstLine="317"/>
        <w:spacing w:after="0" w:line="253" w:lineRule="auto"/>
        <w:rPr>
          <w:sz w:val="20"/>
          <w:szCs w:val="20"/>
          <w:color w:val="auto"/>
        </w:rPr>
      </w:pPr>
      <w:r>
        <w:rPr>
          <w:rFonts w:ascii="Times New Roman" w:cs="Times New Roman" w:eastAsia="Times New Roman" w:hAnsi="Times New Roman"/>
          <w:sz w:val="13"/>
          <w:szCs w:val="13"/>
          <w:color w:val="auto"/>
        </w:rPr>
        <w:t>Our reputation is sensitive to allegations of unethical business practices. We do not control the business practices of our business partners, independent contractors and suppliers, sales agents, dealers or third-party logistics services providers. Accordingly, we cannot guarantee their compliance with ethical business practices, such as environmental responsibilities, fair wage practices, and compliance with child labor laws, among others. A lack of demonstrated compliance could lead us to seek alternative suppliers, sales agents or dealers, which could increase our costs and result in delayed delivery of our products, product shortages or other disruptions of our operations. Violation of labor or other laws by our suppliers, business partners, sales agent, dealers or third-party logistics services suppliers or the divergence of their labor or other practices from those generally accepted as ethical in the markets in which we do business could also attract negative publicity, diminish our brand image and reduce demand for our AAVs and AAV commercial solutions.</w:t>
      </w:r>
    </w:p>
    <w:p>
      <w:pPr>
        <w:spacing w:after="0" w:line="214" w:lineRule="exact"/>
        <w:rPr>
          <w:sz w:val="20"/>
          <w:szCs w:val="20"/>
          <w:color w:val="auto"/>
        </w:rPr>
      </w:pPr>
    </w:p>
    <w:p>
      <w:pPr>
        <w:ind w:left="1680" w:right="77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If customers modify our AAVs or operating systems, the AAVs may not operate properly, which may cause damage, create negative publicity and harm our business.</w:t>
      </w:r>
    </w:p>
    <w:p>
      <w:pPr>
        <w:spacing w:after="0" w:line="38" w:lineRule="exact"/>
        <w:rPr>
          <w:sz w:val="20"/>
          <w:szCs w:val="20"/>
          <w:color w:val="auto"/>
        </w:rPr>
      </w:pPr>
    </w:p>
    <w:p>
      <w:pPr>
        <w:ind w:left="1680" w:right="579" w:firstLine="317"/>
        <w:spacing w:after="0" w:line="257" w:lineRule="auto"/>
        <w:rPr>
          <w:sz w:val="20"/>
          <w:szCs w:val="20"/>
          <w:color w:val="auto"/>
        </w:rPr>
      </w:pPr>
      <w:r>
        <w:rPr>
          <w:rFonts w:ascii="Times New Roman" w:cs="Times New Roman" w:eastAsia="Times New Roman" w:hAnsi="Times New Roman"/>
          <w:sz w:val="13"/>
          <w:szCs w:val="13"/>
          <w:color w:val="auto"/>
        </w:rPr>
        <w:t>Our customers may try to modify our AAVs or operating systems for various reasons, which could compromise the performance and safety of our AAVs, as well as the safety of their passengers. During such modifications, they may use third-party parts that may not be compatible with our products. We do not test, nor do we endorse, such modification. In addition, the use of improper external cabling or unsafe charging outlets can expose our customers to injury from AAV malfunctioning. Any injuries or damages resulting from such modifications or misuses could result in adverse publicity, which would negatively affect our brand and harm our business, prospects, financial condition and operating results.</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26</w:t>
      </w:r>
    </w:p>
    <w:p>
      <w:pPr>
        <w:sectPr>
          <w:pgSz w:w="11900" w:h="16838" w:orient="portrait"/>
          <w:cols w:equalWidth="0" w:num="1">
            <w:col w:w="10159"/>
          </w:cols>
          <w:pgMar w:left="300" w:top="388"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A new health epidemic could significantly disrupt our operations and adversely affect our results of operations.</w:t>
      </w:r>
    </w:p>
    <w:p>
      <w:pPr>
        <w:spacing w:after="0" w:line="88" w:lineRule="exact"/>
        <w:rPr>
          <w:sz w:val="20"/>
          <w:szCs w:val="20"/>
          <w:color w:val="auto"/>
        </w:rPr>
      </w:pPr>
    </w:p>
    <w:p>
      <w:pPr>
        <w:ind w:left="1680" w:right="559" w:firstLine="317"/>
        <w:spacing w:after="0" w:line="251" w:lineRule="auto"/>
        <w:rPr>
          <w:sz w:val="20"/>
          <w:szCs w:val="20"/>
          <w:color w:val="auto"/>
        </w:rPr>
      </w:pPr>
      <w:r>
        <w:rPr>
          <w:rFonts w:ascii="Times New Roman" w:cs="Times New Roman" w:eastAsia="Times New Roman" w:hAnsi="Times New Roman"/>
          <w:sz w:val="13"/>
          <w:szCs w:val="13"/>
          <w:color w:val="auto"/>
        </w:rPr>
        <w:t>Our business could be significantly affected by public health epidemics that may hit China and/or other countries where we sell our products, such as the outbreak of coronavirus, avian influenza, severe acute respiratory syndrome, or SARS, Zika virus, Ebola virus or other disease. For example, the severity of the current COVID-19 pandemic resulted in lock-downs, travel restrictions and quarantines imposed by governments across the world and materially affected general commercial activities on a global scale. In 2021, we experienced delayed fulfillments from suppliers as well as reduced demand for our AAVs from the tourism sector, which suffered disproportionately from the pandemic. The majority of our revenue generated from sales of passenger-grade AAVs are from a limited number of customers that mainly operate our AAVs in tourism locations in China, rather than in broad, mainstream commercial operations. Therefore, in 2020 and 2021, we faced delayed collection of our accounts receivable from some of our customers later than the due dates. A COVID-19 outbreak may result in these customers ceasing purchases, canceling or reducing orders for our products or services, or failing to make payments owed to us in a timely manner or at all, which may materially and adversely impact our business and result of operations. The COVID-19 pandemic has caused, and is expected to cause in the near future, an economic downturn in many countries. Such general economic slowdown may reduce the demand for our products and services. In the international market, the pandemic has continued to significantly affect many parts of the world, including Asia, Europe and North America, where many of our customers and business partners are located. Any future outbreak of a contagious disease, and other adverse public health developments may restrict economic activities in affected regions, resulting in reduced business volume, temporary closure of our production facilities and offices or otherwise disrupt our business operations and adversely affect our results of operations.</w:t>
      </w:r>
    </w:p>
    <w:p>
      <w:pPr>
        <w:spacing w:after="0" w:line="219" w:lineRule="exact"/>
        <w:rPr>
          <w:sz w:val="20"/>
          <w:szCs w:val="20"/>
          <w:color w:val="auto"/>
        </w:rPr>
      </w:pPr>
    </w:p>
    <w:p>
      <w:pPr>
        <w:ind w:left="1680" w:right="71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We could be adversely affected by security-related concerns of the United States and other countries against Chinese companies and products and political tensions between the United States and China.</w:t>
      </w:r>
    </w:p>
    <w:p>
      <w:pPr>
        <w:spacing w:after="0" w:line="38" w:lineRule="exact"/>
        <w:rPr>
          <w:sz w:val="20"/>
          <w:szCs w:val="20"/>
          <w:color w:val="auto"/>
        </w:rPr>
      </w:pPr>
    </w:p>
    <w:p>
      <w:pPr>
        <w:ind w:left="1680" w:right="559" w:firstLine="317"/>
        <w:spacing w:after="0" w:line="253" w:lineRule="auto"/>
        <w:rPr>
          <w:sz w:val="20"/>
          <w:szCs w:val="20"/>
          <w:color w:val="auto"/>
        </w:rPr>
      </w:pPr>
      <w:r>
        <w:rPr>
          <w:rFonts w:ascii="Times New Roman" w:cs="Times New Roman" w:eastAsia="Times New Roman" w:hAnsi="Times New Roman"/>
          <w:sz w:val="13"/>
          <w:szCs w:val="13"/>
          <w:color w:val="auto"/>
        </w:rPr>
        <w:t>Due to security-related concerns, U.S. government actions targeting exports of certain technologies to China are becoming more pervasive. The U.S. government has in the past issued export restrictions that effectively banned U.S. companies from selling products to ZTE Corporation, and in May 2019 imposed a similar ban on sales of all products to Huawei. In 2018, the U.S. adopted new laws designed to address concerns about the export of emerging and foundational technologies to China. In addition, in May 2019, former U.S. President Donald J. Trump issued an executive order that invoked national emergency economic powers to implement a framework to regulate the acquisition or transfer of information communications technology in transactions that imposed undue national security risks. These actions could lead to additional restrictions on the export of products that include or enable technologies on which we rely. Such restrictions imposed by the United States or any other countries may make it more difficult for us to procure or license technological products from these countries, or affect the ability of our PRC suppliers to manufacture and provide us with advanced components, which may increase our costs, impair our products’ competitiveness, and have a material adverse effect on our business.</w:t>
      </w:r>
    </w:p>
    <w:p>
      <w:pPr>
        <w:spacing w:after="0" w:line="138" w:lineRule="exact"/>
        <w:rPr>
          <w:sz w:val="20"/>
          <w:szCs w:val="20"/>
          <w:color w:val="auto"/>
        </w:rPr>
      </w:pPr>
    </w:p>
    <w:p>
      <w:pPr>
        <w:ind w:left="1680" w:right="819" w:firstLine="317"/>
        <w:spacing w:after="0" w:line="255" w:lineRule="auto"/>
        <w:rPr>
          <w:sz w:val="20"/>
          <w:szCs w:val="20"/>
          <w:color w:val="auto"/>
        </w:rPr>
      </w:pPr>
      <w:r>
        <w:rPr>
          <w:rFonts w:ascii="Times New Roman" w:cs="Times New Roman" w:eastAsia="Times New Roman" w:hAnsi="Times New Roman"/>
          <w:sz w:val="13"/>
          <w:szCs w:val="13"/>
          <w:color w:val="auto"/>
        </w:rPr>
        <w:t>Similar security-related concerns may affect our ability to export our products to the United States and other countries. In May 2019, the U.S. Department of Homeland Security advised American companies about the inherent security risks associated with Chinese-made drones. In a related development, the U.S. government was also reportedly considering placing Chinese surveillance systems providers, including Hikvision Digital Technology and Dahua Technology, on a trade blacklist that would cut off their access to American hi-tech suppliers. We cannot assure you that our AAVs will not be placed on such trade blacklist in the future. If that event occurs, our ability to export our products to the United States will be adversely affected.</w:t>
      </w:r>
    </w:p>
    <w:p>
      <w:pPr>
        <w:spacing w:after="0" w:line="136" w:lineRule="exact"/>
        <w:rPr>
          <w:sz w:val="20"/>
          <w:szCs w:val="20"/>
          <w:color w:val="auto"/>
        </w:rPr>
      </w:pPr>
    </w:p>
    <w:p>
      <w:pPr>
        <w:ind w:left="1680" w:right="599" w:firstLine="317"/>
        <w:spacing w:after="0" w:line="253" w:lineRule="auto"/>
        <w:rPr>
          <w:sz w:val="20"/>
          <w:szCs w:val="20"/>
          <w:color w:val="auto"/>
        </w:rPr>
      </w:pPr>
      <w:r>
        <w:rPr>
          <w:rFonts w:ascii="Times New Roman" w:cs="Times New Roman" w:eastAsia="Times New Roman" w:hAnsi="Times New Roman"/>
          <w:sz w:val="13"/>
          <w:szCs w:val="13"/>
          <w:color w:val="auto"/>
        </w:rPr>
        <w:t>In addition, political tensions between the United States and China have escalated due to, among other things, the COVID-19 outbreak, the PRC National People’s Congress’ passage of Hong Kong national security legislation, sanctions imposed by the U.S. Department of Treasury on certain officials of the Hong Kong Special Administrative Region and the central government of the PRC and the executive orders issued by former U.S. President Donald J. Trump in August 2020 that prohibit certain transactions with ByteDance Ltd., Tencent Holdings Ltd. and the respective subsidiaries of such companies. Rising political tensions could reduce levels of trades, investments, technological exchanges and other economic activities between the two major economies, which would have a material adverse effect on global economic conditions and the stability of global financial markets. Any of these factors could have a material adverse effect on our business, prospects, financial condition and results of operations. Furthermore, there have been recent media reports on deliberations within the U.S. government regarding potentially limiting or restricting China-based companies from accessing U.S. capital markets. If any such deliberations were to materialize, the resulting legislation may have a material and adverse impact on the stock performance of China-based issuers listed in the United States.</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27</w:t>
      </w:r>
    </w:p>
    <w:p>
      <w:pPr>
        <w:sectPr>
          <w:pgSz w:w="11900" w:h="16838" w:orient="portrait"/>
          <w:cols w:equalWidth="0" w:num="1">
            <w:col w:w="10159"/>
          </w:cols>
          <w:pgMar w:left="300" w:top="388"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We and the VIE may need to defend ourselves against claims of intellectual property infringement, which may be time-consuming and costly.</w:t>
      </w:r>
    </w:p>
    <w:p>
      <w:pPr>
        <w:spacing w:after="0" w:line="88" w:lineRule="exact"/>
        <w:rPr>
          <w:sz w:val="20"/>
          <w:szCs w:val="20"/>
          <w:color w:val="auto"/>
        </w:rPr>
      </w:pPr>
    </w:p>
    <w:p>
      <w:pPr>
        <w:ind w:left="1680" w:right="559"/>
        <w:spacing w:after="0" w:line="253" w:lineRule="auto"/>
        <w:rPr>
          <w:sz w:val="20"/>
          <w:szCs w:val="20"/>
          <w:color w:val="auto"/>
        </w:rPr>
      </w:pPr>
      <w:r>
        <w:rPr>
          <w:rFonts w:ascii="Times New Roman" w:cs="Times New Roman" w:eastAsia="Times New Roman" w:hAnsi="Times New Roman"/>
          <w:sz w:val="13"/>
          <w:szCs w:val="13"/>
          <w:color w:val="auto"/>
        </w:rPr>
        <w:t xml:space="preserve">Companies, organizations or individuals, including our competitors, may hold or obtain patents, trademarks or other proprietary rights that would prevent, limit or interfere with our ability to make, use, develop, sell or market our AAVs, AAV operating systems and infrastructure or their components, which could make it more difficult for us to operate our business. Companies holding patents or other intellectual property rights may bring suits alleging infringement of such rights by us and the VIE or otherwise assert their rights against us and the VIE. Moreover, our and the VIE’s applications and uses of trademarks relating to our and the VIE’s design, software or artificial intelligence technologies could be found to infringe upon existing trademark ownership and rights. We or the VIE may also fail to apply for key trademarks in a timely manner. For example, we and the VIE discovered some precedent registrations by several other Chinese companies of the trademark “ </w:t>
      </w:r>
      <w:r>
        <w:rPr>
          <w:sz w:val="1"/>
          <w:szCs w:val="1"/>
          <w:color w:val="auto"/>
        </w:rPr>
        <w:drawing>
          <wp:inline distT="0" distB="0" distL="0" distR="0">
            <wp:extent cx="123825" cy="5588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3825" cy="55880"/>
                    </a:xfrm>
                    <a:prstGeom prst="rect">
                      <a:avLst/>
                    </a:prstGeom>
                    <a:noFill/>
                    <a:ln>
                      <a:noFill/>
                    </a:ln>
                  </pic:spPr>
                </pic:pic>
              </a:graphicData>
            </a:graphic>
          </wp:inline>
        </w:drawing>
      </w:r>
      <w:r>
        <w:rPr>
          <w:rFonts w:ascii="Times New Roman" w:cs="Times New Roman" w:eastAsia="Times New Roman" w:hAnsi="Times New Roman"/>
          <w:sz w:val="13"/>
          <w:szCs w:val="13"/>
          <w:color w:val="auto"/>
        </w:rPr>
        <w:t xml:space="preserve"> ” (the Chinese characters for our brand, “EHang”) for vehicles and bicycles, which fall into the same class of products as remote aerial vehicles and aerospace transportation. Although we and the VIE received a favorable judgement in a proceeding relating to such precedent registrations, we or the VIE may continue to face intellectual property infringement claims in the future.</w:t>
      </w:r>
    </w:p>
    <w:p>
      <w:pPr>
        <w:spacing w:after="0" w:line="136" w:lineRule="exact"/>
        <w:rPr>
          <w:sz w:val="20"/>
          <w:szCs w:val="20"/>
          <w:color w:val="auto"/>
        </w:rPr>
      </w:pPr>
    </w:p>
    <w:p>
      <w:pPr>
        <w:ind w:left="1680" w:right="819" w:firstLine="317"/>
        <w:spacing w:after="0" w:line="278" w:lineRule="auto"/>
        <w:rPr>
          <w:sz w:val="20"/>
          <w:szCs w:val="20"/>
          <w:color w:val="auto"/>
        </w:rPr>
      </w:pPr>
      <w:r>
        <w:rPr>
          <w:rFonts w:ascii="Times New Roman" w:cs="Times New Roman" w:eastAsia="Times New Roman" w:hAnsi="Times New Roman"/>
          <w:sz w:val="13"/>
          <w:szCs w:val="13"/>
          <w:color w:val="auto"/>
        </w:rPr>
        <w:t>If we or the VIE are determined to have infringed upon a third party’s intellectual property rights, we or the VIE may be required to do one or more of the following:</w:t>
      </w:r>
    </w:p>
    <w:p>
      <w:pPr>
        <w:spacing w:after="0" w:line="52" w:lineRule="exact"/>
        <w:rPr>
          <w:sz w:val="20"/>
          <w:szCs w:val="20"/>
          <w:color w:val="auto"/>
        </w:rPr>
      </w:pPr>
    </w:p>
    <w:p>
      <w:pPr>
        <w:ind w:left="2380" w:right="759" w:hanging="315"/>
        <w:spacing w:after="0" w:line="278" w:lineRule="auto"/>
        <w:tabs>
          <w:tab w:leader="none" w:pos="238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cease selling, incorporating certain components into, or using AAVs or offering goods or services that incorporate or use the challenged intellectual property;</w:t>
      </w:r>
    </w:p>
    <w:p>
      <w:pPr>
        <w:spacing w:after="0" w:line="52"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pay substantial damages;</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seek a license from the holder of the infringed intellectual property right, which license may not be available on reasonable terms or at all;</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redesign our, the VIE or its subsidiaries’ AAVs, AAV operating systems and infrastructure, components or services; or</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establish and maintain alternative branding for our, the VIE or its subsidiaries’ products and services.</w:t>
      </w:r>
    </w:p>
    <w:p>
      <w:pPr>
        <w:spacing w:after="0" w:line="162" w:lineRule="exact"/>
        <w:rPr>
          <w:sz w:val="20"/>
          <w:szCs w:val="20"/>
          <w:color w:val="auto"/>
        </w:rPr>
      </w:pPr>
    </w:p>
    <w:p>
      <w:pPr>
        <w:ind w:left="1680" w:right="599" w:firstLine="317"/>
        <w:spacing w:after="0" w:line="259" w:lineRule="auto"/>
        <w:rPr>
          <w:sz w:val="20"/>
          <w:szCs w:val="20"/>
          <w:color w:val="auto"/>
        </w:rPr>
      </w:pPr>
      <w:r>
        <w:rPr>
          <w:rFonts w:ascii="Times New Roman" w:cs="Times New Roman" w:eastAsia="Times New Roman" w:hAnsi="Times New Roman"/>
          <w:sz w:val="13"/>
          <w:szCs w:val="13"/>
          <w:color w:val="auto"/>
        </w:rPr>
        <w:t>In the event of a successful claim of infringement against us or the VIE and our or the VIE’s failure or inability to obtain a license to the infringed technology or other intellectual property right, our business, prospects, operating results and financial condition could be materially and adversely affected. In addition, any litigation or claims, even if frivolous, could result in substantial costs, negative publicity and diversion of resources and management attention.</w:t>
      </w:r>
    </w:p>
    <w:p>
      <w:pPr>
        <w:spacing w:after="0" w:line="20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Our or the VIE’s intellectual property rights may not protect us effectively.</w:t>
      </w:r>
    </w:p>
    <w:p>
      <w:pPr>
        <w:spacing w:after="0" w:line="88" w:lineRule="exact"/>
        <w:rPr>
          <w:sz w:val="20"/>
          <w:szCs w:val="20"/>
          <w:color w:val="auto"/>
        </w:rPr>
      </w:pPr>
    </w:p>
    <w:p>
      <w:pPr>
        <w:jc w:val="both"/>
        <w:ind w:left="1680" w:right="639" w:firstLine="317"/>
        <w:spacing w:after="0" w:line="264" w:lineRule="auto"/>
        <w:rPr>
          <w:sz w:val="20"/>
          <w:szCs w:val="20"/>
          <w:color w:val="auto"/>
        </w:rPr>
      </w:pPr>
      <w:r>
        <w:rPr>
          <w:rFonts w:ascii="Times New Roman" w:cs="Times New Roman" w:eastAsia="Times New Roman" w:hAnsi="Times New Roman"/>
          <w:sz w:val="13"/>
          <w:szCs w:val="13"/>
          <w:color w:val="auto"/>
        </w:rPr>
        <w:t>As of March 31, 2022, we and the VIE together had 215 issued patents, 120 pending patent applications in China, 369 registered trademarks, and 24 registered copyrights in China in relation to our and the VIE’s technologies. We cannot assure you that our or the VIE’s pending patent applications will be granted. Even if our or the VIE’s applications are successful, patents may be contested, circumvented or invalidated in the future.</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28</w:t>
      </w:r>
    </w:p>
    <w:p>
      <w:pPr>
        <w:sectPr>
          <w:pgSz w:w="11900" w:h="16838" w:orient="portrait"/>
          <w:cols w:equalWidth="0" w:num="1">
            <w:col w:w="10159"/>
          </w:cols>
          <w:pgMar w:left="300" w:top="388"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559" w:firstLine="317"/>
        <w:spacing w:after="0" w:line="253" w:lineRule="auto"/>
        <w:rPr>
          <w:sz w:val="20"/>
          <w:szCs w:val="20"/>
          <w:color w:val="auto"/>
        </w:rPr>
      </w:pPr>
      <w:r>
        <w:rPr>
          <w:rFonts w:ascii="Times New Roman" w:cs="Times New Roman" w:eastAsia="Times New Roman" w:hAnsi="Times New Roman"/>
          <w:sz w:val="13"/>
          <w:szCs w:val="13"/>
          <w:color w:val="auto"/>
        </w:rPr>
        <w:t>In addition, the rights granted under any issued patents may not provide us with proprietary protection or competitive advantages. The claims under any patents that issue from our or the VIE’s patent applications may not be broad enough to prevent others from developing technologies that are similar or that achieve results similar to ours or the VIE’s. It is also possible that the intellectual property rights of others could bar us or the VIE from licensing and exploiting any patents that are issued from our or the VIE’s pending applications. Numerous patents and pending patent applications owned by others exist in the fields in which we and the VIE have developed and are developing our technologies. These patents and patent applications might have priority over our or the VIE’s patent applications and could subject our or the VIE’s patent applications to invalidation. Finally, in addition to those who may claim priority, any of our or the VIE’s existing or pending patents may also be challenged by others on the basis that they are otherwise invalid or unenforceable.</w:t>
      </w:r>
    </w:p>
    <w:p>
      <w:pPr>
        <w:spacing w:after="0" w:line="140" w:lineRule="exact"/>
        <w:rPr>
          <w:sz w:val="20"/>
          <w:szCs w:val="20"/>
          <w:color w:val="auto"/>
        </w:rPr>
      </w:pPr>
    </w:p>
    <w:p>
      <w:pPr>
        <w:ind w:left="1680" w:right="619" w:firstLine="317"/>
        <w:spacing w:after="0" w:line="253" w:lineRule="auto"/>
        <w:rPr>
          <w:sz w:val="20"/>
          <w:szCs w:val="20"/>
          <w:color w:val="auto"/>
        </w:rPr>
      </w:pPr>
      <w:r>
        <w:rPr>
          <w:rFonts w:ascii="Times New Roman" w:cs="Times New Roman" w:eastAsia="Times New Roman" w:hAnsi="Times New Roman"/>
          <w:sz w:val="13"/>
          <w:szCs w:val="13"/>
          <w:color w:val="auto"/>
        </w:rPr>
        <w:t>Implementation and enforcement of PRC laws on intellectual property rights have historically been deficient and ineffective. Accordingly, protection of intellectual property rights in China may not be as effective as in the United States or other developed countries. Furthermore, policing unauthorized use of proprietary technologies is difficult and expensive. We and the VIE rely on a combination of patent, copyright, trademark and trade secret laws and restrictions on disclosure to protect our and the VIE’s intellectual property rights. Despite our efforts to protect our and the VIE’s proprietary rights, third parties may attempt to copy or otherwise obtain and use our or the VIE’s intellectual property or seek court declarations that they do not infringe upon our or the VIE’s intellectual property rights. Any unauthorized use of our or the VIE’s intellectual property by third parties may adversely affect our current and future revenues and our reputation. Monitoring unauthorized use of our and the VIE’s intellectual property is difficult and costly, and we cannot assure you that the steps we or the VIE have taken or will take will prevent misappropriation of our and the VIE’s intellectual property. From time to time, we or the VIE may have to resort to litigation to enforce our and the VIE’s intellectual property rights, which could result in substantial costs and diversion of our resources.</w:t>
      </w:r>
    </w:p>
    <w:p>
      <w:pPr>
        <w:spacing w:after="0" w:line="210" w:lineRule="exact"/>
        <w:rPr>
          <w:sz w:val="20"/>
          <w:szCs w:val="20"/>
          <w:color w:val="auto"/>
        </w:rPr>
      </w:pPr>
    </w:p>
    <w:p>
      <w:pPr>
        <w:ind w:left="1680" w:right="75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Failure to safeguard personal information could subject us to penalties, damage our reputation and brand, and harm our business and results of operations.</w:t>
      </w:r>
    </w:p>
    <w:p>
      <w:pPr>
        <w:spacing w:after="0" w:line="38" w:lineRule="exact"/>
        <w:rPr>
          <w:sz w:val="20"/>
          <w:szCs w:val="20"/>
          <w:color w:val="auto"/>
        </w:rPr>
      </w:pPr>
    </w:p>
    <w:p>
      <w:pPr>
        <w:ind w:left="1680" w:right="599" w:firstLine="317"/>
        <w:spacing w:after="0" w:line="252" w:lineRule="auto"/>
        <w:rPr>
          <w:sz w:val="20"/>
          <w:szCs w:val="20"/>
          <w:color w:val="auto"/>
        </w:rPr>
      </w:pPr>
      <w:r>
        <w:rPr>
          <w:rFonts w:ascii="Times New Roman" w:cs="Times New Roman" w:eastAsia="Times New Roman" w:hAnsi="Times New Roman"/>
          <w:sz w:val="13"/>
          <w:szCs w:val="13"/>
          <w:color w:val="auto"/>
        </w:rPr>
        <w:t>Through our AAVs, EHang Pro app and command-and-control systems, we log information about each AAV’s use, such as charge time, battery usage, mileage and location information, in order to aid us in vehicle diagnostics, repair and maintenance, as well as to help us customize and optimize the flying experience. Images and videos captured by cameras attached to our AAVs are stored on our servers, servers of third-party cloud storage providers or other servers designated by our customers. We, therefore, process, including but not limited to collect, store, process, use, transfer, provide, disclose and delete, personal data from our users in order to better understand our users and their needs for the purpose of our content feeds recommendation. Possession and use of our users’ flying behavior and data in conducting our business may subject us to legislative and regulatory oversight in China and other jurisdictions, such as the European Union and the United States. For example, in January 2018, the European Union promulgated the General Data Protection Regulation to further protect fundamental rights in privacy and personal information so that members of the general public have more control over their personal information. Regulations in relevant jurisdictions may require us to obtain user consent for the collection of personal information, restrict our use of such personal information and hinder our ability to expand our user base. In the event of a data breach or other unauthorized access to our user data, we may have obligations to notify users about the incident and we may need to provide some form of remedy for the individuals affected by the incident.</w:t>
      </w:r>
    </w:p>
    <w:p>
      <w:pPr>
        <w:spacing w:after="0" w:line="140" w:lineRule="exact"/>
        <w:rPr>
          <w:sz w:val="20"/>
          <w:szCs w:val="20"/>
          <w:color w:val="auto"/>
        </w:rPr>
      </w:pPr>
    </w:p>
    <w:p>
      <w:pPr>
        <w:ind w:left="1680" w:right="559" w:firstLine="317"/>
        <w:spacing w:after="0" w:line="274" w:lineRule="auto"/>
        <w:rPr>
          <w:sz w:val="20"/>
          <w:szCs w:val="20"/>
          <w:color w:val="auto"/>
        </w:rPr>
      </w:pPr>
      <w:r>
        <w:rPr>
          <w:rFonts w:ascii="Times New Roman" w:cs="Times New Roman" w:eastAsia="Times New Roman" w:hAnsi="Times New Roman"/>
          <w:sz w:val="12"/>
          <w:szCs w:val="12"/>
          <w:color w:val="auto"/>
        </w:rPr>
        <w:t>Concerns or claims about our practices with regard to the processing of personal information or other privacy-related matters, even if unfounded, could damage our reputation and results of operations. In the PRC, governmental authorities have enacted a series of laws and regulations to enhance the protection of privacy and data. The PRC Constitution, the PRC Criminal Law, the Civil Code of the PRC, the Cybersecurity Law of the PRC and relevant regulations require network operators, which may include us, to ensure the security and stability of the services provided via network and protect individual privacy and the security of personal data in general by requiring the consent of internet users prior to the processing of their personal data. Under the Cybersecurity Law, the owners and administrators of networks and network service providers are subject to various personal information security protection obligations, including restrictions on the collection and use of personal information of users, and they are required to take steps to prevent personal data from being divulged, stolen, or tampered with. Regulatory requirements regarding the protection of personal information are constantly evolving and can be subject to differing interpretations or significant changes, making the extent of our responsibilities in that regard uncertain. For example, on June 10, 2021, the Standing Committee of the National People’s Congress, or SCNPC, promulgated the Data Security Law of the People’s Republic of China, or the Data Security Law, effective from September 1, 2021. The Data Security Law provides that data processing activities that affects or may affect national security shall be subject to a data security review procedure. On July 6, 2021, the General Office of the CPC Central Committee and the General Office of the State Council jointly promulgated Opinions on Strictly Cracking Down on Illegal Securities Activities, which called for a heightened scrutiny over overseas-listed China-based companies of their compliance with the laws and regulations regarding data security, cross-border data flow and management of confidential information, and such laws and regulations are expected to undergo further changes, which may require increased information security responsibilities and stronger cross-border information management mechanism and process. We may need to adjust our business to comply with data security requirements and other laws and regulations from time to time.</w:t>
      </w:r>
    </w:p>
    <w:p>
      <w:pPr>
        <w:spacing w:after="0" w:line="23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29</w:t>
      </w:r>
    </w:p>
    <w:p>
      <w:pPr>
        <w:sectPr>
          <w:pgSz w:w="11900" w:h="16838" w:orient="portrait"/>
          <w:cols w:equalWidth="0" w:num="1">
            <w:col w:w="10159"/>
          </w:cols>
          <w:pgMar w:left="300" w:top="388"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ind w:left="1680" w:right="659" w:firstLine="317"/>
        <w:spacing w:after="0" w:line="260" w:lineRule="auto"/>
        <w:rPr>
          <w:sz w:val="20"/>
          <w:szCs w:val="20"/>
          <w:color w:val="auto"/>
        </w:rPr>
      </w:pPr>
      <w:r>
        <w:rPr>
          <w:rFonts w:ascii="Times New Roman" w:cs="Times New Roman" w:eastAsia="Times New Roman" w:hAnsi="Times New Roman"/>
          <w:sz w:val="13"/>
          <w:szCs w:val="13"/>
          <w:color w:val="auto"/>
        </w:rPr>
        <w:t xml:space="preserve">On August 20, 2021, the SCNPC promulgated the </w:t>
      </w:r>
      <w:r>
        <w:rPr>
          <w:rFonts w:ascii="Times New Roman" w:cs="Times New Roman" w:eastAsia="Times New Roman" w:hAnsi="Times New Roman"/>
          <w:sz w:val="13"/>
          <w:szCs w:val="13"/>
          <w:i w:val="1"/>
          <w:iCs w:val="1"/>
          <w:color w:val="auto"/>
        </w:rPr>
        <w:t>Personal Information Protection Law of the People’s Republic of China</w:t>
      </w:r>
      <w:r>
        <w:rPr>
          <w:rFonts w:ascii="Times New Roman" w:cs="Times New Roman" w:eastAsia="Times New Roman" w:hAnsi="Times New Roman"/>
          <w:sz w:val="13"/>
          <w:szCs w:val="13"/>
          <w:color w:val="auto"/>
        </w:rPr>
        <w:t>, or the Personal Information Protection Law, which integrates the scattered rules with respect to personal information rights and privacy protection and took effect on November 1, 2021. We may be required to make further adjustments to our business practices to comply with the personal information protection laws and regulations.</w:t>
      </w:r>
    </w:p>
    <w:p>
      <w:pPr>
        <w:spacing w:after="0" w:line="130" w:lineRule="exact"/>
        <w:rPr>
          <w:sz w:val="20"/>
          <w:szCs w:val="20"/>
          <w:color w:val="auto"/>
        </w:rPr>
      </w:pPr>
    </w:p>
    <w:p>
      <w:pPr>
        <w:ind w:left="1680" w:right="719" w:firstLine="317"/>
        <w:spacing w:after="0" w:line="275" w:lineRule="auto"/>
        <w:rPr>
          <w:sz w:val="20"/>
          <w:szCs w:val="20"/>
          <w:color w:val="auto"/>
        </w:rPr>
      </w:pPr>
      <w:r>
        <w:rPr>
          <w:rFonts w:ascii="Times New Roman" w:cs="Times New Roman" w:eastAsia="Times New Roman" w:hAnsi="Times New Roman"/>
          <w:sz w:val="12"/>
          <w:szCs w:val="12"/>
          <w:color w:val="auto"/>
        </w:rPr>
        <w:t xml:space="preserve">On November 14, 2021, the CAC publicly solicited opinions </w:t>
      </w:r>
      <w:r>
        <w:rPr>
          <w:rFonts w:ascii="Times New Roman" w:cs="Times New Roman" w:eastAsia="Times New Roman" w:hAnsi="Times New Roman"/>
          <w:sz w:val="12"/>
          <w:szCs w:val="12"/>
          <w:i w:val="1"/>
          <w:iCs w:val="1"/>
          <w:color w:val="auto"/>
        </w:rPr>
        <w:t>the Administration Regulations on Cyber Data Security (Draft for Comments)</w:t>
      </w:r>
      <w:r>
        <w:rPr>
          <w:rFonts w:ascii="Times New Roman" w:cs="Times New Roman" w:eastAsia="Times New Roman" w:hAnsi="Times New Roman"/>
          <w:sz w:val="12"/>
          <w:szCs w:val="12"/>
          <w:color w:val="auto"/>
        </w:rPr>
        <w:t>. According to the Draft Data Security Regulations, data processors shall, in accordance with relevant state provisions, stipulate that data processors processing personal information of more than one million users shall be subject to the various requirements that apply to important data processors, including but not limited to: (a) important data processors shall specify the person in charge of data security and establish a data security management organization; (b) important data processors shall file with competent authorities within 15 working days after the identification of important data;</w:t>
      </w:r>
    </w:p>
    <w:p>
      <w:pPr>
        <w:spacing w:after="0" w:line="1" w:lineRule="exact"/>
        <w:rPr>
          <w:sz w:val="20"/>
          <w:szCs w:val="20"/>
          <w:color w:val="auto"/>
        </w:rPr>
      </w:pPr>
    </w:p>
    <w:p>
      <w:pPr>
        <w:ind w:left="1680" w:right="599" w:hanging="4"/>
        <w:spacing w:after="0" w:line="251" w:lineRule="auto"/>
        <w:tabs>
          <w:tab w:leader="none" w:pos="1856"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important data processors shall develop a data security training program for its employees; (d) important data processors shall carry out annual data security assessment and file such report with competent authorities annually. Uncertainties exist with respect to its enactment timetable, final content, interpretation and implementation. We cannot assure you that relevant governmental authorities will not interpret the laws and regulations in ways that may negatively affect us. At this stage, we are unable to predict the possible consequences of these drafts, if any, and we are monitoring and assessing the rulemaking process closely. Any failure, or perceived failure to maintain the security of our user data or to comply with applicable PRC or foreign privacy, data security and personal information protection laws and obligations may result in civil or regulatory liability, including governmental or data protection authority enforcement actions and investigations, fines, penalties, enforcement orders requiring us to cease operating in a certain way, litigation, or adverse publicity, and may require us to expend significant resources in responding to and defending allegations and claims.</w:t>
      </w:r>
    </w:p>
    <w:p>
      <w:pPr>
        <w:spacing w:after="0" w:line="136" w:lineRule="exact"/>
        <w:rPr>
          <w:sz w:val="20"/>
          <w:szCs w:val="20"/>
          <w:color w:val="auto"/>
        </w:rPr>
      </w:pPr>
    </w:p>
    <w:p>
      <w:pPr>
        <w:ind w:left="1680" w:right="639" w:firstLine="317"/>
        <w:spacing w:after="0" w:line="281" w:lineRule="auto"/>
        <w:rPr>
          <w:sz w:val="20"/>
          <w:szCs w:val="20"/>
          <w:color w:val="auto"/>
        </w:rPr>
      </w:pPr>
      <w:r>
        <w:rPr>
          <w:rFonts w:ascii="Times New Roman" w:cs="Times New Roman" w:eastAsia="Times New Roman" w:hAnsi="Times New Roman"/>
          <w:sz w:val="12"/>
          <w:szCs w:val="12"/>
          <w:color w:val="auto"/>
        </w:rPr>
        <w:t xml:space="preserve">On December 31, 2021, the CAC, together with other regulatory authorities, published </w:t>
      </w:r>
      <w:r>
        <w:rPr>
          <w:rFonts w:ascii="Times New Roman" w:cs="Times New Roman" w:eastAsia="Times New Roman" w:hAnsi="Times New Roman"/>
          <w:sz w:val="12"/>
          <w:szCs w:val="12"/>
          <w:i w:val="1"/>
          <w:iCs w:val="1"/>
          <w:color w:val="auto"/>
        </w:rPr>
        <w:t>Administrative Provisions on Algorithm Recommendation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for Internet Information Services</w:t>
      </w:r>
      <w:r>
        <w:rPr>
          <w:rFonts w:ascii="Times New Roman" w:cs="Times New Roman" w:eastAsia="Times New Roman" w:hAnsi="Times New Roman"/>
          <w:sz w:val="12"/>
          <w:szCs w:val="12"/>
          <w:color w:val="auto"/>
        </w:rPr>
        <w:t>, or, Administrative Provisions on Algorithm Recommendation, effective on March 1, 2022. Pursuant to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Administrative Provisions on Algorithm Recommendation, users should be given an option to easily turn off algorithm recommendation services, and service providers shall, among others, establish and improve the management systems and technical measures for algorithm driven recommendation mechanism and regularly review, evaluate and verify the principle, models, data and application results of algorithms. The Company will closely monitor the regulatory development and adjust its business operation from time to time to comply with the regulations over algorithm.</w:t>
      </w:r>
    </w:p>
    <w:p>
      <w:pPr>
        <w:spacing w:after="0" w:line="122" w:lineRule="exact"/>
        <w:rPr>
          <w:sz w:val="20"/>
          <w:szCs w:val="20"/>
          <w:color w:val="auto"/>
        </w:rPr>
      </w:pPr>
    </w:p>
    <w:p>
      <w:pPr>
        <w:ind w:left="1680" w:right="579" w:firstLine="317"/>
        <w:spacing w:after="0" w:line="251" w:lineRule="auto"/>
        <w:rPr>
          <w:sz w:val="20"/>
          <w:szCs w:val="20"/>
          <w:color w:val="auto"/>
        </w:rPr>
      </w:pPr>
      <w:r>
        <w:rPr>
          <w:rFonts w:ascii="Times New Roman" w:cs="Times New Roman" w:eastAsia="Times New Roman" w:hAnsi="Times New Roman"/>
          <w:sz w:val="13"/>
          <w:szCs w:val="13"/>
          <w:color w:val="auto"/>
        </w:rPr>
        <w:t>Pursuant to the National Security Law issued by SCNPC on July 1, 2015, the state shall establish a national security review and supervision system to review, among other things, foreign investment, key technologies, internet and information technology products and services, and other important activities that are likely to impact national security of China. On December 28, 2021, the CAC together with other regulatory authorities officially announced the Cybersecurity Review Measures, which is consistent with the Cybersecurity Review Measures (Revision Draft for Comment) announced by the CAC on July 10, 2021. Pursuant to the Cybersecurity Review Measures, the procurement of network products and services by critical information infrastructure operators and the data processing activities conducted by network platform operators which affects or may affect national security shall be subject to cybersecurity review. Network platform operators mastering personal information of more than one million users must apply to the Cybersecurity Review Office for cybersecurity review when abroad. On July 30, 2021, the State Council promulgated the R</w:t>
      </w:r>
      <w:r>
        <w:rPr>
          <w:rFonts w:ascii="Times New Roman" w:cs="Times New Roman" w:eastAsia="Times New Roman" w:hAnsi="Times New Roman"/>
          <w:sz w:val="13"/>
          <w:szCs w:val="13"/>
          <w:i w:val="1"/>
          <w:iCs w:val="1"/>
          <w:color w:val="auto"/>
        </w:rPr>
        <w:t>egulations on Security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Protection of Critical Information Infrastructure</w:t>
      </w:r>
      <w:r>
        <w:rPr>
          <w:rFonts w:ascii="Times New Roman" w:cs="Times New Roman" w:eastAsia="Times New Roman" w:hAnsi="Times New Roman"/>
          <w:sz w:val="13"/>
          <w:szCs w:val="13"/>
          <w:color w:val="auto"/>
        </w:rPr>
        <w:t>, or the CIIO Regulations, which became effective on September 1, 2021. Pursuant to the CII</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Regulations, critical information infrastructure refers to any important network facilities or information systems of an important industry or field such as public communication and information service, energy, transport, water conservation, finance, public services, e-government affairs, science and technology industry for national defense and other industries and sectors that may seriously endanger national security, people’s livelihood and public interest in case of damage, function loss or data leakage. In addition, relevant administration departments of each critical industry and sector are responsible for formulating eligibility criteria and determining the critical information infrastructure in the respective industry or sector. The operators will be informed about the final determination as to whether they are categorized as critical information infrastructure operators, or CIIOs. As of the filing of this annual report on Form 20-F, no detailed rules or interpretations have been issued and we have not been informed as a CIIO by any governmental authorities. Furthermore, the exact scope of CIIOs, under the current regulatory regime remains unclear, and the PRC governmental authorities may have discretion in the interpretation and enforcement of these laws and regulations. Therefore, it is uncertain whether we would be deemed as a CIIO under PRC law. If we are identified as CIIO, we will be subject to stricter requirements on business operations and cybersecurity compliance, and we may need to follow cybersecurity review procedure and apply with Cybersecurity Review Office before making certain purchases of network products and services, and if a cybersecurity review is applicable, we may be required to suspend providing any existing or new services to our users, and we may experience other disruptions of our operations.</w:t>
      </w:r>
    </w:p>
    <w:p>
      <w:pPr>
        <w:spacing w:after="0" w:line="2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30</w:t>
      </w:r>
    </w:p>
    <w:p>
      <w:pPr>
        <w:sectPr>
          <w:pgSz w:w="11900" w:h="16838" w:orient="portrait"/>
          <w:cols w:equalWidth="0" w:num="1">
            <w:col w:w="10159"/>
          </w:cols>
          <w:pgMar w:left="300" w:top="388"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579" w:firstLine="317"/>
        <w:spacing w:after="0" w:line="259" w:lineRule="auto"/>
        <w:rPr>
          <w:sz w:val="20"/>
          <w:szCs w:val="20"/>
          <w:color w:val="auto"/>
        </w:rPr>
      </w:pPr>
      <w:r>
        <w:rPr>
          <w:rFonts w:ascii="Times New Roman" w:cs="Times New Roman" w:eastAsia="Times New Roman" w:hAnsi="Times New Roman"/>
          <w:sz w:val="13"/>
          <w:szCs w:val="13"/>
          <w:color w:val="auto"/>
        </w:rPr>
        <w:t>In addition, the PRC regulatory authorities have recently taken steps to strengthen the regulations on data protection and conducted several rounds of relevant inspections. We have not been informed by the CAC of any further requirements of rectification. As laws and regulations in China on the protection of privacy and data are constantly evolving, complying with new laws and regulations could cause us to incur substantial costs or require us to change our business practices in a manner materially adverse to our business.</w:t>
      </w:r>
    </w:p>
    <w:p>
      <w:pPr>
        <w:spacing w:after="0" w:line="133" w:lineRule="exact"/>
        <w:rPr>
          <w:sz w:val="20"/>
          <w:szCs w:val="20"/>
          <w:color w:val="auto"/>
        </w:rPr>
      </w:pPr>
    </w:p>
    <w:p>
      <w:pPr>
        <w:ind w:left="1680" w:right="559" w:firstLine="317"/>
        <w:spacing w:after="0" w:line="253" w:lineRule="auto"/>
        <w:rPr>
          <w:sz w:val="20"/>
          <w:szCs w:val="20"/>
          <w:color w:val="auto"/>
        </w:rPr>
      </w:pPr>
      <w:r>
        <w:rPr>
          <w:rFonts w:ascii="Times New Roman" w:cs="Times New Roman" w:eastAsia="Times New Roman" w:hAnsi="Times New Roman"/>
          <w:sz w:val="13"/>
          <w:szCs w:val="13"/>
          <w:color w:val="auto"/>
        </w:rPr>
        <w:t>Despite our efforts to comply with applicable laws, regulations and other obligations relating to privacy, data protection and information security, it is possible that our practices, offerings or platform could fail to meet all of the requirements imposed on us by such laws, regulations or obligations. Any failure on our part to comply with applicable laws or regulations or any other obligations relating to privacy, data protection or information security, or any compromise of security that results in unauthorized access, collection, transfer, use or release of personally identifiable information or other data, or the perception or allegation that any of the foregoing types of failure or compromise has occurred, could damage our reputation, discourage new and existing users from using our platform or result in investigations, fines, suspension of our app, or other penalties by government authorities and private claims or litigation, any of which could materially adversely affect our business, financial condition and results of operations. In addition, the interpretation and application of the aforementioned laws and regulations are often uncertain and in flux. Our practice may become inconsistent with these laws and regulations.</w:t>
      </w:r>
    </w:p>
    <w:p>
      <w:pPr>
        <w:spacing w:after="0" w:line="138" w:lineRule="exact"/>
        <w:rPr>
          <w:sz w:val="20"/>
          <w:szCs w:val="20"/>
          <w:color w:val="auto"/>
        </w:rPr>
      </w:pPr>
    </w:p>
    <w:p>
      <w:pPr>
        <w:ind w:left="1680" w:right="659" w:firstLine="317"/>
        <w:spacing w:after="0" w:line="253" w:lineRule="auto"/>
        <w:rPr>
          <w:sz w:val="20"/>
          <w:szCs w:val="20"/>
          <w:color w:val="auto"/>
        </w:rPr>
      </w:pPr>
      <w:r>
        <w:rPr>
          <w:rFonts w:ascii="Times New Roman" w:cs="Times New Roman" w:eastAsia="Times New Roman" w:hAnsi="Times New Roman"/>
          <w:sz w:val="13"/>
          <w:szCs w:val="13"/>
          <w:color w:val="auto"/>
        </w:rPr>
        <w:t>Our platform and internal systems depend on the ability of software and hardware developed and maintained internally and/or by third parties to store, retrieve, process and manage immense amounts of data, including personal information or other privacy-related matters. The software and hardware on which we rely may now or in the future contain, undetected programming errors, bugs, or vulnerabilities which may result in errors or compromise our ability to protect the data of our users and in turn adversely affect our business, financial condition and operation results. Any systems failure or compromise of security that results in the unauthorized access to or release of the data, photo or messaging history of our users could significantly limit the adoption of our services, as well as harm our reputation and brand, result in litigation against us, liquidation and other damages, regulatory investigations and penalties, and we could be subject to material liability. Additionally, we connect our platform with software development kit provided by third parties who may also process users’ data. The integrity of our user data also depends on their ability to secure and protect the data they process. The risk that these types of events could seriously harm our business is likely to increase as we expand the scope of services we offer and as we increase the size of our user base.</w:t>
      </w:r>
    </w:p>
    <w:p>
      <w:pPr>
        <w:spacing w:after="0" w:line="136" w:lineRule="exact"/>
        <w:rPr>
          <w:sz w:val="20"/>
          <w:szCs w:val="20"/>
          <w:color w:val="auto"/>
        </w:rPr>
      </w:pPr>
    </w:p>
    <w:p>
      <w:pPr>
        <w:ind w:left="1680" w:right="619" w:firstLine="317"/>
        <w:spacing w:after="0" w:line="253" w:lineRule="auto"/>
        <w:rPr>
          <w:sz w:val="20"/>
          <w:szCs w:val="20"/>
          <w:color w:val="auto"/>
        </w:rPr>
      </w:pPr>
      <w:r>
        <w:rPr>
          <w:rFonts w:ascii="Times New Roman" w:cs="Times New Roman" w:eastAsia="Times New Roman" w:hAnsi="Times New Roman"/>
          <w:sz w:val="13"/>
          <w:szCs w:val="13"/>
          <w:color w:val="auto"/>
        </w:rPr>
        <w:t>We may also become subject to laws and regulations affecting data protection, data privacy and/or information security in other jurisdictions by virtue of having users who reside in these jurisdictions, even if we do not have a physical presence there. Many jurisdictions have in the past adopted, and may in the future adopt, new laws and regulations, or amendments to existing laws and regulations, affecting data protection, data privacy and/or information security, such as the General Data Protection Regulation, or the GDPR, adopted by the European Union that became fully effective on May 25, 2018. The interpretation and application of these laws or regulations are often uncertain and in flux. We cannot guarantee you that our practice is consistent with these laws and regulations and our practice may become inconsistent with these laws and regulations, if so, we could be subject to fines and orders requiring that we change our practices, which could have an adverse effect on our business and results of operations. Complying with new data laws and regulations could cause us to incur substantial costs or require us to change our business practices in a manner materially adverse to our business.</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31</w:t>
      </w:r>
    </w:p>
    <w:p>
      <w:pPr>
        <w:sectPr>
          <w:pgSz w:w="11900" w:h="16838" w:orient="portrait"/>
          <w:cols w:equalWidth="0" w:num="1">
            <w:col w:w="10159"/>
          </w:cols>
          <w:pgMar w:left="300" w:top="388"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559" w:firstLine="317"/>
        <w:spacing w:after="0" w:line="257" w:lineRule="auto"/>
        <w:rPr>
          <w:sz w:val="20"/>
          <w:szCs w:val="20"/>
          <w:color w:val="auto"/>
        </w:rPr>
      </w:pPr>
      <w:r>
        <w:rPr>
          <w:rFonts w:ascii="Times New Roman" w:cs="Times New Roman" w:eastAsia="Times New Roman" w:hAnsi="Times New Roman"/>
          <w:sz w:val="13"/>
          <w:szCs w:val="13"/>
          <w:color w:val="auto"/>
        </w:rPr>
        <w:t>If users allege that we have improperly used, released or disclosed their personal information, we could face legal claims and reputational damage. We may incur significant expenses to comply with privacy, consumer protection and security standards and protocols imposed by law, regulation, industry standards or contractual obligations. A major breach of our network security and systems could create serious negative consequences for our business and future prospects, including possible fines, penalties, reduced customer demand for our AAVs, and harm to our reputation and brand. See “Item 4. Information on the Company—B. Business Overview—PRC Regulation” for further details.</w:t>
      </w:r>
    </w:p>
    <w:p>
      <w:pPr>
        <w:spacing w:after="0" w:line="207" w:lineRule="exact"/>
        <w:rPr>
          <w:sz w:val="20"/>
          <w:szCs w:val="20"/>
          <w:color w:val="auto"/>
        </w:rPr>
      </w:pPr>
    </w:p>
    <w:p>
      <w:pPr>
        <w:ind w:left="1680" w:right="559"/>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The execution of our business plans requires a significant amount of capital. In addition, our future capital needs may require us to sell additional equity or debt securities that may dilute the equity interests of our shareholders or introduce covenants that may restrict our operations or our ability to pay dividends.</w:t>
      </w:r>
    </w:p>
    <w:p>
      <w:pPr>
        <w:spacing w:after="0" w:line="50" w:lineRule="exact"/>
        <w:rPr>
          <w:sz w:val="20"/>
          <w:szCs w:val="20"/>
          <w:color w:val="auto"/>
        </w:rPr>
      </w:pPr>
    </w:p>
    <w:p>
      <w:pPr>
        <w:ind w:left="1680" w:right="599" w:firstLine="317"/>
        <w:spacing w:after="0" w:line="259" w:lineRule="auto"/>
        <w:rPr>
          <w:sz w:val="20"/>
          <w:szCs w:val="20"/>
          <w:color w:val="auto"/>
        </w:rPr>
      </w:pPr>
      <w:r>
        <w:rPr>
          <w:rFonts w:ascii="Times New Roman" w:cs="Times New Roman" w:eastAsia="Times New Roman" w:hAnsi="Times New Roman"/>
          <w:sz w:val="13"/>
          <w:szCs w:val="13"/>
          <w:color w:val="auto"/>
        </w:rPr>
        <w:t>We will need significant capital to, among other things, conduct research and development, expand our manufacturing capacity, roll out new products and solutions and provide commercial services. We may also need significant capital to maintain our existing property and equipment. Our expected sources of capital include both equity and debt financing. However, financing might not be available to us in a timely manner or on acceptable terms, or at all.</w:t>
      </w:r>
    </w:p>
    <w:p>
      <w:pPr>
        <w:spacing w:after="0" w:line="133" w:lineRule="exact"/>
        <w:rPr>
          <w:sz w:val="20"/>
          <w:szCs w:val="20"/>
          <w:color w:val="auto"/>
        </w:rPr>
      </w:pPr>
    </w:p>
    <w:p>
      <w:pPr>
        <w:ind w:left="1680" w:right="679" w:firstLine="317"/>
        <w:spacing w:after="0" w:line="259" w:lineRule="auto"/>
        <w:rPr>
          <w:sz w:val="20"/>
          <w:szCs w:val="20"/>
          <w:color w:val="auto"/>
        </w:rPr>
      </w:pPr>
      <w:r>
        <w:rPr>
          <w:rFonts w:ascii="Times New Roman" w:cs="Times New Roman" w:eastAsia="Times New Roman" w:hAnsi="Times New Roman"/>
          <w:sz w:val="13"/>
          <w:szCs w:val="13"/>
          <w:color w:val="auto"/>
        </w:rPr>
        <w:t>Our ability to obtain the necessary financing to carry out our business plan is subject to a number of factors, including general market conditions and investor acceptance of our business plans. These factors may make the timing, amount, terms and conditions of such financing unattractive or unavailable to us. If we are unable to raise sufficient funds, we will have to significantly reduce our spending, delay or cancel our planned activities, substantially change our current corporate structure, or even curtail or discontinue our operations.</w:t>
      </w:r>
    </w:p>
    <w:p>
      <w:pPr>
        <w:spacing w:after="0" w:line="133" w:lineRule="exact"/>
        <w:rPr>
          <w:sz w:val="20"/>
          <w:szCs w:val="20"/>
          <w:color w:val="auto"/>
        </w:rPr>
      </w:pPr>
    </w:p>
    <w:p>
      <w:pPr>
        <w:jc w:val="both"/>
        <w:ind w:left="1680" w:right="819" w:firstLine="317"/>
        <w:spacing w:after="0" w:line="259" w:lineRule="auto"/>
        <w:rPr>
          <w:sz w:val="20"/>
          <w:szCs w:val="20"/>
          <w:color w:val="auto"/>
        </w:rPr>
      </w:pPr>
      <w:r>
        <w:rPr>
          <w:rFonts w:ascii="Times New Roman" w:cs="Times New Roman" w:eastAsia="Times New Roman" w:hAnsi="Times New Roman"/>
          <w:sz w:val="13"/>
          <w:szCs w:val="13"/>
          <w:color w:val="auto"/>
        </w:rPr>
        <w:t>In addition, our future capital needs and other business concerns could require us to sell additional equity or debt securities or obtain a credit facility. The sale of additional equity or equity-linked securities could dilute the equity interests of our shareholders. Additional indebtedness would increase our debt-service obligations and may be accompanied by covenants that would restrict our operations or our ability to pay dividends to our shareholders.</w:t>
      </w:r>
    </w:p>
    <w:p>
      <w:pPr>
        <w:spacing w:after="0" w:line="207" w:lineRule="exact"/>
        <w:rPr>
          <w:sz w:val="20"/>
          <w:szCs w:val="20"/>
          <w:color w:val="auto"/>
        </w:rPr>
      </w:pPr>
    </w:p>
    <w:p>
      <w:pPr>
        <w:ind w:left="1680" w:right="65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We are subject to risks associated with strategic alliances or acquisitions. If we cannot manage the growth of our business or execute our strategies effectively, our business and prospects may be materially and adversely affected.</w:t>
      </w:r>
    </w:p>
    <w:p>
      <w:pPr>
        <w:spacing w:after="0" w:line="38" w:lineRule="exact"/>
        <w:rPr>
          <w:sz w:val="20"/>
          <w:szCs w:val="20"/>
          <w:color w:val="auto"/>
        </w:rPr>
      </w:pPr>
    </w:p>
    <w:p>
      <w:pPr>
        <w:ind w:left="1680" w:right="619" w:firstLine="317"/>
        <w:spacing w:after="0" w:line="280" w:lineRule="auto"/>
        <w:rPr>
          <w:sz w:val="20"/>
          <w:szCs w:val="20"/>
          <w:color w:val="auto"/>
        </w:rPr>
      </w:pPr>
      <w:r>
        <w:rPr>
          <w:rFonts w:ascii="Times New Roman" w:cs="Times New Roman" w:eastAsia="Times New Roman" w:hAnsi="Times New Roman"/>
          <w:sz w:val="12"/>
          <w:szCs w:val="12"/>
          <w:color w:val="auto"/>
        </w:rPr>
        <w:t>We have entered into strategic alliances with various business partners including FACC and DHL-Sinotrans, and may in the future enter into joint research and development agreements or co-branding agreements with third parties to further our business purpose from time to time. These alliances could subject us to a number of risks, including risks associated with sharing proprietary information, non-performance by the third parties and increased expenses in establishing new strategic alliances, any of which may materially and adversely affect our business. We may have limited ability to monitor or control the actions of these third parties. If any of these strategic third parties suffers negative publicity or harm to their reputation from events relating to their business, we may also suffer negative publicity or harm to our reputation by virtue of our association with any such third party.</w:t>
      </w:r>
    </w:p>
    <w:p>
      <w:pPr>
        <w:spacing w:after="0" w:line="123" w:lineRule="exact"/>
        <w:rPr>
          <w:sz w:val="20"/>
          <w:szCs w:val="20"/>
          <w:color w:val="auto"/>
        </w:rPr>
      </w:pPr>
    </w:p>
    <w:p>
      <w:pPr>
        <w:ind w:left="1680" w:right="659" w:firstLine="317"/>
        <w:spacing w:after="0" w:line="277" w:lineRule="auto"/>
        <w:rPr>
          <w:sz w:val="20"/>
          <w:szCs w:val="20"/>
          <w:color w:val="auto"/>
        </w:rPr>
      </w:pPr>
      <w:r>
        <w:rPr>
          <w:rFonts w:ascii="Times New Roman" w:cs="Times New Roman" w:eastAsia="Times New Roman" w:hAnsi="Times New Roman"/>
          <w:sz w:val="12"/>
          <w:szCs w:val="12"/>
          <w:color w:val="auto"/>
        </w:rPr>
        <w:t>Although we currently do not have any specific acquisition plans, if appropriate opportunities arise, we may acquire additional assets, products, technologies or businesses that are complementary to our existing business. In addition to any required shareholders’ approval, we may also have to obtain approvals and licenses from relevant government authorities for the acquisitions and to comply with any applicable PRC laws and regulations, which could result in delays and increased costs, and may derail our business strategy if we fail to do so. Furthermore, past and future acquisitions and the subsequent integration of new assets and businesses into our own require significant attention from our management and could result in a diversion of resources from our existing business, which in turn could have an adverse effect on our business operations. Acquired assets or businesses may not generate the financial results we expect. Acquisitions could result in the use of substantial amounts of cash, potentially dilutive issuances of equity securities, the occurrence of significant goodwill impairment charges, amortization expenses for other intangible assets and exposure to potential unknown liabilities of the acquired business. Moreover, the costs of identifying and consummating acquisitions may be significant.</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32</w:t>
      </w:r>
    </w:p>
    <w:p>
      <w:pPr>
        <w:sectPr>
          <w:pgSz w:w="11900" w:h="16838" w:orient="portrait"/>
          <w:cols w:equalWidth="0" w:num="1">
            <w:col w:w="10159"/>
          </w:cols>
          <w:pgMar w:left="300" w:top="388"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Our business could be adversely affected by trade tariffs or other trade barriers.</w:t>
      </w:r>
    </w:p>
    <w:p>
      <w:pPr>
        <w:spacing w:after="0" w:line="88" w:lineRule="exact"/>
        <w:rPr>
          <w:sz w:val="20"/>
          <w:szCs w:val="20"/>
          <w:color w:val="auto"/>
        </w:rPr>
      </w:pPr>
    </w:p>
    <w:p>
      <w:pPr>
        <w:ind w:left="1680" w:right="599" w:firstLine="317"/>
        <w:spacing w:after="0" w:line="253" w:lineRule="auto"/>
        <w:rPr>
          <w:sz w:val="20"/>
          <w:szCs w:val="20"/>
          <w:color w:val="auto"/>
        </w:rPr>
      </w:pPr>
      <w:r>
        <w:rPr>
          <w:rFonts w:ascii="Times New Roman" w:cs="Times New Roman" w:eastAsia="Times New Roman" w:hAnsi="Times New Roman"/>
          <w:sz w:val="13"/>
          <w:szCs w:val="13"/>
          <w:color w:val="auto"/>
        </w:rPr>
        <w:t>Starting from early 2018, the U.S. President announced the imposition of tariffs on certain Chinese goods entering the United States and recently both China and the United States have each imposed additional tariff. The United States may also in the future impose tariffs on the importation of consumer products related to our business, such as AAVs. In addition, the European Union has imposed tariffs on imports of AAVs originating from the PRC. We plan to export our AAVs to the United States and the European Union. Any new tariffs on AAVs or other relevant products imposed by the United States or the European Union may significantly increase our costs. It is not yet clear what impact these tariffs may have or what actions other governments, including the Chinese government, may take in retaliation. In addition, these developments could have a material adverse effect on global economic conditions and the stability of global financial markets. Any of these factors could have a material adverse effect on our business, financial condition and results of operations.</w:t>
      </w:r>
    </w:p>
    <w:p>
      <w:pPr>
        <w:spacing w:after="0" w:line="21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We, the VIE and its subsidiaries have limited insurance coverage, which could subject us to significant costs and business disruption.</w:t>
      </w:r>
    </w:p>
    <w:p>
      <w:pPr>
        <w:spacing w:after="0" w:line="88" w:lineRule="exact"/>
        <w:rPr>
          <w:sz w:val="20"/>
          <w:szCs w:val="20"/>
          <w:color w:val="auto"/>
        </w:rPr>
      </w:pPr>
    </w:p>
    <w:p>
      <w:pPr>
        <w:ind w:left="1680" w:right="559" w:firstLine="317"/>
        <w:spacing w:after="0" w:line="253" w:lineRule="auto"/>
        <w:rPr>
          <w:sz w:val="20"/>
          <w:szCs w:val="20"/>
          <w:color w:val="auto"/>
        </w:rPr>
      </w:pPr>
      <w:r>
        <w:rPr>
          <w:rFonts w:ascii="Times New Roman" w:cs="Times New Roman" w:eastAsia="Times New Roman" w:hAnsi="Times New Roman"/>
          <w:sz w:val="13"/>
          <w:szCs w:val="13"/>
          <w:color w:val="auto"/>
        </w:rPr>
        <w:t>We, the VIE and its subsidiaries have limited liability insurance coverage for our products and business operations. We may not be able to secure additional product liability insurance coverage on acceptable terms or at reasonable costs when needed. A successful liability claim against us, the VIE or its subsidiaries due to injuries or damages suffered by our users could materially and adversely affect our financial condition, results of operations and reputation. Even if unsuccessful, such a claim could cause us adverse publicity, require substantial costs to defend, and divert the time and attention of our management. In addition, we do not have any business disruption insurance. Any business disruption could result in substantial cost to us and diversion of our resources. Furthermore, China, the United States or any other jurisdiction relevant to our business may impose requirements for maintaining certain minimum liability or other insurance relating to the operation of AAVs. Such insurance policies could be costly, which would reduce the demand for our AAVs. Alternatively, certain insurance products that would be desirable to AAV operators may not be commercially available, which would increase the risks of operating our AAVs and also reduce the demand for them.</w:t>
      </w:r>
    </w:p>
    <w:p>
      <w:pPr>
        <w:spacing w:after="0" w:line="21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The bankruptcy proceedings of our former subsidiaries could subject us to adverse consequences.</w:t>
      </w:r>
    </w:p>
    <w:p>
      <w:pPr>
        <w:spacing w:after="0" w:line="88" w:lineRule="exact"/>
        <w:rPr>
          <w:sz w:val="20"/>
          <w:szCs w:val="20"/>
          <w:color w:val="auto"/>
        </w:rPr>
      </w:pPr>
    </w:p>
    <w:p>
      <w:pPr>
        <w:ind w:left="1680" w:right="619" w:firstLine="317"/>
        <w:spacing w:after="0" w:line="253" w:lineRule="auto"/>
        <w:rPr>
          <w:sz w:val="20"/>
          <w:szCs w:val="20"/>
          <w:color w:val="auto"/>
        </w:rPr>
      </w:pPr>
      <w:r>
        <w:rPr>
          <w:rFonts w:ascii="Times New Roman" w:cs="Times New Roman" w:eastAsia="Times New Roman" w:hAnsi="Times New Roman"/>
          <w:sz w:val="13"/>
          <w:szCs w:val="13"/>
          <w:color w:val="auto"/>
        </w:rPr>
        <w:t>Two of our former subsidiaries, one in the United States and one in Germany, were established as regional sales offices for our consumer drone business in September 2014 and February 2016, respectively. Due to intense competition in the consumer drone business at the time, we decided to exit the consumer drone markets in these two countries. Both of these entities filed for voluntary bankruptcy as part of the winding up process, and the U.S. entity was deconsolidated from our group in December 2017 and the German entity was deconsolidated from our group in October 2017. Based on the claims registers for these bankruptcy proceedings, these entities are subject to various creditors’ claims, which include employment litigation, lease, tax and insurance claims. The claims related to the bankruptcy proceedings for the U.S. entity have been settled and the bankruptcy proceedings for the German entity are ongoing. As these entities were deconsolidated since 2017 and are limited liability companies, we have no direct liability for these claims.</w:t>
      </w:r>
    </w:p>
    <w:p>
      <w:pPr>
        <w:spacing w:after="0" w:line="140" w:lineRule="exact"/>
        <w:rPr>
          <w:sz w:val="20"/>
          <w:szCs w:val="20"/>
          <w:color w:val="auto"/>
        </w:rPr>
      </w:pPr>
    </w:p>
    <w:p>
      <w:pPr>
        <w:ind w:left="1680" w:right="639" w:firstLine="317"/>
        <w:spacing w:after="0" w:line="259" w:lineRule="auto"/>
        <w:rPr>
          <w:sz w:val="20"/>
          <w:szCs w:val="20"/>
          <w:color w:val="auto"/>
        </w:rPr>
      </w:pPr>
      <w:r>
        <w:rPr>
          <w:rFonts w:ascii="Times New Roman" w:cs="Times New Roman" w:eastAsia="Times New Roman" w:hAnsi="Times New Roman"/>
          <w:sz w:val="13"/>
          <w:szCs w:val="13"/>
          <w:color w:val="auto"/>
        </w:rPr>
        <w:t>If claimants or trustees decide to assert claims against us to satisfy, among other things, the debt of our former subsidiaries and any such claims were to prevail, they could have an adverse effect on our results of operations and cash flows. Even if these claims do not result in a liability to us, they could subject us to negative publicity and harm the perception and confidence of our customers and suppliers in our brand and financial condition, which in turn could have a negative effect on our results of operations and cash flows.</w:t>
      </w:r>
    </w:p>
    <w:p>
      <w:pPr>
        <w:spacing w:after="0" w:line="34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33</w:t>
      </w:r>
    </w:p>
    <w:p>
      <w:pPr>
        <w:sectPr>
          <w:pgSz w:w="11900" w:h="16838" w:orient="portrait"/>
          <w:cols w:equalWidth="0" w:num="1">
            <w:col w:w="10159"/>
          </w:cols>
          <w:pgMar w:left="300" w:top="388"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18" w:lineRule="exact"/>
        <w:rPr>
          <w:sz w:val="20"/>
          <w:szCs w:val="20"/>
          <w:color w:val="auto"/>
        </w:rPr>
      </w:pPr>
    </w:p>
    <w:p>
      <w:pPr>
        <w:jc w:val="both"/>
        <w:ind w:left="1680" w:right="559"/>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We are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50" w:lineRule="exact"/>
        <w:rPr>
          <w:sz w:val="20"/>
          <w:szCs w:val="20"/>
          <w:color w:val="auto"/>
        </w:rPr>
      </w:pPr>
    </w:p>
    <w:p>
      <w:pPr>
        <w:ind w:left="1680" w:right="579" w:firstLine="317"/>
        <w:spacing w:after="0" w:line="252" w:lineRule="auto"/>
        <w:rPr>
          <w:sz w:val="20"/>
          <w:szCs w:val="20"/>
          <w:color w:val="auto"/>
        </w:rPr>
      </w:pPr>
      <w:r>
        <w:rPr>
          <w:rFonts w:ascii="Times New Roman" w:cs="Times New Roman" w:eastAsia="Times New Roman" w:hAnsi="Times New Roman"/>
          <w:sz w:val="13"/>
          <w:szCs w:val="13"/>
          <w:color w:val="auto"/>
        </w:rPr>
        <w:t>We are subject to anti-corruption, anti-bribery, anti-money laundering, financial and economic sanctions and similar laws and regulations in various jurisdictions in which we conduct our business or sell our products, including the PRC anti-corruption laws and regulations, the U.S. Foreign Corrupt Practices Act, or the FCPA, the U.K. Bribery Act 2010, and other anti-corruption laws and regulations. The FCPA and the U.K. Bribery Act 2010 prohibit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The U.K. Bribery Act 2010 also prohibits non-governmental “commercial” bribery and soliciting or accepting bribes. The PRC anti-corruption laws and regulations prohibit bribery to government agencies, state or government owned or controlled enterprises or entities, to government officials or officials that work for state or government owned enterprises or entities, as well as bribery to non-government entities or individuals. There is uncertainty in connection with the implementation of PRC anti-corruption laws. A violation of these laws or regulations could adversely affect our business, results of operations, financial condition and reputation.</w:t>
      </w:r>
    </w:p>
    <w:p>
      <w:pPr>
        <w:spacing w:after="0" w:line="140" w:lineRule="exact"/>
        <w:rPr>
          <w:sz w:val="20"/>
          <w:szCs w:val="20"/>
          <w:color w:val="auto"/>
        </w:rPr>
      </w:pPr>
    </w:p>
    <w:p>
      <w:pPr>
        <w:ind w:left="1680" w:right="679" w:firstLine="317"/>
        <w:spacing w:after="0" w:line="254" w:lineRule="auto"/>
        <w:rPr>
          <w:sz w:val="20"/>
          <w:szCs w:val="20"/>
          <w:color w:val="auto"/>
        </w:rPr>
      </w:pPr>
      <w:r>
        <w:rPr>
          <w:rFonts w:ascii="Times New Roman" w:cs="Times New Roman" w:eastAsia="Times New Roman" w:hAnsi="Times New Roman"/>
          <w:sz w:val="13"/>
          <w:szCs w:val="13"/>
          <w:color w:val="auto"/>
        </w:rPr>
        <w:t>We have direct or indirect interactions with officials and employees of government agencies and state-owned affiliated entities in the ordinary course of business. We have also entered into joint ventures and/or other business partnerships with government agencies and state-owned or affiliated entities. These interactions subject us to an increased level of compliance-related concerns. We are in the process of implementing policies and procedures designed to ensure compliance by us and our directors, officers, employees, representatives, consultants, agents and business partners with applicable anti-corruption, anti-bribery, anti-money laundering, financial and economic sanctions and similar laws and regulations. However, our policies and procedures may not be sufficient, and our directors, officers, employees, representatives, consultants, agents, and business partners could engage in improper conduct for which we may be held responsible.</w:t>
      </w:r>
    </w:p>
    <w:p>
      <w:pPr>
        <w:spacing w:after="0" w:line="138" w:lineRule="exact"/>
        <w:rPr>
          <w:sz w:val="20"/>
          <w:szCs w:val="20"/>
          <w:color w:val="auto"/>
        </w:rPr>
      </w:pPr>
    </w:p>
    <w:p>
      <w:pPr>
        <w:ind w:left="1680" w:right="819" w:firstLine="317"/>
        <w:spacing w:after="0" w:line="287" w:lineRule="auto"/>
        <w:rPr>
          <w:sz w:val="20"/>
          <w:szCs w:val="20"/>
          <w:color w:val="auto"/>
        </w:rPr>
      </w:pPr>
      <w:r>
        <w:rPr>
          <w:rFonts w:ascii="Times New Roman" w:cs="Times New Roman" w:eastAsia="Times New Roman" w:hAnsi="Times New Roman"/>
          <w:sz w:val="12"/>
          <w:szCs w:val="12"/>
          <w:color w:val="auto"/>
        </w:rPr>
        <w:t>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business, results of operations, financial condition and reputation. In addition, changes in economic sanctions laws in the future could adversely impact our business and investments in our shares.</w:t>
      </w:r>
    </w:p>
    <w:p>
      <w:pPr>
        <w:spacing w:after="0" w:line="19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We are involved in litigation from time to time and, as a result, we could incur substantial judgments, fines, legal fees or other costs.</w:t>
      </w:r>
    </w:p>
    <w:p>
      <w:pPr>
        <w:spacing w:after="0" w:line="88" w:lineRule="exact"/>
        <w:rPr>
          <w:sz w:val="20"/>
          <w:szCs w:val="20"/>
          <w:color w:val="auto"/>
        </w:rPr>
      </w:pPr>
    </w:p>
    <w:p>
      <w:pPr>
        <w:ind w:left="1680" w:right="539" w:firstLine="317"/>
        <w:spacing w:after="0" w:line="255" w:lineRule="auto"/>
        <w:rPr>
          <w:sz w:val="20"/>
          <w:szCs w:val="20"/>
          <w:color w:val="auto"/>
        </w:rPr>
      </w:pPr>
      <w:r>
        <w:rPr>
          <w:rFonts w:ascii="Times New Roman" w:cs="Times New Roman" w:eastAsia="Times New Roman" w:hAnsi="Times New Roman"/>
          <w:sz w:val="13"/>
          <w:szCs w:val="13"/>
          <w:color w:val="auto"/>
        </w:rPr>
        <w:t>We may be the subject of complaints or litigation from customers, suppliers, employees or other third parties for various actions. The damages sought against us in some of these litigation proceedings could be substantial. We cannot assure you that we will always have meritorious defenses to the plaintiffs’ claims. While the ultimate effect of these legal actions cannot be predicted with certainty, our reputation and the result of operations could be negatively impacted. The proceedings we may be involved in from time to time, including the aforementioned bankruptcy proceedings, could incur substantial judgments, fines, legal fees or other costs and have a material adverse effect on our business, financial condition, results of operations and cash flows.</w:t>
      </w:r>
    </w:p>
    <w:p>
      <w:pPr>
        <w:spacing w:after="0" w:line="210" w:lineRule="exact"/>
        <w:rPr>
          <w:sz w:val="20"/>
          <w:szCs w:val="20"/>
          <w:color w:val="auto"/>
        </w:rPr>
      </w:pPr>
    </w:p>
    <w:p>
      <w:pPr>
        <w:ind w:left="1680" w:right="93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Any financial or economic crisis or perceived threat of such a crisis may materially and adversely affect our business, financial condition and results of operations.</w:t>
      </w:r>
    </w:p>
    <w:p>
      <w:pPr>
        <w:spacing w:after="0" w:line="38" w:lineRule="exact"/>
        <w:rPr>
          <w:sz w:val="20"/>
          <w:szCs w:val="20"/>
          <w:color w:val="auto"/>
        </w:rPr>
      </w:pPr>
    </w:p>
    <w:p>
      <w:pPr>
        <w:ind w:left="1680" w:right="559" w:firstLine="317"/>
        <w:spacing w:after="0" w:line="279" w:lineRule="auto"/>
        <w:rPr>
          <w:sz w:val="20"/>
          <w:szCs w:val="20"/>
          <w:color w:val="auto"/>
        </w:rPr>
      </w:pPr>
      <w:r>
        <w:rPr>
          <w:rFonts w:ascii="Times New Roman" w:cs="Times New Roman" w:eastAsia="Times New Roman" w:hAnsi="Times New Roman"/>
          <w:sz w:val="12"/>
          <w:szCs w:val="12"/>
          <w:color w:val="auto"/>
        </w:rPr>
        <w:t>The global financial markets experienced significant disruptions in 2008. The recovery since then has been geographically uneven. New challenges have also emerged, including the escalation of the European sovereign debt crisis since 2011, the hostilities in the Ukraine, the end of quantitative easing by the U.S. Federal Reserve and the economic slowdown in the Eurozone in 2014. It is unclear whether these challenges will be contained and what effects they each may have. There is considerable uncertainty over the long-term effects of the expansionary monetary and fiscal policies that have been adopted by the central banks and financial authorities of some of the world’s leading economies, including China’s. Economic conditions in China are sensitive to global economic conditions. Any prolonged slowdown in China’s economic development might lead to tighter credit markets, increased market volatility, sudden drops in business and customer confidence and dramatic changes in business and customer behaviors.</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34</w:t>
      </w:r>
    </w:p>
    <w:p>
      <w:pPr>
        <w:sectPr>
          <w:pgSz w:w="11900" w:h="16838" w:orient="portrait"/>
          <w:cols w:equalWidth="0" w:num="1">
            <w:col w:w="10159"/>
          </w:cols>
          <w:pgMar w:left="300" w:top="388"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We face risks related to natural disasters, which could significantly disrupt our operations.</w:t>
      </w:r>
    </w:p>
    <w:p>
      <w:pPr>
        <w:spacing w:after="0" w:line="88" w:lineRule="exact"/>
        <w:rPr>
          <w:sz w:val="20"/>
          <w:szCs w:val="20"/>
          <w:color w:val="auto"/>
        </w:rPr>
      </w:pPr>
    </w:p>
    <w:p>
      <w:pPr>
        <w:ind w:left="1680" w:right="579" w:firstLine="317"/>
        <w:spacing w:after="0" w:line="255" w:lineRule="auto"/>
        <w:rPr>
          <w:sz w:val="20"/>
          <w:szCs w:val="20"/>
          <w:color w:val="auto"/>
        </w:rPr>
      </w:pPr>
      <w:r>
        <w:rPr>
          <w:rFonts w:ascii="Times New Roman" w:cs="Times New Roman" w:eastAsia="Times New Roman" w:hAnsi="Times New Roman"/>
          <w:sz w:val="13"/>
          <w:szCs w:val="13"/>
          <w:color w:val="auto"/>
        </w:rPr>
        <w:t>We are vulnerable to natural disasters and other calamities such as hurricanes, tornadoes, floods, earthquakes and other adverse weather and climate conditions. Although we have servers that are hosted in an offsite location, our backup system does not capture data on a real-time basis, and we may be unable to recover certain data in the event of a server failure. We cannot assure you that any backup systems will be adequate to protect us from the effects of fire, floods, typhoons, earthquakes, power loss, telecommunications failures, break-ins, war, riots, terrorist attacks or similar events. Any of the foregoing events may give rise to interruptions, breakdowns, system failures, technology platform failures or internet failures, which could cause the loss or corruption of data or malfunctions of software or hardware as well as adversely affect our ability to provide services on our platform.</w:t>
      </w:r>
    </w:p>
    <w:p>
      <w:pPr>
        <w:spacing w:after="0" w:line="210" w:lineRule="exact"/>
        <w:rPr>
          <w:sz w:val="20"/>
          <w:szCs w:val="20"/>
          <w:color w:val="auto"/>
        </w:rPr>
      </w:pPr>
    </w:p>
    <w:p>
      <w:pPr>
        <w:ind w:left="1680" w:right="69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Our and the VIE’s leased property interest may be defective and our right to lease the properties may be challenged, which could cause significant disruption to our business.</w:t>
      </w:r>
    </w:p>
    <w:p>
      <w:pPr>
        <w:spacing w:after="0" w:line="38" w:lineRule="exact"/>
        <w:rPr>
          <w:sz w:val="20"/>
          <w:szCs w:val="20"/>
          <w:color w:val="auto"/>
        </w:rPr>
      </w:pPr>
    </w:p>
    <w:p>
      <w:pPr>
        <w:ind w:left="1680" w:right="679" w:firstLine="317"/>
        <w:spacing w:after="0" w:line="259" w:lineRule="auto"/>
        <w:rPr>
          <w:sz w:val="20"/>
          <w:szCs w:val="20"/>
          <w:color w:val="auto"/>
        </w:rPr>
      </w:pPr>
      <w:r>
        <w:rPr>
          <w:rFonts w:ascii="Times New Roman" w:cs="Times New Roman" w:eastAsia="Times New Roman" w:hAnsi="Times New Roman"/>
          <w:sz w:val="13"/>
          <w:szCs w:val="13"/>
          <w:color w:val="auto"/>
        </w:rPr>
        <w:t>We and the VIE lease all the premises used in our operations from third parties. We and the VIE require the landlords’ cooperation to effectively manage the condition of such premises, buildings and facilities. In the event that the condition of the office premises, buildings and facilities deteriorates, or if any or all of our and the VIE’s landlords fail to properly maintain and renovate such premises, buildings or facilities in a timely manner or at all, the operation of our offices could be materially and adversely affected.</w:t>
      </w:r>
    </w:p>
    <w:p>
      <w:pPr>
        <w:spacing w:after="0" w:line="133" w:lineRule="exact"/>
        <w:rPr>
          <w:sz w:val="20"/>
          <w:szCs w:val="20"/>
          <w:color w:val="auto"/>
        </w:rPr>
      </w:pPr>
    </w:p>
    <w:p>
      <w:pPr>
        <w:ind w:left="1680" w:right="559" w:firstLine="317"/>
        <w:spacing w:after="0" w:line="276" w:lineRule="auto"/>
        <w:rPr>
          <w:sz w:val="20"/>
          <w:szCs w:val="20"/>
          <w:color w:val="auto"/>
        </w:rPr>
      </w:pPr>
      <w:r>
        <w:rPr>
          <w:rFonts w:ascii="Times New Roman" w:cs="Times New Roman" w:eastAsia="Times New Roman" w:hAnsi="Times New Roman"/>
          <w:sz w:val="12"/>
          <w:szCs w:val="12"/>
          <w:color w:val="auto"/>
        </w:rPr>
        <w:t>Moreover, certain lessors have not provided us and the VIE with valid ownership certificates or authorization of sublease for our and the VIE leased properties. Under the relevant PRC laws and regulations, if the lessors are unable to obtain certificate of title because such properties were built illegally or failed to pass the inspection or other reasons, such lease contracts may be recognized as void and as a result, we and the VIE may be required to vacate the relevant properties. In addition, if our and the VIE’s lessors are not the owners of the properties and they have not obtained consents from the owners or their lessors or permits from the relevant government authorities, our and the VIE’s leases could be invalidated. If this occurs, we and the VIE may have to renegotiate the leases with the owners or the parties who have the right to lease the properties, and the terms of the new leases may be less favorable to us and the VIE, or we and the VIE may be required to vacate the relevant properties if the terms of the new leases are not reached. Furthermore, one lease the VIE has been using for research and development, production and office purposes had expired, and the VIE is in the process of negotiating renewal with the lessor. We and the VIE may enter into new lease contracts with the lessors, and the terms of the new leases may be less favorable to us and the VIE, or we and the VIE may be required to vacate the relevant properties if the terms of the new leases are not reached.</w:t>
      </w:r>
    </w:p>
    <w:p>
      <w:pPr>
        <w:spacing w:after="0" w:line="125" w:lineRule="exact"/>
        <w:rPr>
          <w:sz w:val="20"/>
          <w:szCs w:val="20"/>
          <w:color w:val="auto"/>
        </w:rPr>
      </w:pPr>
    </w:p>
    <w:p>
      <w:pPr>
        <w:ind w:left="1680" w:right="639" w:firstLine="317"/>
        <w:spacing w:after="0" w:line="264" w:lineRule="auto"/>
        <w:rPr>
          <w:sz w:val="20"/>
          <w:szCs w:val="20"/>
          <w:color w:val="auto"/>
        </w:rPr>
      </w:pPr>
      <w:r>
        <w:rPr>
          <w:rFonts w:ascii="Times New Roman" w:cs="Times New Roman" w:eastAsia="Times New Roman" w:hAnsi="Times New Roman"/>
          <w:sz w:val="13"/>
          <w:szCs w:val="13"/>
          <w:color w:val="auto"/>
        </w:rPr>
        <w:t>Under PRC laws, all lease agreements are required to be registered with the local housing authorities. We and the VIE have not registered certain of our lease agreements with the relevant government authorities. Failure to complete these required registrations may expose our and the VIE’s landlords, lessors, us and the VIE to potential monetary fines.</w:t>
      </w:r>
    </w:p>
    <w:p>
      <w:pPr>
        <w:spacing w:after="0" w:line="203" w:lineRule="exact"/>
        <w:rPr>
          <w:sz w:val="20"/>
          <w:szCs w:val="20"/>
          <w:color w:val="auto"/>
        </w:rPr>
      </w:pPr>
    </w:p>
    <w:p>
      <w:pPr>
        <w:ind w:left="1680" w:right="71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We have granted, and may continue to grant, restricted share units and other types of awards under our share incentive plan, which may result in increased share-based compensation expenses.</w:t>
      </w:r>
    </w:p>
    <w:p>
      <w:pPr>
        <w:spacing w:after="0" w:line="38" w:lineRule="exact"/>
        <w:rPr>
          <w:sz w:val="20"/>
          <w:szCs w:val="20"/>
          <w:color w:val="auto"/>
        </w:rPr>
      </w:pPr>
    </w:p>
    <w:p>
      <w:pPr>
        <w:ind w:left="1680" w:right="579" w:firstLine="317"/>
        <w:spacing w:after="0" w:line="254" w:lineRule="auto"/>
        <w:rPr>
          <w:sz w:val="20"/>
          <w:szCs w:val="20"/>
          <w:color w:val="auto"/>
        </w:rPr>
      </w:pPr>
      <w:r>
        <w:rPr>
          <w:rFonts w:ascii="Times New Roman" w:cs="Times New Roman" w:eastAsia="Times New Roman" w:hAnsi="Times New Roman"/>
          <w:sz w:val="13"/>
          <w:szCs w:val="13"/>
          <w:color w:val="auto"/>
        </w:rPr>
        <w:t>We adopted the 2015 Share Incentive Plan, or the 2015 Plan, and the 2019 Share Incentive Plan, or the 2019 Plan (collectively, the “Plans”), to incentivize our employees, directors and consultants and align their interests with ours. We recognize expenses in our consolidated statement of loss in accordance with U.S. GAAP. Under the Plans, we are authorized to grant restricted share units and other types of awards. Under the 2015 Plan and 2019 Plan, the maximum number of ordinary shares that may be issued pursuant to all awards is 8,867,053 and initially 5,455,346 (which was subsequently increased to 6,440,855), respectively. As of March 31, 2022, 3,920,370 restricted share units and 53,737 share options had been granted and were outstanding under the Plans. As of December 31, 2021, our unrecognized share-based compensation expenses relating to unvested awards, amounted to RMB251.1 million (US$39.4 million).</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35</w:t>
      </w:r>
    </w:p>
    <w:p>
      <w:pPr>
        <w:sectPr>
          <w:pgSz w:w="11900" w:h="16838" w:orient="portrait"/>
          <w:cols w:equalWidth="0" w:num="1">
            <w:col w:w="10159"/>
          </w:cols>
          <w:pgMar w:left="300" w:top="388"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559" w:firstLine="317"/>
        <w:spacing w:after="0" w:line="255" w:lineRule="auto"/>
        <w:rPr>
          <w:sz w:val="20"/>
          <w:szCs w:val="20"/>
          <w:color w:val="auto"/>
        </w:rPr>
      </w:pPr>
      <w:r>
        <w:rPr>
          <w:rFonts w:ascii="Times New Roman" w:cs="Times New Roman" w:eastAsia="Times New Roman" w:hAnsi="Times New Roman"/>
          <w:sz w:val="13"/>
          <w:szCs w:val="13"/>
          <w:color w:val="auto"/>
        </w:rPr>
        <w:t>We believe the granting of share-based awards is of significant importance to our ability to attract and retain key personnel and employees, and we will continue to grant share-based awards to employees in the future. However, the number of shares reserved for issuance under our share incentive plan may not be sufficient to recruit new employees and to compensate existing employees. Furthermore, prospective candidates and existing employees often consider the value of the equity awards they receive in connection with their employment. Thus, our ability to attract or retain highly skilled employees may be adversely affected by declines in the perceived value of our equity or equity awards. To attract and retain qualified employees, our expenses associated with share-based compensation may increase, which may have an adverse effect on our results of operations.</w:t>
      </w:r>
    </w:p>
    <w:p>
      <w:pPr>
        <w:spacing w:after="0" w:line="210" w:lineRule="exact"/>
        <w:rPr>
          <w:sz w:val="20"/>
          <w:szCs w:val="20"/>
          <w:color w:val="auto"/>
        </w:rPr>
      </w:pPr>
    </w:p>
    <w:p>
      <w:pPr>
        <w:ind w:left="1680" w:right="619"/>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If we fail to implement and maintain an effective system of internal controls to remediate our material weaknesses over financial reporting, we may be unable to accurately report our results of operations, meet our reporting obligations or prevent fraud, and investor confidence in our company and the market price of the ADSs may be materially and adversely affected.</w:t>
      </w:r>
    </w:p>
    <w:p>
      <w:pPr>
        <w:spacing w:after="0" w:line="50" w:lineRule="exact"/>
        <w:rPr>
          <w:sz w:val="20"/>
          <w:szCs w:val="20"/>
          <w:color w:val="auto"/>
        </w:rPr>
      </w:pPr>
    </w:p>
    <w:p>
      <w:pPr>
        <w:ind w:left="1680" w:right="579" w:firstLine="317"/>
        <w:spacing w:after="0" w:line="253" w:lineRule="auto"/>
        <w:rPr>
          <w:sz w:val="20"/>
          <w:szCs w:val="20"/>
          <w:color w:val="auto"/>
        </w:rPr>
      </w:pPr>
      <w:r>
        <w:rPr>
          <w:rFonts w:ascii="Times New Roman" w:cs="Times New Roman" w:eastAsia="Times New Roman" w:hAnsi="Times New Roman"/>
          <w:sz w:val="13"/>
          <w:szCs w:val="13"/>
          <w:color w:val="auto"/>
        </w:rPr>
        <w:t>In preparing our consolidated financial statements as of and for the years ended December 31, 2021 included in this annual report, we and our independent registered public accounting firm, PricewaterhouseCoopers Zhong Tian LLP, identified three material weaknesses in our internal control over financial reporting as of December 31, 2021. As defined in the standards established by the U.S. Public Company Accounting Oversight Board, or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that have been identified relate to our (i) lack of financial reporting policies and procedures that are commensurate with U.S. GAAP and SEC reporting and compliance requirements, (ii) lack of sufficient controls for properly tracking the shipping records of the AAVs, and (iii) lack of monitoring of the collection of accounts receivable on a timely basis.</w:t>
      </w:r>
    </w:p>
    <w:p>
      <w:pPr>
        <w:spacing w:after="0" w:line="140" w:lineRule="exact"/>
        <w:rPr>
          <w:sz w:val="20"/>
          <w:szCs w:val="20"/>
          <w:color w:val="auto"/>
        </w:rPr>
      </w:pPr>
    </w:p>
    <w:p>
      <w:pPr>
        <w:ind w:left="1680" w:right="799" w:firstLine="317"/>
        <w:spacing w:after="0" w:line="278" w:lineRule="auto"/>
        <w:rPr>
          <w:sz w:val="20"/>
          <w:szCs w:val="20"/>
          <w:color w:val="auto"/>
        </w:rPr>
      </w:pPr>
      <w:r>
        <w:rPr>
          <w:rFonts w:ascii="Times New Roman" w:cs="Times New Roman" w:eastAsia="Times New Roman" w:hAnsi="Times New Roman"/>
          <w:sz w:val="13"/>
          <w:szCs w:val="13"/>
          <w:color w:val="auto"/>
        </w:rPr>
        <w:t>We implemented the following measures to improve our internal control over financial reporting to address the identified material weaknesses respectively:</w:t>
      </w:r>
    </w:p>
    <w:p>
      <w:pPr>
        <w:spacing w:after="0" w:line="52" w:lineRule="exact"/>
        <w:rPr>
          <w:sz w:val="20"/>
          <w:szCs w:val="20"/>
          <w:color w:val="auto"/>
        </w:rPr>
      </w:pPr>
    </w:p>
    <w:p>
      <w:pPr>
        <w:ind w:left="2380" w:right="799" w:hanging="315"/>
        <w:spacing w:after="0" w:line="281" w:lineRule="auto"/>
        <w:tabs>
          <w:tab w:leader="none" w:pos="238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our lack of financial reporting policies and procedures that are commensurate with U.S. GAAP and SEC reporting and compliance requirements, we (i) hired additional accounting and financial reporting personnel with U.S. GAAP and SEC reporting experience;</w:t>
      </w:r>
    </w:p>
    <w:p>
      <w:pPr>
        <w:ind w:left="2380" w:right="659"/>
        <w:spacing w:after="0" w:line="253"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(ii) provided continuous and appropriate training to the accounting and financial reporting personnel, especially the training related to US GAAP, and SEC rules and regulations; (iii) developed a set of accounting policies, which document the current US GAAP accounting standards and technical accounting guidance that are applicable to our business; and (iv) formalized a period-end closing process to prepare financial statements and related disclosures in compliance with US GAAP and SEC financial reporting requirements.</w:t>
      </w:r>
    </w:p>
    <w:p>
      <w:pPr>
        <w:spacing w:after="0" w:line="67" w:lineRule="exact"/>
        <w:rPr>
          <w:rFonts w:ascii="Times New Roman" w:cs="Times New Roman" w:eastAsia="Times New Roman" w:hAnsi="Times New Roman"/>
          <w:sz w:val="12"/>
          <w:szCs w:val="12"/>
          <w:color w:val="auto"/>
        </w:rPr>
      </w:pPr>
    </w:p>
    <w:p>
      <w:pPr>
        <w:ind w:left="2380" w:right="599" w:hanging="315"/>
        <w:spacing w:after="0" w:line="322" w:lineRule="auto"/>
        <w:tabs>
          <w:tab w:leader="none" w:pos="238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our lack of sufficient controls for properly tracking the shipping records of the AAVs, we replaced the logistics service provider with a reputable vendor and implemented a number of controls for recording and tracking the shipping records of AAVs accurately and timely.</w:t>
      </w:r>
    </w:p>
    <w:p>
      <w:pPr>
        <w:spacing w:after="0" w:line="28" w:lineRule="exact"/>
        <w:rPr>
          <w:rFonts w:ascii="Times New Roman" w:cs="Times New Roman" w:eastAsia="Times New Roman" w:hAnsi="Times New Roman"/>
          <w:sz w:val="12"/>
          <w:szCs w:val="12"/>
          <w:color w:val="auto"/>
        </w:rPr>
      </w:pPr>
    </w:p>
    <w:p>
      <w:pPr>
        <w:ind w:left="2380" w:right="799" w:hanging="315"/>
        <w:spacing w:after="0" w:line="278" w:lineRule="auto"/>
        <w:tabs>
          <w:tab w:leader="none" w:pos="23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our lack of monitoring of the collection of accounts receivable on a timely basis, we strengthened finance department’s monitoring control over the collection of accounts receivable through quarterly assessment with sales department.</w:t>
      </w:r>
    </w:p>
    <w:p>
      <w:pPr>
        <w:spacing w:after="0" w:line="121" w:lineRule="exact"/>
        <w:rPr>
          <w:sz w:val="20"/>
          <w:szCs w:val="20"/>
          <w:color w:val="auto"/>
        </w:rPr>
      </w:pPr>
    </w:p>
    <w:p>
      <w:pPr>
        <w:ind w:left="1680" w:right="679" w:firstLine="317"/>
        <w:spacing w:after="0" w:line="257" w:lineRule="auto"/>
        <w:rPr>
          <w:sz w:val="20"/>
          <w:szCs w:val="20"/>
          <w:color w:val="auto"/>
        </w:rPr>
      </w:pPr>
      <w:r>
        <w:rPr>
          <w:rFonts w:ascii="Times New Roman" w:cs="Times New Roman" w:eastAsia="Times New Roman" w:hAnsi="Times New Roman"/>
          <w:sz w:val="13"/>
          <w:szCs w:val="13"/>
          <w:color w:val="auto"/>
        </w:rPr>
        <w:t>However, the implementation of the foregoing measures did not fully address the material weaknesses in our internal control over financial reporting, and we cannot conclude that the material weaknesses have been fully remedied. Our failure to remediate the material weaknesses or our failure to discover and address any other control deficiencies could result in misstatements in our financial statements and impair our ability to comply with applicable financial reporting requirements and related regulatory filings on a timely basis. Moreover, ineffective internal control over financial reporting could significantly hinder our ability to prevent fraud.</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36</w:t>
      </w:r>
    </w:p>
    <w:p>
      <w:pPr>
        <w:sectPr>
          <w:pgSz w:w="11900" w:h="16838" w:orient="portrait"/>
          <w:cols w:equalWidth="0" w:num="1">
            <w:col w:w="10159"/>
          </w:cols>
          <w:pgMar w:left="300" w:top="388"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599" w:firstLine="317"/>
        <w:spacing w:after="0" w:line="253" w:lineRule="auto"/>
        <w:rPr>
          <w:sz w:val="20"/>
          <w:szCs w:val="20"/>
          <w:color w:val="auto"/>
        </w:rPr>
      </w:pPr>
      <w:r>
        <w:rPr>
          <w:rFonts w:ascii="Times New Roman" w:cs="Times New Roman" w:eastAsia="Times New Roman" w:hAnsi="Times New Roman"/>
          <w:sz w:val="13"/>
          <w:szCs w:val="13"/>
          <w:color w:val="auto"/>
        </w:rPr>
        <w:t>We are subject to the Sarbanes-Oxley Act of 2002. Section 404 of the Sarbanes-Oxley Act, or Section 404, requires that we include a report from management on the effectiveness of our internal control over financial reporting in our annual report on Form 20-F beginning with our annual report for the fiscal year ended December 31, 2020. In addition, once we cease to be an “emerging growth company” as such term is defined in the JOBS Act, our independent registered public accounting firm must attest to and report on the effectiveness of our internal control over financial reporting. Moreover, even if our management concludes that our internal control over financial reporting is effective, our independent registered public accounting firm, after conducting its own independent testing, may issue an adverse opinion on the effectiveness of internal control over financial reporting because of the existence of a material weakness if it is not satisfied with our internal controls or the level at which our controls are documented, designed, operated or reviewed, or if it interprets the relevant requirements differently from us. In addition, as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36" w:lineRule="exact"/>
        <w:rPr>
          <w:sz w:val="20"/>
          <w:szCs w:val="20"/>
          <w:color w:val="auto"/>
        </w:rPr>
      </w:pPr>
    </w:p>
    <w:p>
      <w:pPr>
        <w:ind w:left="1680" w:right="539" w:firstLine="317"/>
        <w:spacing w:after="0" w:line="253" w:lineRule="auto"/>
        <w:rPr>
          <w:sz w:val="20"/>
          <w:szCs w:val="20"/>
          <w:color w:val="auto"/>
        </w:rPr>
      </w:pPr>
      <w:r>
        <w:rPr>
          <w:rFonts w:ascii="Times New Roman" w:cs="Times New Roman" w:eastAsia="Times New Roman" w:hAnsi="Times New Roman"/>
          <w:sz w:val="13"/>
          <w:szCs w:val="13"/>
          <w:color w:val="auto"/>
        </w:rPr>
        <w:t>During the course of documenting and testing our internal control procedures, in order to satisfy the requirements of Section 404, we may identify other weaknesses and deficiencies in our internal control over financial reporting. If we fail to maintain the effectiveness of our internal control over financial reporting, we may not be able to conclude on an ongoing basis that we have effective internal control over financial reporting in accordance with Section 404. Generally speaking, if we fail to achieve and maintain an effective internal control environment, it could result in material misstatements in our financial statements and could also impair our ability to comply with applicable financial reporting requirements and related regulatory filings on a timely basis. As a result, our businesses, financial condition, results of operations and prospects, as well as the trading price of our ADSs, may be materially and adversely affected.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21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It may be difficult for overseas authorities to conduct investigations or collect evidence within China.</w:t>
      </w:r>
    </w:p>
    <w:p>
      <w:pPr>
        <w:spacing w:after="0" w:line="88" w:lineRule="exact"/>
        <w:rPr>
          <w:sz w:val="20"/>
          <w:szCs w:val="20"/>
          <w:color w:val="auto"/>
        </w:rPr>
      </w:pPr>
    </w:p>
    <w:p>
      <w:pPr>
        <w:ind w:left="1680" w:right="579" w:firstLine="317"/>
        <w:spacing w:after="0" w:line="253" w:lineRule="auto"/>
        <w:rPr>
          <w:sz w:val="20"/>
          <w:szCs w:val="20"/>
          <w:color w:val="auto"/>
        </w:rPr>
      </w:pPr>
      <w:r>
        <w:rPr>
          <w:rFonts w:ascii="Times New Roman" w:cs="Times New Roman" w:eastAsia="Times New Roman" w:hAnsi="Times New Roman"/>
          <w:sz w:val="13"/>
          <w:szCs w:val="13"/>
          <w:color w:val="auto"/>
        </w:rPr>
        <w:t>Shareholder claims or regulatory investigations that are common in the United States generally are difficult to pursue as a matter of law or practicality in China. For example, in China, there are significant legal and other obstacles to providing information needed for regulatory investigations or litigations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 Furthermore, according to Article 177 of the PRC Securities Law, or Article 177, which became effective in March 2020, no overseas authorities, including the SEC, the PCAOB, and the U.S. Department of Justice, can directly conduct investigation or evidence collection activities within the PRC and no entity or individual in China may provide documents and information relating to securities business activities to overseas authorities without PRC government approval. While detailed interpretation of or implementation rules under Article 177 are yet to be promulgated, the inability for overseas authorities to directly conduct investigation or evidence collection activities within China may further increase difficulties faced by you in protecting your interests.</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37</w:t>
      </w:r>
    </w:p>
    <w:p>
      <w:pPr>
        <w:sectPr>
          <w:pgSz w:w="11900" w:h="16838" w:orient="portrait"/>
          <w:cols w:equalWidth="0" w:num="1">
            <w:col w:w="10159"/>
          </w:cols>
          <w:pgMar w:left="300" w:top="388"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Risks Relating to Our Corporate Structure</w:t>
      </w:r>
    </w:p>
    <w:p>
      <w:pPr>
        <w:spacing w:after="0" w:line="82" w:lineRule="exact"/>
        <w:rPr>
          <w:sz w:val="20"/>
          <w:szCs w:val="20"/>
          <w:color w:val="auto"/>
        </w:rPr>
      </w:pPr>
    </w:p>
    <w:p>
      <w:pPr>
        <w:ind w:left="1680" w:right="579"/>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If the PRC government finds that the agreements that establish the structure for operating some of our operations in China do not comply with PRC regulations relating to the relevant industries, or if these regulations or the interpretation of existing regulations change in the future, we could be subject to severe penalties or be forced to relinquish our interests in those operations.</w:t>
      </w:r>
    </w:p>
    <w:p>
      <w:pPr>
        <w:spacing w:after="0" w:line="50" w:lineRule="exact"/>
        <w:rPr>
          <w:sz w:val="20"/>
          <w:szCs w:val="20"/>
          <w:color w:val="auto"/>
        </w:rPr>
      </w:pPr>
    </w:p>
    <w:p>
      <w:pPr>
        <w:ind w:left="1680" w:right="559" w:firstLine="317"/>
        <w:spacing w:after="0" w:line="253" w:lineRule="auto"/>
        <w:rPr>
          <w:sz w:val="20"/>
          <w:szCs w:val="20"/>
          <w:color w:val="auto"/>
        </w:rPr>
      </w:pPr>
      <w:r>
        <w:rPr>
          <w:rFonts w:ascii="Times New Roman" w:cs="Times New Roman" w:eastAsia="Times New Roman" w:hAnsi="Times New Roman"/>
          <w:sz w:val="13"/>
          <w:szCs w:val="13"/>
          <w:color w:val="auto"/>
        </w:rPr>
        <w:t>We are a Cayman Islands company and our PRC subsidiaries are currently considered to be foreign-invested enterprises. In December 2014, we incorporated EHang in the Cayman Islands as our offshore holding company to facilitate financing and offshore listing. In the same month, we established Ehfly Technology Limited, or Ehfly Technology, in Hong Kong, which subsequently became our wholly-owned subsidiary. In October 2015, we established EHang Intelligent, our WFOE, wholly owned by Ehfly Technology. In January 2016, we obtained control over EHang GZ through our WFOE by entering into a series of contractual arrangements with EHang GZ, the VIE, and its shareholders, which enable us to (i) exercise effective control over EHang GZ, (ii) receive economic benefits from the VIE that potentially could be significant to the VIE, and (iii) have an exclusive option to purchase all or part of the equity interests and assets in EHang GZ, when and to the extent permitted by PRC laws. As a result of these contractual arrangements, we have control over and are the primary beneficiary of the VIE and hence consolidate their financial results under U.S. GAAP. See “Item 4. Information on the Company—C. Organizational Structure” for further details.</w:t>
      </w:r>
    </w:p>
    <w:p>
      <w:pPr>
        <w:spacing w:after="0" w:line="138" w:lineRule="exact"/>
        <w:rPr>
          <w:sz w:val="20"/>
          <w:szCs w:val="20"/>
          <w:color w:val="auto"/>
        </w:rPr>
      </w:pPr>
    </w:p>
    <w:p>
      <w:pPr>
        <w:ind w:left="1680" w:right="619" w:firstLine="317"/>
        <w:spacing w:after="0" w:line="254" w:lineRule="auto"/>
        <w:rPr>
          <w:sz w:val="20"/>
          <w:szCs w:val="20"/>
          <w:color w:val="auto"/>
        </w:rPr>
      </w:pPr>
      <w:r>
        <w:rPr>
          <w:rFonts w:ascii="Times New Roman" w:cs="Times New Roman" w:eastAsia="Times New Roman" w:hAnsi="Times New Roman"/>
          <w:sz w:val="13"/>
          <w:szCs w:val="13"/>
          <w:color w:val="auto"/>
        </w:rPr>
        <w:t>Our PRC legal counsel, AllBright Law Offices, based on its understanding of the relevant laws and regulations, is of the opinion that (i) the ownership structure of our WFOE, the VIE and its subsidiaries are in compliance with applicable PRC laws or regulations, and (ii) such contractual arrangements constitute valid, legal and binding obligations enforceable against each party of such agreements in accordance with the terms of each agreement from their respective effective dates to the date of this annual report, and will not result in any violation of PRC laws or regulations currently in effect. However, our PRC legal counsel has also advised us that there are substantial uncertainties regarding the interpretation and application of current and future PRC laws, regulations and rules. Accordingly, the PRC regulatory authorities may take a view that is contrary to the opinion of our PRC legal counsel.</w:t>
      </w:r>
    </w:p>
    <w:p>
      <w:pPr>
        <w:spacing w:after="0" w:line="138" w:lineRule="exact"/>
        <w:rPr>
          <w:sz w:val="20"/>
          <w:szCs w:val="20"/>
          <w:color w:val="auto"/>
        </w:rPr>
      </w:pPr>
    </w:p>
    <w:p>
      <w:pPr>
        <w:ind w:left="1680" w:right="779" w:firstLine="317"/>
        <w:spacing w:after="0" w:line="264" w:lineRule="auto"/>
        <w:rPr>
          <w:sz w:val="20"/>
          <w:szCs w:val="20"/>
          <w:color w:val="auto"/>
        </w:rPr>
      </w:pPr>
      <w:r>
        <w:rPr>
          <w:rFonts w:ascii="Times New Roman" w:cs="Times New Roman" w:eastAsia="Times New Roman" w:hAnsi="Times New Roman"/>
          <w:sz w:val="13"/>
          <w:szCs w:val="13"/>
          <w:color w:val="auto"/>
        </w:rPr>
        <w:t>If we or the VIE are found to be in violation of any existing or future PRC laws or regulations, or fail to obtain or maintain any of the required permits or approvals, the relevant PRC regulatory authorities would have broad discretion to take action in dealing with such violations or failures, including:</w:t>
      </w:r>
    </w:p>
    <w:p>
      <w:pPr>
        <w:spacing w:after="0" w:line="61" w:lineRule="exact"/>
        <w:rPr>
          <w:sz w:val="20"/>
          <w:szCs w:val="20"/>
          <w:color w:val="auto"/>
        </w:rPr>
      </w:pPr>
    </w:p>
    <w:p>
      <w:pPr>
        <w:ind w:left="2380" w:hanging="315"/>
        <w:spacing w:after="0"/>
        <w:tabs>
          <w:tab w:leader="none" w:pos="238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revoking the business licenses and/or operating licenses of such entities;</w:t>
      </w:r>
    </w:p>
    <w:p>
      <w:pPr>
        <w:spacing w:after="0" w:line="93" w:lineRule="exact"/>
        <w:rPr>
          <w:rFonts w:ascii="Times New Roman" w:cs="Times New Roman" w:eastAsia="Times New Roman" w:hAnsi="Times New Roman"/>
          <w:sz w:val="13"/>
          <w:szCs w:val="13"/>
          <w:color w:val="auto"/>
        </w:rPr>
      </w:pPr>
    </w:p>
    <w:p>
      <w:pPr>
        <w:ind w:left="2380" w:right="619" w:hanging="315"/>
        <w:spacing w:after="0" w:line="278" w:lineRule="auto"/>
        <w:tabs>
          <w:tab w:leader="none" w:pos="238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shutting down our servers or blocking our website, or discontinuing or placing restrictions or onerous conditions on our operation through any transactions between our WFOE and the VIE;</w:t>
      </w:r>
    </w:p>
    <w:p>
      <w:pPr>
        <w:spacing w:after="0" w:line="52" w:lineRule="exact"/>
        <w:rPr>
          <w:rFonts w:ascii="Times New Roman" w:cs="Times New Roman" w:eastAsia="Times New Roman" w:hAnsi="Times New Roman"/>
          <w:sz w:val="13"/>
          <w:szCs w:val="13"/>
          <w:color w:val="auto"/>
        </w:rPr>
      </w:pPr>
    </w:p>
    <w:p>
      <w:pPr>
        <w:ind w:left="2380" w:right="559" w:hanging="315"/>
        <w:spacing w:after="0" w:line="278" w:lineRule="auto"/>
        <w:tabs>
          <w:tab w:leader="none" w:pos="238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imposing fines, confiscating the income from our WFOE or the VIE, or imposing other requirements with which we or the VIE may not be able to comply;</w:t>
      </w:r>
    </w:p>
    <w:p>
      <w:pPr>
        <w:spacing w:after="0" w:line="52" w:lineRule="exact"/>
        <w:rPr>
          <w:rFonts w:ascii="Times New Roman" w:cs="Times New Roman" w:eastAsia="Times New Roman" w:hAnsi="Times New Roman"/>
          <w:sz w:val="13"/>
          <w:szCs w:val="13"/>
          <w:color w:val="auto"/>
        </w:rPr>
      </w:pPr>
    </w:p>
    <w:p>
      <w:pPr>
        <w:ind w:left="2380" w:right="659" w:hanging="315"/>
        <w:spacing w:after="0" w:line="264" w:lineRule="auto"/>
        <w:tabs>
          <w:tab w:leader="none" w:pos="238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requiring us to restructure our ownership structure or operations, including terminating the contractual arrangements with the VIE and deregistering the equity pledges of the VIE, which in turn would affect our ability to consolidate, derive economic interests from, or exert effective control over the VIE;</w:t>
      </w:r>
    </w:p>
    <w:p>
      <w:pPr>
        <w:spacing w:after="0" w:line="61" w:lineRule="exact"/>
        <w:rPr>
          <w:rFonts w:ascii="Times New Roman" w:cs="Times New Roman" w:eastAsia="Times New Roman" w:hAnsi="Times New Roman"/>
          <w:sz w:val="13"/>
          <w:szCs w:val="13"/>
          <w:color w:val="auto"/>
        </w:rPr>
      </w:pPr>
    </w:p>
    <w:p>
      <w:pPr>
        <w:ind w:left="2380" w:right="699" w:hanging="315"/>
        <w:spacing w:after="0" w:line="278" w:lineRule="auto"/>
        <w:tabs>
          <w:tab w:leader="none" w:pos="238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restricting or prohibiting our use of the proceeds of our initial public offering to finance our business and operations in China, and taking other regulatory or enforcement actions that could be harmful to our business;</w:t>
      </w:r>
    </w:p>
    <w:p>
      <w:pPr>
        <w:spacing w:after="0" w:line="52"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confiscating any of our income deemed to be obtained through illegal operations;</w:t>
      </w:r>
    </w:p>
    <w:p>
      <w:pPr>
        <w:spacing w:after="0" w:line="11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38</w:t>
      </w:r>
    </w:p>
    <w:p>
      <w:pPr>
        <w:sectPr>
          <w:pgSz w:w="11900" w:h="16838" w:orient="portrait"/>
          <w:cols w:equalWidth="0" w:num="1">
            <w:col w:w="10159"/>
          </w:cols>
          <w:pgMar w:left="300" w:top="388"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2380" w:hanging="315"/>
        <w:spacing w:after="0"/>
        <w:tabs>
          <w:tab w:leader="none" w:pos="23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discontinuing or placing restrictions or onerous conditions on our operations;</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imposing additional conditions or requirements with which we may not be able to comply; or</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taking other regulatory or enforcement actions against us that could be harmful to our business.</w:t>
      </w:r>
    </w:p>
    <w:p>
      <w:pPr>
        <w:spacing w:after="0" w:line="162" w:lineRule="exact"/>
        <w:rPr>
          <w:sz w:val="20"/>
          <w:szCs w:val="20"/>
          <w:color w:val="auto"/>
        </w:rPr>
      </w:pPr>
    </w:p>
    <w:p>
      <w:pPr>
        <w:ind w:left="1680" w:right="599" w:firstLine="317"/>
        <w:spacing w:after="0" w:line="253" w:lineRule="auto"/>
        <w:rPr>
          <w:sz w:val="20"/>
          <w:szCs w:val="20"/>
          <w:color w:val="auto"/>
        </w:rPr>
      </w:pPr>
      <w:r>
        <w:rPr>
          <w:rFonts w:ascii="Times New Roman" w:cs="Times New Roman" w:eastAsia="Times New Roman" w:hAnsi="Times New Roman"/>
          <w:sz w:val="13"/>
          <w:szCs w:val="13"/>
          <w:color w:val="auto"/>
        </w:rPr>
        <w:t>The imposition of any of these penalties would result in a material and adverse effect on our ability to conduct our business. In addition, it is unclear what impact the PRC government actions would have on us and on our ability to consolidate the financial results of the VIE in our consolidated financial statements, if the PRC government authorities were to find our legal structure and contractual arrangements to be in violation of PRC laws and regulations. If the imposition of any of these government actions causes us to lose our right to direct the activities of the VIE or our right to receive substantially all the economic benefits and residual returns from the VIE and we are not able to restructure our ownership structure and operations in a satisfactory manner, we would no longer be able to exert effective control over or consolidate the financial results of the VIE in our consolidated financial statements. Either of these results, or any other significant penalties that might be imposed on us in this event, would have a material adverse effect on our financial condition and results of operations.</w:t>
      </w:r>
    </w:p>
    <w:p>
      <w:pPr>
        <w:spacing w:after="0" w:line="21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Our business may be significantly affected by the Foreign Investment Law.</w:t>
      </w:r>
    </w:p>
    <w:p>
      <w:pPr>
        <w:spacing w:after="0" w:line="88" w:lineRule="exact"/>
        <w:rPr>
          <w:sz w:val="20"/>
          <w:szCs w:val="20"/>
          <w:color w:val="auto"/>
        </w:rPr>
      </w:pPr>
    </w:p>
    <w:p>
      <w:pPr>
        <w:ind w:left="1680" w:right="559" w:firstLine="317"/>
        <w:spacing w:after="0" w:line="253" w:lineRule="auto"/>
        <w:rPr>
          <w:sz w:val="20"/>
          <w:szCs w:val="20"/>
          <w:color w:val="auto"/>
        </w:rPr>
      </w:pPr>
      <w:r>
        <w:rPr>
          <w:rFonts w:ascii="Times New Roman" w:cs="Times New Roman" w:eastAsia="Times New Roman" w:hAnsi="Times New Roman"/>
          <w:sz w:val="13"/>
          <w:szCs w:val="13"/>
          <w:color w:val="auto"/>
        </w:rPr>
        <w:t>On March 15, 2019, the National People’s Congress promulgated the Foreign Investment Law, which took effect on January 1, 2020 and replaced the trio of existing laws regulating foreign investment in China, namely, the PRC Equity Joint Venture Law, the PRC Cooperative Joint Venture Law and the Wholly Foreign-owned Enterprise Law, together with their implementation rules and ancillary regulations. Uncertainties still exist in relation to the interpretation and implementation of the Foreign Investment Law. The Foreign Investment Law does not explicitly classify whether variable interest entities that are controlled via contractual arrangements would be deemed as foreign invested enterprises if they are ultimately “controlled” by foreign investors. However, it has a catch-all provision under definition of “foreign investment” to include investments made by foreign investors in China through means stipulated by laws or administrative regulations or other methods prescribed by the State Council. Therefore, it still leaves leeway for future laws, administrative regulations or provisions to provide for contractual arrangements as a form of foreign investment.</w:t>
      </w:r>
    </w:p>
    <w:p>
      <w:pPr>
        <w:spacing w:after="0" w:line="140" w:lineRule="exact"/>
        <w:rPr>
          <w:sz w:val="20"/>
          <w:szCs w:val="20"/>
          <w:color w:val="auto"/>
        </w:rPr>
      </w:pPr>
    </w:p>
    <w:p>
      <w:pPr>
        <w:ind w:left="1680" w:right="699" w:firstLine="317"/>
        <w:spacing w:after="0" w:line="253" w:lineRule="auto"/>
        <w:rPr>
          <w:sz w:val="20"/>
          <w:szCs w:val="20"/>
          <w:color w:val="auto"/>
        </w:rPr>
      </w:pPr>
      <w:r>
        <w:rPr>
          <w:rFonts w:ascii="Times New Roman" w:cs="Times New Roman" w:eastAsia="Times New Roman" w:hAnsi="Times New Roman"/>
          <w:sz w:val="13"/>
          <w:szCs w:val="13"/>
          <w:color w:val="auto"/>
        </w:rPr>
        <w:t>The Foreign Investment Law grants foreign invested entities the same treatment as PRC domestic entities, except for those foreign invested entities that operate in industries deemed to be either “restricted” or “prohibited” in the “negative list” to be published. The Foreign Investment Law provides that only foreign invested entities operating in foreign restricted or prohibited industries will require entry clearance and other approvals that are not required by PRC domestic entities or foreign invested entities operating in other industries. Pursuant to the latest version of the “negative list,” namely, the Special Management Measures (Negative List) for the Access of Foreign Investment (2021), which became effective on January 1, 2022, our principal business does not fall into the “restricted” or “prohibited” categories. However, we cannot assure you that the “negative list” will not be updated in the future in any way adverse to our business. In the event that the VIE and its subsidiaries through which we operate our business are not treated as domestic investment and our operations carried out through such VIE and its subsidiaries are classified in the “restricted” or “prohibited” industry in the “negative list” under the Foreign Investment Law, such contractual arrangements may be deemed as invalid and illegal, and we may be required to unwind such contractual arrangements and/or dispose of such business.</w:t>
      </w:r>
    </w:p>
    <w:p>
      <w:pPr>
        <w:spacing w:after="0" w:line="136" w:lineRule="exact"/>
        <w:rPr>
          <w:sz w:val="20"/>
          <w:szCs w:val="20"/>
          <w:color w:val="auto"/>
        </w:rPr>
      </w:pPr>
    </w:p>
    <w:p>
      <w:pPr>
        <w:ind w:left="1680" w:right="559" w:firstLine="317"/>
        <w:spacing w:after="0" w:line="254" w:lineRule="auto"/>
        <w:rPr>
          <w:sz w:val="20"/>
          <w:szCs w:val="20"/>
          <w:color w:val="auto"/>
        </w:rPr>
      </w:pPr>
      <w:r>
        <w:rPr>
          <w:rFonts w:ascii="Times New Roman" w:cs="Times New Roman" w:eastAsia="Times New Roman" w:hAnsi="Times New Roman"/>
          <w:sz w:val="13"/>
          <w:szCs w:val="13"/>
          <w:color w:val="auto"/>
        </w:rPr>
        <w:t>Furthermore, if future laws, administrative regulations or provisions mandate further actions to be taken by companies with respect to existing contractual arrangements, we may face substantial uncertainties as to whether we can complete such actions in a timely manner, or at all. In addition, the Foreign Investment Law provides that existing foreign invested enterprises established according to the existing laws regulating foreign investment may maintain their structure and corporate governance within five years after the implementation of the Foreign Investment Law, which means that we may be required to adjust the structure and corporate governance of certain of our PRC entities then. Failure to take timely and appropriate measures to cope with any of these or similar regulatory compliance challenges could materially and adversely affect our current corporate structure, corporate governance and business operations.</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39</w:t>
      </w:r>
    </w:p>
    <w:p>
      <w:pPr>
        <w:sectPr>
          <w:pgSz w:w="11900" w:h="16838" w:orient="portrait"/>
          <w:cols w:equalWidth="0" w:num="1">
            <w:col w:w="10159"/>
          </w:cols>
          <w:pgMar w:left="300" w:top="388"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18" w:lineRule="exact"/>
        <w:rPr>
          <w:sz w:val="20"/>
          <w:szCs w:val="20"/>
          <w:color w:val="auto"/>
        </w:rPr>
      </w:pPr>
    </w:p>
    <w:p>
      <w:pPr>
        <w:ind w:left="1680" w:right="57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We rely on contractual arrangements with the VIE and its shareholders for a large portion of our business operations, which may not be as effective as direct ownership in providing operational control.</w:t>
      </w:r>
    </w:p>
    <w:p>
      <w:pPr>
        <w:spacing w:after="0" w:line="38" w:lineRule="exact"/>
        <w:rPr>
          <w:sz w:val="20"/>
          <w:szCs w:val="20"/>
          <w:color w:val="auto"/>
        </w:rPr>
      </w:pPr>
    </w:p>
    <w:p>
      <w:pPr>
        <w:ind w:left="1680" w:right="619" w:firstLine="317"/>
        <w:spacing w:after="0" w:line="257" w:lineRule="auto"/>
        <w:rPr>
          <w:sz w:val="20"/>
          <w:szCs w:val="20"/>
          <w:color w:val="auto"/>
        </w:rPr>
      </w:pPr>
      <w:r>
        <w:rPr>
          <w:rFonts w:ascii="Times New Roman" w:cs="Times New Roman" w:eastAsia="Times New Roman" w:hAnsi="Times New Roman"/>
          <w:sz w:val="13"/>
          <w:szCs w:val="13"/>
          <w:color w:val="auto"/>
        </w:rPr>
        <w:t>The VIE and its subsidiaries contributed 25.0%, 19.6% and 0.4% of our consolidated revenues for the years ended December 31, 2019, 2020 and 2021, respectively. We have relied on and expect to continue to rely on contractual arrangements with our WFOE, the VIE and its shareholders to conduct certain of our key businesses. These contractual arrangements may not be as effective as direct ownership in providing us with control over the VIE. For example, our WFOE, the VIE and its shareholders could breach their contractual arrangements with us by, among other things, failing to conduct the operations of the VIE in an acceptable manner or taking other actions that are detrimental to our interests.</w:t>
      </w:r>
    </w:p>
    <w:p>
      <w:pPr>
        <w:spacing w:after="0" w:line="133" w:lineRule="exact"/>
        <w:rPr>
          <w:sz w:val="20"/>
          <w:szCs w:val="20"/>
          <w:color w:val="auto"/>
        </w:rPr>
      </w:pPr>
    </w:p>
    <w:p>
      <w:pPr>
        <w:ind w:left="1680" w:right="559" w:firstLine="317"/>
        <w:spacing w:after="0" w:line="253" w:lineRule="auto"/>
        <w:rPr>
          <w:sz w:val="20"/>
          <w:szCs w:val="20"/>
          <w:color w:val="auto"/>
        </w:rPr>
      </w:pPr>
      <w:r>
        <w:rPr>
          <w:rFonts w:ascii="Times New Roman" w:cs="Times New Roman" w:eastAsia="Times New Roman" w:hAnsi="Times New Roman"/>
          <w:sz w:val="13"/>
          <w:szCs w:val="13"/>
          <w:color w:val="auto"/>
        </w:rPr>
        <w:t>If we had direct ownership of the VIE, we would be able to exercise our rights as shareholders to effect changes in the directors and senior management of the VIE, which in turn could implement changes, subject to any applicable fiduciary obligations, at the management and operational level. However, under the current contractual arrangements, we rely on the performance by the VIE and its respective shareholders of their obligations under the contracts to exercise control over the VIE. However, the shareholders of our consolidated VIE may not act in the best interests of our company or may not perform their obligations under these contracts. Such risks exist throughout the period in which we intend to operate certain portions of our business through the contractual arrangements with the VIE. If any dispute relating to these contracts remains unresolved, we will have to enforce our rights under these contracts through the operations of PRC laws and arbitrations, litigations and other legal proceedings and therefore will be subject to uncertainties in the PRC legal system. See “—Any failure by the VIE or its shareholders to perform their obligations under our contractual arrangements with them would have a material and adverse effect on our business.” Therefore, our contractual arrangements with the VIE may not be as effective in ensuring our control over the relevant portion of our business operations as direct ownership would be.</w:t>
      </w:r>
    </w:p>
    <w:p>
      <w:pPr>
        <w:spacing w:after="0" w:line="210" w:lineRule="exact"/>
        <w:rPr>
          <w:sz w:val="20"/>
          <w:szCs w:val="20"/>
          <w:color w:val="auto"/>
        </w:rPr>
      </w:pPr>
    </w:p>
    <w:p>
      <w:pPr>
        <w:ind w:left="1680" w:right="73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Any failure by the VIE or its shareholders to perform their obligations under our contractual arrangements with them would have a material and adverse effect on our business.</w:t>
      </w:r>
    </w:p>
    <w:p>
      <w:pPr>
        <w:spacing w:after="0" w:line="38" w:lineRule="exact"/>
        <w:rPr>
          <w:sz w:val="20"/>
          <w:szCs w:val="20"/>
          <w:color w:val="auto"/>
        </w:rPr>
      </w:pPr>
    </w:p>
    <w:p>
      <w:pPr>
        <w:ind w:left="1680" w:right="599" w:firstLine="317"/>
        <w:spacing w:after="0" w:line="254" w:lineRule="auto"/>
        <w:rPr>
          <w:sz w:val="20"/>
          <w:szCs w:val="20"/>
          <w:color w:val="auto"/>
        </w:rPr>
      </w:pPr>
      <w:r>
        <w:rPr>
          <w:rFonts w:ascii="Times New Roman" w:cs="Times New Roman" w:eastAsia="Times New Roman" w:hAnsi="Times New Roman"/>
          <w:sz w:val="13"/>
          <w:szCs w:val="13"/>
          <w:color w:val="auto"/>
        </w:rPr>
        <w:t>EHang Intelligent has entered into a series of contractual arrangements with the VIE and its shareholders. For a description of these contractual arrangements, see “Item 4. Information on the Company—C. Organizational Structure.” If the VIE or its shareholders fail to perform their respective obligations under the contractual arrangements, we may have to incur substantial costs and expend additional resources to enforce such arrangements. We may also have to rely on legal remedies under PRC laws, including seeking specific performance or injunctive relief, and claiming damages, the effectiveness of which may not be enforceable under PRC laws. For example, if the shareholders of the VIE refuse to transfer their equity interest in the VIE to us or our designee if we exercise the purchase option pursuant to these contractual arrangements, or if they otherwise act in bad faith toward us, then we may have to take legal actions to compel them to perform their contractual obligations.</w:t>
      </w:r>
    </w:p>
    <w:p>
      <w:pPr>
        <w:spacing w:after="0" w:line="138" w:lineRule="exact"/>
        <w:rPr>
          <w:sz w:val="20"/>
          <w:szCs w:val="20"/>
          <w:color w:val="auto"/>
        </w:rPr>
      </w:pPr>
    </w:p>
    <w:p>
      <w:pPr>
        <w:ind w:left="1680" w:right="579" w:firstLine="317"/>
        <w:spacing w:after="0" w:line="252" w:lineRule="auto"/>
        <w:rPr>
          <w:sz w:val="20"/>
          <w:szCs w:val="20"/>
          <w:color w:val="auto"/>
        </w:rPr>
      </w:pPr>
      <w:r>
        <w:rPr>
          <w:rFonts w:ascii="Times New Roman" w:cs="Times New Roman" w:eastAsia="Times New Roman" w:hAnsi="Times New Roman"/>
          <w:sz w:val="13"/>
          <w:szCs w:val="13"/>
          <w:color w:val="auto"/>
        </w:rPr>
        <w:t>All of the agreements under our contractual arrangements are governed by PRC laws and provide for the resolution of disputes through arbitration in China. Accordingly, these contracts would be interpreted in accordance with PRC laws and any disputes would be resolved in accordance with PRC legal procedures. The legal system in the PRC is not as developed as in some other jurisdictions, such as the United States. As a result, uncertainties in the PRC legal system could limit our ability to enforce these contractual arrangements. See “—Risks Relating to Doing Business in China— Uncertainties in the interpretation and enforcement of PRC laws and regulations could limit the legal protections available to you and us.” Meanwhile, there are very few precedents and little formal guidance as to how contractual arrangements in the context of a VIE should be interpreted or enforced under PRC laws. There remain significant uncertainties regarding the ultimate outcome of such arbitration should legal action become necessary. In addition, under PRC laws, rulings by arbitrators are final, parties cannot appeal the arbitration results in courts, and if the losing parties fail to carry out the arbitration awards within a prescribed time limit, the prevailing parties may only enforce the arbitration awards in PRC courts through arbitration award recognition proceedings, which would require additional expenses and delays. In the event we are unable to enforce these contractual arrangements, or if we suffer significant delays or other obstacles in the process of enforcing these contractual arrangements, we may not be able to exert effective control over the VIE, and our ability to conduct our business may be negatively affected.</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40</w:t>
      </w:r>
    </w:p>
    <w:p>
      <w:pPr>
        <w:sectPr>
          <w:pgSz w:w="11900" w:h="16838" w:orient="portrait"/>
          <w:cols w:equalWidth="0" w:num="1">
            <w:col w:w="10159"/>
          </w:cols>
          <w:pgMar w:left="300" w:top="388"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18" w:lineRule="exact"/>
        <w:rPr>
          <w:sz w:val="20"/>
          <w:szCs w:val="20"/>
          <w:color w:val="auto"/>
        </w:rPr>
      </w:pPr>
    </w:p>
    <w:p>
      <w:pPr>
        <w:ind w:left="1680" w:right="67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The shareholders of the VIE may have potential conflicts of interest with us, which may materially and adversely affect our business and financial condition.</w:t>
      </w:r>
    </w:p>
    <w:p>
      <w:pPr>
        <w:spacing w:after="0" w:line="38" w:lineRule="exact"/>
        <w:rPr>
          <w:sz w:val="20"/>
          <w:szCs w:val="20"/>
          <w:color w:val="auto"/>
        </w:rPr>
      </w:pPr>
    </w:p>
    <w:p>
      <w:pPr>
        <w:ind w:left="1680" w:right="579" w:firstLine="317"/>
        <w:spacing w:after="0" w:line="254" w:lineRule="auto"/>
        <w:rPr>
          <w:sz w:val="20"/>
          <w:szCs w:val="20"/>
          <w:color w:val="auto"/>
        </w:rPr>
      </w:pPr>
      <w:r>
        <w:rPr>
          <w:rFonts w:ascii="Times New Roman" w:cs="Times New Roman" w:eastAsia="Times New Roman" w:hAnsi="Times New Roman"/>
          <w:sz w:val="13"/>
          <w:szCs w:val="13"/>
          <w:color w:val="auto"/>
        </w:rPr>
        <w:t>The shareholders of the VIE include Mr. Weixian Xia and Mr. Shuai Feng, each a senior employee of our company. Conflicts of interest may arise from them in their roles as directors, officers and beneficial owners of our company and as shareholders of our consolidated affiliated entity. These shareholders may breach, or cause the VIE to breach, or refuse to renew, the existing contractual arrangements we have with them and the VIE, which would have a material and adverse effect on our ability to effectively control the VIE and receive economic benefits from them. For example, the shareholders may be able to cause our agreements with the VIE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w:t>
      </w:r>
    </w:p>
    <w:p>
      <w:pPr>
        <w:spacing w:after="0" w:line="138" w:lineRule="exact"/>
        <w:rPr>
          <w:sz w:val="20"/>
          <w:szCs w:val="20"/>
          <w:color w:val="auto"/>
        </w:rPr>
      </w:pPr>
    </w:p>
    <w:p>
      <w:pPr>
        <w:ind w:left="1680" w:right="579" w:firstLine="317"/>
        <w:spacing w:after="0" w:line="253" w:lineRule="auto"/>
        <w:rPr>
          <w:sz w:val="20"/>
          <w:szCs w:val="20"/>
          <w:color w:val="auto"/>
        </w:rPr>
      </w:pPr>
      <w:r>
        <w:rPr>
          <w:rFonts w:ascii="Times New Roman" w:cs="Times New Roman" w:eastAsia="Times New Roman" w:hAnsi="Times New Roman"/>
          <w:sz w:val="13"/>
          <w:szCs w:val="13"/>
          <w:color w:val="auto"/>
        </w:rPr>
        <w:t>Currently, we do not have any arrangements to address potential conflicts of interest between these shareholders and our company, except that we could exercise our purchase option under the exclusive option agreements with these shareholders to request them to transfer all of their equity interests in the VIE to a PRC entity or individual designated by us, to the extent permitted by PRC laws. For the shareholders who are also our directors and executive officers, we rely on them to abide by the laws of the Cayman Islands and China, which provide that directors owe a fiduciary duty to the company that requires them to act in good faith and in what they believe to be the best interests of the company and not to use their position for personal gain. There is currently no specific and clear guidance under PRC laws that addresses any conflict between PRC laws and laws of Cayman Islands in respect of any conflict relating to corporate governance. The shareholders of the VIE have executed powers of attorney to appoint our WFOE to vote on their behalf and exercise voting rights as shareholders of the VIE, and such rights were reassigned to us in February 2019. If we cannot resolve any conflicts of interest or disputes between us and the shareholders of the VIE, we would have to rely on legal proceedings, which may be expensive, time-consuming and disruptive to our operations. There is also substantial uncertainty as to the outcome of any such legal proceedings.</w:t>
      </w:r>
    </w:p>
    <w:p>
      <w:pPr>
        <w:spacing w:after="0" w:line="136" w:lineRule="exact"/>
        <w:rPr>
          <w:sz w:val="20"/>
          <w:szCs w:val="20"/>
          <w:color w:val="auto"/>
        </w:rPr>
      </w:pPr>
    </w:p>
    <w:p>
      <w:pPr>
        <w:ind w:left="1680" w:right="559" w:firstLine="317"/>
        <w:spacing w:after="0" w:line="251" w:lineRule="auto"/>
        <w:rPr>
          <w:sz w:val="20"/>
          <w:szCs w:val="20"/>
          <w:color w:val="auto"/>
        </w:rPr>
      </w:pPr>
      <w:r>
        <w:rPr>
          <w:rFonts w:ascii="Times New Roman" w:cs="Times New Roman" w:eastAsia="Times New Roman" w:hAnsi="Times New Roman"/>
          <w:sz w:val="13"/>
          <w:szCs w:val="13"/>
          <w:color w:val="auto"/>
        </w:rPr>
        <w:t>The shareholders of the VIE may be involved in personal disputes with third parties or other incidents that may have an adverse effect on their respective equity interests in the VIE and the validity or enforceability of our contractual arrangements with its shareholders. For example, in the event that any of the shareholders of the VIE divorces his or her spouse, the spouse may claim that the equity interest of the VIE held by such shareholder is part of their community property and should be divided between such shareholder and his or her spouse. If such claim is supported by the court, the relevant equity interest may be obtained by the shareholder’s spouse or another third party who is not subject to obligations under our contractual arrangements, which could result in a loss of the effective control over the VIE by us. In addition, a judicial freeze was placed on the equity interests of the VIE in connection with an arbitration filed by a third party against Mr. Huazhi Hu, our founder, chairman of the board of directors and chief executive officer, who was also a former shareholder of the VIE. The arbitration arose from a financial dispute between the third party and Mr. Huazhi Hu, and was unrelated to our company. The third party did not have any claim against the VIE. The VIE was involved in the arbitration only because the third party regarded equity interests of the VIE as potential assets of shareholders of the VIE. The parties to the arbitration have reached a settlement. In March 2021, the third party filed a petition with the court and the judicial freeze on the VIE’s equity interests had been released. In addition to the aforementioned arbitration, in October 2020, the VIE paid a guarantee deposit to a court in Guangzhou, China to lift the judicial freeze. For details, see “Item 7. Major Shareholders and Related Party Transactions—B. Related Party Transactions.” If any of the equity interests of the VIE is similarly claimed by a third party with whom the current contractual arrangements are not binding, we could lose our control over the VIE or have to maintain such control by incurring unpredicted costs, which could cause significant disruption to our business and operations and harm our financial condition and results of operations.</w:t>
      </w:r>
    </w:p>
    <w:p>
      <w:pPr>
        <w:spacing w:after="0" w:line="218" w:lineRule="exact"/>
        <w:rPr>
          <w:sz w:val="20"/>
          <w:szCs w:val="20"/>
          <w:color w:val="auto"/>
        </w:rPr>
      </w:pPr>
    </w:p>
    <w:p>
      <w:pPr>
        <w:ind w:left="1680" w:right="69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Contractual arrangements in relation to the VIE may be subject to scrutiny by the PRC tax authorities and they may determine that we or the VIE and its subsidiaries, owe additional taxes, which could negatively affect our financial condition and the value of your investment.</w:t>
      </w:r>
    </w:p>
    <w:p>
      <w:pPr>
        <w:spacing w:after="0" w:line="6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41</w:t>
      </w:r>
    </w:p>
    <w:p>
      <w:pPr>
        <w:sectPr>
          <w:pgSz w:w="11900" w:h="16838" w:orient="portrait"/>
          <w:cols w:equalWidth="0" w:num="1">
            <w:col w:w="10159"/>
          </w:cols>
          <w:pgMar w:left="300" w:top="388"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579" w:firstLine="317"/>
        <w:spacing w:after="0" w:line="253" w:lineRule="auto"/>
        <w:rPr>
          <w:sz w:val="20"/>
          <w:szCs w:val="20"/>
          <w:color w:val="auto"/>
        </w:rPr>
      </w:pPr>
      <w:r>
        <w:rPr>
          <w:rFonts w:ascii="Times New Roman" w:cs="Times New Roman" w:eastAsia="Times New Roman" w:hAnsi="Times New Roman"/>
          <w:sz w:val="13"/>
          <w:szCs w:val="13"/>
          <w:color w:val="auto"/>
        </w:rPr>
        <w:t>Under applicable PRC laws and regulations, arrangements and transactions among related parties may be subject to audit or challenge by the PRC tax authorities. The Enterprise Income Tax Law requires every enterprise in China to submit its annual enterprise income tax return together with a report on transactions with its related parties to the relevant tax authorities. The tax authorities may impose reasonable adjustments on taxation if they have identified any related party transactions that are inconsistent with arm’s length principles. We may face material and adverse tax consequences if the PRC tax authorities determine the contractual arrangements among EHang Intelligent, EHang GZ and shareholders of EHang GZ were not entered into on an arm’s length basis in such a way as to result in an impermissible reduction in taxes under applicable PRC laws, rules and regulations, and adjust the income of the VIE in the form of a transfer pricing adjustment. A transfer pricing adjustment could, among other things, result in a reduction of expense deductions recorded by the VIE for PRC tax purposes, which could increase our tax expenses. In addition, the PRC tax authorities may impose late payment fees and other penalties on the VIE for the adjusted but unpaid taxes according to the applicable regulations. Our financial position could be materially and adversely affected if the VIE’s tax liabilities increase or if it is required to pay late payment fees and other penalties.</w:t>
      </w:r>
    </w:p>
    <w:p>
      <w:pPr>
        <w:spacing w:after="0" w:line="210" w:lineRule="exact"/>
        <w:rPr>
          <w:sz w:val="20"/>
          <w:szCs w:val="20"/>
          <w:color w:val="auto"/>
        </w:rPr>
      </w:pPr>
    </w:p>
    <w:p>
      <w:pPr>
        <w:ind w:left="1680" w:right="69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We may lose the ability to use and enjoy assets held by the VIE that are material to the operation of certain portion of our business if the VIE goes bankrupt or becomes subject to a dissolution or liquidation proceeding.</w:t>
      </w:r>
    </w:p>
    <w:p>
      <w:pPr>
        <w:spacing w:after="0" w:line="38" w:lineRule="exact"/>
        <w:rPr>
          <w:sz w:val="20"/>
          <w:szCs w:val="20"/>
          <w:color w:val="auto"/>
        </w:rPr>
      </w:pPr>
    </w:p>
    <w:p>
      <w:pPr>
        <w:ind w:left="1680" w:right="539" w:firstLine="317"/>
        <w:spacing w:after="0" w:line="253" w:lineRule="auto"/>
        <w:rPr>
          <w:sz w:val="20"/>
          <w:szCs w:val="20"/>
          <w:color w:val="auto"/>
        </w:rPr>
      </w:pPr>
      <w:r>
        <w:rPr>
          <w:rFonts w:ascii="Times New Roman" w:cs="Times New Roman" w:eastAsia="Times New Roman" w:hAnsi="Times New Roman"/>
          <w:sz w:val="13"/>
          <w:szCs w:val="13"/>
          <w:color w:val="auto"/>
        </w:rPr>
        <w:t>As part of our contractual arrangements with the VIE, the VIE and its subsidiaries hold certain assets that are material to the operation of certain portion of our business, including permits, domain names and IP rights, operating licenses, intangible assets and fixed assets. If the VIE goes bankrupt and all or part of its assets become subject to liens or rights of third-party creditors, we may be unable to continue some or all of our business activities, which could materially and adversely affect our business, financial condition and results of operations. Under the contractual arrangements, the VIE may not, in any manner, sell, transfer, mortgage or dispose of its assets or legal or beneficial interests in the business without our prior consent. If our consolidated affiliated entity undergoes a voluntary or involuntary liquidation proceeding, the independent third-party creditors may claim rights to some or all of these assets, thereby hindering our ability to operate our business, which could materially and adversely affect our business, financial condition and results of operations.</w:t>
      </w:r>
    </w:p>
    <w:p>
      <w:pPr>
        <w:spacing w:after="0" w:line="21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Risks Relating to Doing Business in China</w:t>
      </w:r>
    </w:p>
    <w:p>
      <w:pPr>
        <w:spacing w:after="0" w:line="82" w:lineRule="exact"/>
        <w:rPr>
          <w:sz w:val="20"/>
          <w:szCs w:val="20"/>
          <w:color w:val="auto"/>
        </w:rPr>
      </w:pPr>
    </w:p>
    <w:p>
      <w:pPr>
        <w:ind w:left="1680" w:right="65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The PRC government’s significant oversight over our business operation could result in a material adverse change in our operations and the value of our ADSs.</w:t>
      </w:r>
    </w:p>
    <w:p>
      <w:pPr>
        <w:spacing w:after="0" w:line="38" w:lineRule="exact"/>
        <w:rPr>
          <w:sz w:val="20"/>
          <w:szCs w:val="20"/>
          <w:color w:val="auto"/>
        </w:rPr>
      </w:pPr>
    </w:p>
    <w:p>
      <w:pPr>
        <w:ind w:left="1680" w:right="599" w:firstLine="317"/>
        <w:spacing w:after="0" w:line="254" w:lineRule="auto"/>
        <w:rPr>
          <w:sz w:val="20"/>
          <w:szCs w:val="20"/>
          <w:color w:val="auto"/>
        </w:rPr>
      </w:pPr>
      <w:r>
        <w:rPr>
          <w:rFonts w:ascii="Times New Roman" w:cs="Times New Roman" w:eastAsia="Times New Roman" w:hAnsi="Times New Roman"/>
          <w:sz w:val="13"/>
          <w:szCs w:val="13"/>
          <w:color w:val="auto"/>
        </w:rPr>
        <w:t>We conduct our business in China primarily through our PRC subsidiaries and the VIE. Our operations in China are governed by PRC laws and regulations. The PRC government’s significant oversight over our business operation could result in a material adverse change in our operations and the value of our ADSs. The Chinese government may intervene or influence our operations at any time, or may exert more control over offerings conducted overseas and/or foreign investment in China-based issuers, which could result in a material change in our operations and/or the value of our ADSs. Any actions by the Chinese government to exert more oversight and control over offerings that are conducted overseas and/or foreign investment in China-based issuers could significantly limit or completely hinder our ability to offer or continue to offer securities to investors and cause the value of such securities to significantly decline or become worthless.</w:t>
      </w:r>
    </w:p>
    <w:p>
      <w:pPr>
        <w:spacing w:after="0" w:line="138" w:lineRule="exact"/>
        <w:rPr>
          <w:sz w:val="20"/>
          <w:szCs w:val="20"/>
          <w:color w:val="auto"/>
        </w:rPr>
      </w:pPr>
    </w:p>
    <w:p>
      <w:pPr>
        <w:ind w:left="1680" w:right="579" w:firstLine="317"/>
        <w:spacing w:after="0" w:line="252" w:lineRule="auto"/>
        <w:rPr>
          <w:sz w:val="20"/>
          <w:szCs w:val="20"/>
          <w:color w:val="auto"/>
        </w:rPr>
      </w:pPr>
      <w:r>
        <w:rPr>
          <w:rFonts w:ascii="Times New Roman" w:cs="Times New Roman" w:eastAsia="Times New Roman" w:hAnsi="Times New Roman"/>
          <w:sz w:val="13"/>
          <w:szCs w:val="13"/>
          <w:color w:val="auto"/>
        </w:rPr>
        <w:t>There are substantial uncertainties regarding the interpretation and application of PRC laws and regulations, including, but not limited to, the laws and regulations governing our and the VIE’s business, or the enforcement and performance of our contractual arrangements with the VIE. These laws and regulations may be subject to change, the enforcement of laws and regulations in China could be uncertain and the of rules and policies in China may change quickly with little advance notice, which could result in a material adverse change in our operations and the value of our ADSs. New laws and regulations that affect existing and proposed future businesses may also be applied retroactively. Due to the uncertainty and complexity of the regulatory environment, we cannot assure you that we and the VIE would always be in full compliance with applicable laws and regulations, the violation of which may have adverse effect on our and the VIE’s business and our reputation. Also, the PRC government has recently indicated an intent to exert more oversight over offerings that are conducted overseas and/or foreign investment in China-based issuers. Any such action could significantly limit or completely hinder our ability to offer or continue to offer securities to investors. In addition, implementation of industry-wide regulations directly targeting our operations could cause our securities to significantly decline in value or become worthless. Therefore, investors of our company face potential uncertainty from actions taken by the PRC government affecting our business.</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42</w:t>
      </w:r>
    </w:p>
    <w:p>
      <w:pPr>
        <w:sectPr>
          <w:pgSz w:w="11900" w:h="16838" w:orient="portrait"/>
          <w:cols w:equalWidth="0" w:num="1">
            <w:col w:w="10159"/>
          </w:cols>
          <w:pgMar w:left="300" w:top="388"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18" w:lineRule="exact"/>
        <w:rPr>
          <w:sz w:val="20"/>
          <w:szCs w:val="20"/>
          <w:color w:val="auto"/>
        </w:rPr>
      </w:pPr>
    </w:p>
    <w:p>
      <w:pPr>
        <w:ind w:left="1680" w:right="67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Changes in China’s economic, political or social conditions or government policies could have a material adverse effect on our business, financial condition and results of operations.</w:t>
      </w:r>
    </w:p>
    <w:p>
      <w:pPr>
        <w:spacing w:after="0" w:line="38" w:lineRule="exact"/>
        <w:rPr>
          <w:sz w:val="20"/>
          <w:szCs w:val="20"/>
          <w:color w:val="auto"/>
        </w:rPr>
      </w:pPr>
    </w:p>
    <w:p>
      <w:pPr>
        <w:ind w:left="1680" w:right="539" w:firstLine="317"/>
        <w:spacing w:after="0" w:line="253" w:lineRule="auto"/>
        <w:rPr>
          <w:sz w:val="20"/>
          <w:szCs w:val="20"/>
          <w:color w:val="auto"/>
        </w:rPr>
      </w:pPr>
      <w:r>
        <w:rPr>
          <w:rFonts w:ascii="Times New Roman" w:cs="Times New Roman" w:eastAsia="Times New Roman" w:hAnsi="Times New Roman"/>
          <w:sz w:val="13"/>
          <w:szCs w:val="13"/>
          <w:color w:val="auto"/>
        </w:rPr>
        <w:t>A substantial majority of our revenues are expected to be derived in China in the near future and most of our operations, including most of our manufacturing, are conducted in China. Accordingly, our business, prospects, financial condition and results of operations may be influenced to a significant degree by political, economic and social conditions in China generally and by continued economic growth in China as a whole. The Chinese economy differs from the economies of most developed countries in many respects, including the degree of government involvement, level of development, growth rate, control of foreign exchange and allocation of resources. Although the PRC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In addition, the Chinese government continues to play a significant role in regulating industry development by imposing industrial policies. The Chinese government also exercises significant control over China’s economic growth through strategically allocating resources, controlling the payment of foreign currency-denominated obligations, setting monetary policy and providing preferential treatment to particular industries or companies.</w:t>
      </w:r>
    </w:p>
    <w:p>
      <w:pPr>
        <w:spacing w:after="0" w:line="136" w:lineRule="exact"/>
        <w:rPr>
          <w:sz w:val="20"/>
          <w:szCs w:val="20"/>
          <w:color w:val="auto"/>
        </w:rPr>
      </w:pPr>
    </w:p>
    <w:p>
      <w:pPr>
        <w:ind w:left="1680" w:right="619" w:firstLine="317"/>
        <w:spacing w:after="0" w:line="257" w:lineRule="auto"/>
        <w:rPr>
          <w:sz w:val="20"/>
          <w:szCs w:val="20"/>
          <w:color w:val="auto"/>
        </w:rPr>
      </w:pPr>
      <w:r>
        <w:rPr>
          <w:rFonts w:ascii="Times New Roman" w:cs="Times New Roman" w:eastAsia="Times New Roman" w:hAnsi="Times New Roman"/>
          <w:sz w:val="13"/>
          <w:szCs w:val="13"/>
          <w:color w:val="auto"/>
        </w:rPr>
        <w:t>While the Chinese economy has experienced significant growth over the past decades, growth has been uneven, both geographically and among various sectors of the economy, and the rate of growth has been slowing since 2012. Any adverse changes in economic conditions in China, in the policies of the Chinese government or in the laws and regulations in China could have a material adverse effect on the overall economic growth of China. As a result, changes in economic conditions and government policies could adversely affect our business and operating results, lead to reduction in demand for our services and adversely affect our competitive position.</w:t>
      </w:r>
    </w:p>
    <w:p>
      <w:pPr>
        <w:spacing w:after="0" w:line="20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Uncertainties in the interpretation and enforcement of PRC laws and regulations could limit the legal protections available to you and us.</w:t>
      </w:r>
    </w:p>
    <w:p>
      <w:pPr>
        <w:spacing w:after="0" w:line="88" w:lineRule="exact"/>
        <w:rPr>
          <w:sz w:val="20"/>
          <w:szCs w:val="20"/>
          <w:color w:val="auto"/>
        </w:rPr>
      </w:pPr>
    </w:p>
    <w:p>
      <w:pPr>
        <w:ind w:left="1680" w:right="719" w:firstLine="317"/>
        <w:spacing w:after="0" w:line="257" w:lineRule="auto"/>
        <w:rPr>
          <w:sz w:val="20"/>
          <w:szCs w:val="20"/>
          <w:color w:val="auto"/>
        </w:rPr>
      </w:pPr>
      <w:r>
        <w:rPr>
          <w:rFonts w:ascii="Times New Roman" w:cs="Times New Roman" w:eastAsia="Times New Roman" w:hAnsi="Times New Roman"/>
          <w:sz w:val="13"/>
          <w:szCs w:val="13"/>
          <w:color w:val="auto"/>
        </w:rPr>
        <w:t>The PRC legal system is a civil law system based on written statutes. Unlike the common law system, prior court decisions may be cited for reference but have limited precedential value in China. Our PRC legal system is evolving rapidly, but its current slate of laws may not be sufficient to cover all aspects of the economic activities in China, including such activities that relate to or have an impact on our business. Implementation and interpretations of laws, regulations and rules are not always undertaken in a uniform matter and enforcement of these laws, regulations and rules involves uncertainties.</w:t>
      </w:r>
    </w:p>
    <w:p>
      <w:pPr>
        <w:spacing w:after="0" w:line="133" w:lineRule="exact"/>
        <w:rPr>
          <w:sz w:val="20"/>
          <w:szCs w:val="20"/>
          <w:color w:val="auto"/>
        </w:rPr>
      </w:pPr>
    </w:p>
    <w:p>
      <w:pPr>
        <w:ind w:left="1680" w:right="579" w:firstLine="317"/>
        <w:spacing w:after="0" w:line="253" w:lineRule="auto"/>
        <w:rPr>
          <w:sz w:val="20"/>
          <w:szCs w:val="20"/>
          <w:color w:val="auto"/>
        </w:rPr>
      </w:pPr>
      <w:r>
        <w:rPr>
          <w:rFonts w:ascii="Times New Roman" w:cs="Times New Roman" w:eastAsia="Times New Roman" w:hAnsi="Times New Roman"/>
          <w:sz w:val="13"/>
          <w:szCs w:val="13"/>
          <w:color w:val="auto"/>
        </w:rPr>
        <w:t>From time to time, we, the VIE or its subsidiaries may have to resort to administrative and court proceedings to enforce our legal rights. However, since PRC administrative and court authorities have significant discretion in interpreting and implementing statutory and contractual terms, it may be more difficult to evaluate the outcome of administrative and court proceedings and the level of protection we, the VIE or its subsidiaries enjoy than in more developed legal systems. Furthermore, the PRC legal system is based in part on government policies and internal rules (some of which are not published in a timely manner or at all) that may have a retroactive effect. As a result, we, the VIE or its subsidiaries may not always be aware of any potential violation of these policies and rules until sometime after the violation. Such uncertainties, including unpredictability towards the scope and effect of our, the VIE or its subsidiaries’ contractual, property (including intellectual property) and procedural rights, and any failure to respond to changes in the regulatory environment in China could materially and adversely affect our business and impede our ability to continue our operations.</w:t>
      </w:r>
    </w:p>
    <w:p>
      <w:pPr>
        <w:spacing w:after="0" w:line="21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We may be adversely affected by the complexities, uncertainties and changes in PRC regulations on technology companies.</w:t>
      </w:r>
    </w:p>
    <w:p>
      <w:pPr>
        <w:spacing w:after="0" w:line="88" w:lineRule="exact"/>
        <w:rPr>
          <w:sz w:val="20"/>
          <w:szCs w:val="20"/>
          <w:color w:val="auto"/>
        </w:rPr>
      </w:pPr>
    </w:p>
    <w:p>
      <w:pPr>
        <w:ind w:left="1680" w:right="579" w:firstLine="317"/>
        <w:spacing w:after="0" w:line="264" w:lineRule="auto"/>
        <w:rPr>
          <w:sz w:val="20"/>
          <w:szCs w:val="20"/>
          <w:color w:val="auto"/>
        </w:rPr>
      </w:pPr>
      <w:r>
        <w:rPr>
          <w:rFonts w:ascii="Times New Roman" w:cs="Times New Roman" w:eastAsia="Times New Roman" w:hAnsi="Times New Roman"/>
          <w:sz w:val="13"/>
          <w:szCs w:val="13"/>
          <w:color w:val="auto"/>
        </w:rPr>
        <w:t>The PRC government imposes licensing and permit requirements for companies in the technology industry. These laws, regulations and even such announcements are relatively new and evolving, and their interpretation and enforcement involve significant uncertainties. As a result, in certain circumstances it may be difficult to determine what actions or omissions may be deemed to be in violation of applicable laws and regulations.</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43</w:t>
      </w:r>
    </w:p>
    <w:p>
      <w:pPr>
        <w:sectPr>
          <w:pgSz w:w="11900" w:h="16838" w:orient="portrait"/>
          <w:cols w:equalWidth="0" w:num="1">
            <w:col w:w="10159"/>
          </w:cols>
          <w:pgMar w:left="300" w:top="388"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599" w:firstLine="317"/>
        <w:spacing w:after="0" w:line="254" w:lineRule="auto"/>
        <w:rPr>
          <w:sz w:val="20"/>
          <w:szCs w:val="20"/>
          <w:color w:val="auto"/>
        </w:rPr>
      </w:pPr>
      <w:r>
        <w:rPr>
          <w:rFonts w:ascii="Times New Roman" w:cs="Times New Roman" w:eastAsia="Times New Roman" w:hAnsi="Times New Roman"/>
          <w:sz w:val="13"/>
          <w:szCs w:val="13"/>
          <w:color w:val="auto"/>
        </w:rPr>
        <w:t>In addition, our mobile application, EHang Pro is regulated by the Administrative Provisions on Mobile Internet Applications Information Services, or the App Provisions, promulgated by the Cyberspace Administration of China, or the CAC, effective on August 1, 2016. According to the App Provisions, the providers of mobile applications shall not create, copy, publish or distribute information and content that is prohibited by laws and regulations. However, we cannot assure that all the information or content displayed on, retrieved from or linked to our mobile applications complies with the requirements of the App Provisions at all times. If our mobile applications were found to be violating the App Provisions, we may be subject to administrative penalties, including warnings, service suspensions or removal of our mobile applications from relevant mobile application stores, which may materially and adversely affect our business and operating results.</w:t>
      </w:r>
    </w:p>
    <w:p>
      <w:pPr>
        <w:spacing w:after="0" w:line="138" w:lineRule="exact"/>
        <w:rPr>
          <w:sz w:val="20"/>
          <w:szCs w:val="20"/>
          <w:color w:val="auto"/>
        </w:rPr>
      </w:pPr>
    </w:p>
    <w:p>
      <w:pPr>
        <w:ind w:left="1680" w:right="579" w:firstLine="317"/>
        <w:spacing w:after="0" w:line="257" w:lineRule="auto"/>
        <w:rPr>
          <w:sz w:val="20"/>
          <w:szCs w:val="20"/>
          <w:color w:val="auto"/>
        </w:rPr>
      </w:pPr>
      <w:r>
        <w:rPr>
          <w:rFonts w:ascii="Times New Roman" w:cs="Times New Roman" w:eastAsia="Times New Roman" w:hAnsi="Times New Roman"/>
          <w:sz w:val="13"/>
          <w:szCs w:val="13"/>
          <w:color w:val="auto"/>
        </w:rPr>
        <w:t>The interpretation and application of existing PRC laws, regulations and policies and possible new laws, regulations or policies relating to the technology industry, particularly the policies relating to new energy vehicles, have created substantial uncertainties regarding the legality of existing and future foreign investments in, and the businesses and activities of, internet businesses in China, including our business. We cannot assure you that we have obtained all the permits or licenses required for conducting our business in China or will be able to maintain or renew our existing licenses or obtain new ones.</w:t>
      </w:r>
    </w:p>
    <w:p>
      <w:pPr>
        <w:spacing w:after="0" w:line="207" w:lineRule="exact"/>
        <w:rPr>
          <w:sz w:val="20"/>
          <w:szCs w:val="20"/>
          <w:color w:val="auto"/>
        </w:rPr>
      </w:pPr>
    </w:p>
    <w:p>
      <w:pPr>
        <w:ind w:left="1680" w:right="69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Uncertainties exist with respect to the interpretation and implementation of the PRC Foreign Investment Law and its Implementation Regulations and how they may impact the viability of our current corporate structure, corporate governance and business operations.</w:t>
      </w:r>
    </w:p>
    <w:p>
      <w:pPr>
        <w:spacing w:after="0" w:line="38" w:lineRule="exact"/>
        <w:rPr>
          <w:sz w:val="20"/>
          <w:szCs w:val="20"/>
          <w:color w:val="auto"/>
        </w:rPr>
      </w:pPr>
    </w:p>
    <w:p>
      <w:pPr>
        <w:ind w:left="1680" w:right="559" w:firstLine="317"/>
        <w:spacing w:after="0" w:line="251" w:lineRule="auto"/>
        <w:rPr>
          <w:sz w:val="20"/>
          <w:szCs w:val="20"/>
          <w:color w:val="auto"/>
        </w:rPr>
      </w:pPr>
      <w:r>
        <w:rPr>
          <w:rFonts w:ascii="Times New Roman" w:cs="Times New Roman" w:eastAsia="Times New Roman" w:hAnsi="Times New Roman"/>
          <w:sz w:val="13"/>
          <w:szCs w:val="13"/>
          <w:color w:val="auto"/>
        </w:rPr>
        <w:t>The National People’s Congress approved the PRC Foreign Investment Law, or the Foreign Investment Law, on March 15, 2019 and the State Council approved the Regulation on Implementing the Foreign Investment Law, or the Implementation Regulations on December 12, 2019, effective from January 1, 2020, to replace prior laws regulating foreign investment in China, namely, the Sino-foreign Equity Joint Venture Enterprise Law, the Sino-foreign Cooperative Joint Venture Enterprise Law and the Wholly Foreign-invested Enterprise Law, together with their implementation rules and ancillary regulations. The Foreign Investment Law embodies an expected PRC regulatory trend to rationalize its foreign investment regulatory regime in line with prevailing international practice and the legislative efforts to unify the corporate legal requirements for both foreign and domestic investments. However, since the Foreign Investment Law and the Implementation Regulations are relatively new, uncertainties still exist in relation to its interpretation and implementation. For instance, under the Foreign Investment Law, “foreign investment” refers to the investment activities directly or indirectly conducted by foreign individuals, enterprises or other entities in China. Though it does not explicitly classify contractual arrangements as a form of foreign investment, there is no assurance that foreign investment via contractual arrangement would not be interpreted as a type of indirect foreign investment activities under the definition in the future. In addition, the definition contains a catch-all provision which includes investments made by foreign investors through means stipulated in laws or administrative regulations or other methods prescribed by the State Council. Therefore, it still leaves leeway for future laws, administrative regulations or provisions promulgated by the State Council to provide for contractual arrangements as a form of foreign investment. In any of these cases, it will be uncertain whether our contractual arrangements will be deemed to be in violation of the market access requirements for foreign investment under the PRC laws and regulations. Furthermore, if future laws, administrative regulations or provisions prescribed by the State Council mandate further actions to be taken by companies with respect to existing contractual arrangements, we may face substantial uncertainties as to whether we can complete such actions in a timely manner, or at all. Failure to take timely and appropriate measures to cope with any of these or similar regulatory compliance challenges could materially and adversely affect our current corporate structure, corporate governance and business operations.</w:t>
      </w:r>
    </w:p>
    <w:p>
      <w:pPr>
        <w:spacing w:after="0" w:line="142" w:lineRule="exact"/>
        <w:rPr>
          <w:sz w:val="20"/>
          <w:szCs w:val="20"/>
          <w:color w:val="auto"/>
        </w:rPr>
      </w:pPr>
    </w:p>
    <w:p>
      <w:pPr>
        <w:ind w:left="1680" w:right="639" w:firstLine="317"/>
        <w:spacing w:after="0" w:line="278" w:lineRule="auto"/>
        <w:rPr>
          <w:sz w:val="20"/>
          <w:szCs w:val="20"/>
          <w:color w:val="auto"/>
        </w:rPr>
      </w:pPr>
      <w:r>
        <w:rPr>
          <w:rFonts w:ascii="Times New Roman" w:cs="Times New Roman" w:eastAsia="Times New Roman" w:hAnsi="Times New Roman"/>
          <w:sz w:val="13"/>
          <w:szCs w:val="13"/>
          <w:color w:val="auto"/>
        </w:rPr>
        <w:t>The approval, filing or other requirements of the China Securities Regulatory Commission or other PRC government authorities may be required under PRC law in connection with our future issuance of securities overseas.</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44</w:t>
      </w:r>
    </w:p>
    <w:p>
      <w:pPr>
        <w:sectPr>
          <w:pgSz w:w="11900" w:h="16838" w:orient="portrait"/>
          <w:cols w:equalWidth="0" w:num="1">
            <w:col w:w="10159"/>
          </w:cols>
          <w:pgMar w:left="300" w:top="388"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559" w:firstLine="317"/>
        <w:spacing w:after="0" w:line="255" w:lineRule="auto"/>
        <w:rPr>
          <w:sz w:val="20"/>
          <w:szCs w:val="20"/>
          <w:color w:val="auto"/>
        </w:rPr>
      </w:pPr>
      <w:r>
        <w:rPr>
          <w:rFonts w:ascii="Times New Roman" w:cs="Times New Roman" w:eastAsia="Times New Roman" w:hAnsi="Times New Roman"/>
          <w:sz w:val="13"/>
          <w:szCs w:val="13"/>
          <w:color w:val="auto"/>
        </w:rPr>
        <w:t>The Regulations on Mergers and Acquisitions of Domestic Enterprises by Foreign Investors, or the M&amp;A Rules, purport to require offshore special purpose vehicles that are controlled by PRC companies or individuals and that have been formed for the purpose of seeking a public listing on an overseas stock exchange through acquisitions of PRC domestic companies or assets to obtain approval from the CSRC prior to publicly listing their securities on an overseas stock exchange. The interpretation and application of the regulations remain unclear. If CSRC’s approval under the M&amp;A Rules is required, it is uncertain whether it would be possible for us to obtain the approval, and any failure to obtain or delay in obtaining CSRC approval for our future issuance of securities overseas would subject us to sanctions imposed by the CSRC and other PRC regulatory agencies.</w:t>
      </w:r>
    </w:p>
    <w:p>
      <w:pPr>
        <w:spacing w:after="0" w:line="136" w:lineRule="exact"/>
        <w:rPr>
          <w:sz w:val="20"/>
          <w:szCs w:val="20"/>
          <w:color w:val="auto"/>
        </w:rPr>
      </w:pPr>
    </w:p>
    <w:p>
      <w:pPr>
        <w:ind w:left="1680" w:right="539" w:firstLine="317"/>
        <w:spacing w:after="0" w:line="251" w:lineRule="auto"/>
        <w:rPr>
          <w:sz w:val="20"/>
          <w:szCs w:val="20"/>
          <w:color w:val="auto"/>
        </w:rPr>
      </w:pPr>
      <w:r>
        <w:rPr>
          <w:rFonts w:ascii="Times New Roman" w:cs="Times New Roman" w:eastAsia="Times New Roman" w:hAnsi="Times New Roman"/>
          <w:sz w:val="13"/>
          <w:szCs w:val="13"/>
          <w:color w:val="auto"/>
        </w:rPr>
        <w:t>Furthermore, the recently issued Opinions on Strictly Cracking Down on Illegal Securities Activities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China-based overseas-listed companies, although such opinions did not specify the definition of “illegal securities activities.” On December 24, 2021, the CSRC published the draft Administrative Provisions of the State Council on the Overseas Issuance and Listing of Securities by Domestic Companies (Draft for Comments), or the Draft Overseas Listing Regulations, and the draft Measures for the Overseas Issuance and Listing of Securities Record-filings by Domestic Companies (Draft for Comments), or the Draft Overseas Listing Measures, for public comments. These drafts stipulate that PRC domestic companies that seek to offer and list securities in overseas markets directly or indirectly shall complete the filing procedures with and report relevant information to the CSRC. Pursuant to these drafts, if the issuer meets the following conditions, its offering and listing will be deemed as an “indirect overseas offering and listing by a PRC domestic company” and is therefore subject to the filing requirement: (i) the revenues, profits, total assets or net assets of the Chinese operating entities in the most recent financial year accounts for more than 50% of the corresponding data in the issuer’s audited consolidated financial statements for the same period; (ii) the majority of senior management in charge of business operation are Chinese citizens or have domicile in PRC, and its principal place of business is located in PRC or main business activities are conducted in PRC. In addition, these drafts prescribe that the domestic enterprises should submit filing documents to the CSRC within three business days after the submission of the application for overseas initial public offering, and after completing the filing procedures for an overseas initial public offering and listing, for the purposes of implementing and strengthening the CSRC’s supervision, the issuer will need to comply with continuous filing and reporting requirements after such offering and listing, among others, including the following: (i) reporting material events which arose prior to such offering and listing, (ii) filing for follow-on offerings after the initial offering and listing, (iii) filing for transactions in which the issuer issues securities for acquiring assets, and (iv) reporting material events after the initial offering and listing. However, the Draft Overseas Listing Regulations and the Draft Overseas Listing Measures were released for public comment only, there remains substantial uncertainty, including but not limited to its final content, adoption timeline, effective date or relevant implementation rules. As of the date of this annual report, we cannot predict the impact of these regulations on maintain the listing status of our ADSs and/or other securities, or any of our future offerings of securities overseas in a foreign country.</w:t>
      </w:r>
    </w:p>
    <w:p>
      <w:pPr>
        <w:spacing w:after="0" w:line="140" w:lineRule="exact"/>
        <w:rPr>
          <w:sz w:val="20"/>
          <w:szCs w:val="20"/>
          <w:color w:val="auto"/>
        </w:rPr>
      </w:pPr>
    </w:p>
    <w:p>
      <w:pPr>
        <w:ind w:left="1680" w:right="559" w:firstLine="317"/>
        <w:spacing w:after="0" w:line="278" w:lineRule="auto"/>
        <w:rPr>
          <w:sz w:val="20"/>
          <w:szCs w:val="20"/>
          <w:color w:val="auto"/>
        </w:rPr>
      </w:pPr>
      <w:r>
        <w:rPr>
          <w:rFonts w:ascii="Times New Roman" w:cs="Times New Roman" w:eastAsia="Times New Roman" w:hAnsi="Times New Roman"/>
          <w:sz w:val="12"/>
          <w:szCs w:val="12"/>
          <w:color w:val="auto"/>
        </w:rPr>
        <w:t>On December 27, 2021, the NDRC and the MOFCOM, jointly issued the Special Administrative Measures for Entry of Foreign Investment (Negative List) (2021 Version), or the Negative List, which became effective and replaced the previous version on January 1, 2022. Pursuant to Article 6 of the Negative List, if a PRC company, which engages in any business where foreign investment is prohibited under the Negative List, or prohibited businesses, seeks an overseas offering or listing, it must obtain the approval from competent governmental authorities. Additionally, foreign investors in such PRC company must not take part in the company’s operation or management, and their shareholding ratio should be subject to regulations relating to the management of PRC securities investments by foreign investors. According to a set of Q&amp;A published on the NDRC’s official website, a NDRC official indicated that after a PRC company submits its application for overseas listing to the CSRC and where matters relating to prohibited businesses under the Negative List are implicated, the CSRC will consult the regulatory authorities having jurisdiction over the relevant industries and fields.</w:t>
      </w:r>
    </w:p>
    <w:p>
      <w:pPr>
        <w:spacing w:after="0" w:line="122" w:lineRule="exact"/>
        <w:rPr>
          <w:sz w:val="20"/>
          <w:szCs w:val="20"/>
          <w:color w:val="auto"/>
        </w:rPr>
      </w:pPr>
    </w:p>
    <w:p>
      <w:pPr>
        <w:ind w:left="1680" w:right="559" w:firstLine="317"/>
        <w:spacing w:after="0" w:line="253" w:lineRule="auto"/>
        <w:rPr>
          <w:sz w:val="20"/>
          <w:szCs w:val="20"/>
          <w:color w:val="auto"/>
        </w:rPr>
      </w:pPr>
      <w:r>
        <w:rPr>
          <w:rFonts w:ascii="Times New Roman" w:cs="Times New Roman" w:eastAsia="Times New Roman" w:hAnsi="Times New Roman"/>
          <w:sz w:val="13"/>
          <w:szCs w:val="13"/>
          <w:color w:val="auto"/>
        </w:rPr>
        <w:t>If the CSRC or other relevant PRC regulatory agencies subsequently determine that prior approval is required for any of our future offerings of securities overseas or to maintain the listing status of our ADSs, we cannot guarantee that we will be able to obtain such approval in a timely manner, or at all. The CSRC or other PRC regulatory agencies also may take actions requiring us, or making it advisable for us, not to proceed with such offering or maintain the listing status of our ADSs. If we proceed with any of such offering or maintain the listing status of our ADSs without obtaining these regulatory agencies’ approval to the extent it is required, or if we are unable to comply with any new approval requirements which might be adopted for offerings that we have completed prior to the publication of the above-referenced opinions, we may face regulatory actions or other sanctions from these regulatory agencies. These regulatory agencies may impose fines and penalties on our operations in China, limit our ability to pay dividends outside of China, limit our operating privileges in China, delay or restrict the repatriation of the proceeds from offering of securities overseas into China or take other actions that could have a material adverse effect on our business, financial condition, results of operations and prospects, as well as the trading price of the ADSs.</w:t>
      </w:r>
    </w:p>
    <w:p>
      <w:pPr>
        <w:spacing w:after="0" w:line="26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45</w:t>
      </w:r>
    </w:p>
    <w:p>
      <w:pPr>
        <w:sectPr>
          <w:pgSz w:w="11900" w:h="16838" w:orient="portrait"/>
          <w:cols w:equalWidth="0" w:num="1">
            <w:col w:w="10159"/>
          </w:cols>
          <w:pgMar w:left="300" w:top="388"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539" w:firstLine="317"/>
        <w:spacing w:after="0" w:line="255" w:lineRule="auto"/>
        <w:rPr>
          <w:sz w:val="20"/>
          <w:szCs w:val="20"/>
          <w:color w:val="auto"/>
        </w:rPr>
      </w:pPr>
      <w:r>
        <w:rPr>
          <w:rFonts w:ascii="Times New Roman" w:cs="Times New Roman" w:eastAsia="Times New Roman" w:hAnsi="Times New Roman"/>
          <w:sz w:val="13"/>
          <w:szCs w:val="13"/>
          <w:color w:val="auto"/>
        </w:rPr>
        <w:t>Furthermore, if there are any other approvals, filings and/or other administration procedures to be obtained from or completed with the CSRC or other PRC regulatory agencies as required by any new laws and regulations for any of our future proposed offering of securities overseas or the listing of the ADSs, we cannot assure you that we can obtain the required approval or complete the required filings or other regulatory procedures in a timely manner, or at all. Any failure to obtain the relevant approvals or complete the filings and other relevant regulatory procedures may subject us to regulatory actions or other sanctions from the CSRC or other PRC regulatory agencies, which may have a material adverse effect on our business, financial condition or results of operations.</w:t>
      </w:r>
    </w:p>
    <w:p>
      <w:pPr>
        <w:spacing w:after="0" w:line="210" w:lineRule="exact"/>
        <w:rPr>
          <w:sz w:val="20"/>
          <w:szCs w:val="20"/>
          <w:color w:val="auto"/>
        </w:rPr>
      </w:pPr>
    </w:p>
    <w:p>
      <w:pPr>
        <w:ind w:left="1680" w:right="639"/>
        <w:spacing w:after="0" w:line="253" w:lineRule="auto"/>
        <w:rPr>
          <w:sz w:val="20"/>
          <w:szCs w:val="20"/>
          <w:color w:val="auto"/>
        </w:rPr>
      </w:pPr>
      <w:r>
        <w:rPr>
          <w:rFonts w:ascii="Times New Roman" w:cs="Times New Roman" w:eastAsia="Times New Roman" w:hAnsi="Times New Roman"/>
          <w:sz w:val="13"/>
          <w:szCs w:val="13"/>
          <w:b w:val="1"/>
          <w:bCs w:val="1"/>
          <w:i w:val="1"/>
          <w:iCs w:val="1"/>
          <w:color w:val="auto"/>
        </w:rPr>
        <w:t>Our ADSs will be delisted and our ADSs and shares may be prohibited from trading in the over-the-counter market under the Holding Foreign Companies Accountable Act, or the HFCA Act, if the PCAOB is unable to inspect or fully investigate auditors located in China. On December 16, 2021, PCAOB issued the HFCA Act Determination Report, according to which our auditor is subject to the determinations that the PCAOB is unable to inspect or investigate completely. Under the current law, delisting and prohibition from over-the-counter trading in the U.S. could take place in 2024. If this happens there is no certainty that we will be able to list our ADS or shares on a non-U.S. exchange or that a market for our shares will develop outside of the U.S. The delisting of our ADSs, or the threat of their being delisted, may materially and adversely affect the value of your investment. In addition, the potential enactment of the Accelerating Holding Foreign Companies Accountable Act would decrease the number of non-inspection years from three years to two, thus reducing the time period before our ADSs may be prohibited from over-the-counter trading or delisted. If this bill were enacted, our ADS could be delisted from the exchange and prohibited from over-the-counter trading in the U.S. in 2023.</w:t>
      </w:r>
    </w:p>
    <w:p>
      <w:pPr>
        <w:spacing w:after="0" w:line="62" w:lineRule="exact"/>
        <w:rPr>
          <w:sz w:val="20"/>
          <w:szCs w:val="20"/>
          <w:color w:val="auto"/>
        </w:rPr>
      </w:pPr>
    </w:p>
    <w:p>
      <w:pPr>
        <w:ind w:left="1680" w:right="639" w:firstLine="317"/>
        <w:spacing w:after="0" w:line="255" w:lineRule="auto"/>
        <w:rPr>
          <w:sz w:val="20"/>
          <w:szCs w:val="20"/>
          <w:color w:val="auto"/>
        </w:rPr>
      </w:pPr>
      <w:r>
        <w:rPr>
          <w:rFonts w:ascii="Times New Roman" w:cs="Times New Roman" w:eastAsia="Times New Roman" w:hAnsi="Times New Roman"/>
          <w:sz w:val="13"/>
          <w:szCs w:val="13"/>
          <w:color w:val="auto"/>
        </w:rPr>
        <w:t>As part of a continued regulatory focus in the United States on access to audit and other information currently protected by national law, in particular China’s, in June 2019, a bipartisan group of lawmakers introduced bills in both houses of the U.S. Congress, which, if passed, would require the SEC to maintain a list of issuers for which PCAOB is not able to inspect or investigate an auditor report issued by a foreign public accounting firm. The proposed Ensuring Quality Information and Transparency for Abroad-Based Listings on our Exchanges (EQUITABLE) Act prescribes increased disclosure requirements for these issuers and, beginning in 2025, the delisting from U.S. national securities exchanges such as the Nasdaq Global Market of issuers included on the SEC’s list for three consecutive years.</w:t>
      </w:r>
    </w:p>
    <w:p>
      <w:pPr>
        <w:spacing w:after="0" w:line="136" w:lineRule="exact"/>
        <w:rPr>
          <w:sz w:val="20"/>
          <w:szCs w:val="20"/>
          <w:color w:val="auto"/>
        </w:rPr>
      </w:pPr>
    </w:p>
    <w:p>
      <w:pPr>
        <w:ind w:left="1680" w:right="539" w:firstLine="317"/>
        <w:spacing w:after="0" w:line="274" w:lineRule="auto"/>
        <w:rPr>
          <w:sz w:val="20"/>
          <w:szCs w:val="20"/>
          <w:color w:val="auto"/>
        </w:rPr>
      </w:pPr>
      <w:r>
        <w:rPr>
          <w:rFonts w:ascii="Times New Roman" w:cs="Times New Roman" w:eastAsia="Times New Roman" w:hAnsi="Times New Roman"/>
          <w:sz w:val="12"/>
          <w:szCs w:val="12"/>
          <w:color w:val="auto"/>
        </w:rPr>
        <w:t>On June 4, 2020, the U.S. President issued a memorandum ordering the President’s Working Group on Financial Markets, or the PWG, to submit a report to the President within 60 days of the memorandum that includes recommendations for actions that can be taken by the executive branch and by the SEC or PCAOB on Chinese companies listed on U.S. stock exchanges and their audit firms, in an effort to protect investors in the U.S. On August 6, 2020, the PWG released a report recommending that the SEC take steps to implement the five recommendations outlined in the report. In particular, to address companies from Non-Cooperating Jurisdiction, namely jurisdictions that do not provide the PCAOB with sufficient access to fulfill its statutory mandate, or NCJs, the PWG recommends enhanced listing standards on U.S. stock exchanges. This would require, as a condition to initial and continued exchange listing, PCAOB access to work papers of the principal audit firm for the audit of the listed company. Companies unable to satisfy this standard as a result of governmental restrictions on access to audit work papers and practices in NCJs may satisfy this standard by providing a co-audit from an audit firm with comparable resources and experience where the PCAOB determines it has sufficient access to audit work papers and practices to conduct an appropriate inspection of the co-audit firm. The report permits the new listing standards to provide for a transition period until January 1, 2022 for listed companies, but would apply immediately to new listings once the necessary rulemakings and/or standard-setting are effective. If we fail to meet the new listing standards before the deadline specified thereunder due to factors beyond our control, we could face possible de-listing from the Nasdaq Global Market, deregistration from the SEC and/or other risks, which may materially and adversely affect the market price and liquidity of the ADSs, or effectively terminate, the ADS trading in the United States. There were recent media reports about the SEC’s proposed rulemaking in this regard. It is uncertain whether the PWG recommendations will be adopted, in whole or in part, and the impact of any new rule on us cannot be estimated at this time.</w:t>
      </w:r>
    </w:p>
    <w:p>
      <w:pPr>
        <w:spacing w:after="0" w:line="127" w:lineRule="exact"/>
        <w:rPr>
          <w:sz w:val="20"/>
          <w:szCs w:val="20"/>
          <w:color w:val="auto"/>
        </w:rPr>
      </w:pPr>
    </w:p>
    <w:p>
      <w:pPr>
        <w:ind w:left="1680" w:right="579" w:firstLine="317"/>
        <w:spacing w:after="0" w:line="255" w:lineRule="auto"/>
        <w:rPr>
          <w:sz w:val="20"/>
          <w:szCs w:val="20"/>
          <w:color w:val="auto"/>
        </w:rPr>
      </w:pPr>
      <w:r>
        <w:rPr>
          <w:rFonts w:ascii="Times New Roman" w:cs="Times New Roman" w:eastAsia="Times New Roman" w:hAnsi="Times New Roman"/>
          <w:sz w:val="13"/>
          <w:szCs w:val="13"/>
          <w:color w:val="auto"/>
        </w:rPr>
        <w:t>Enactment of any of such legislations or other efforts to increase U.S. regulatory access to audit information could cause investor uncertainty for affected issuers, including us, the market price of our ADSs could be adversely affected, and we could be delisted if we are unable to cure the situation to meet the PCAOB inspection requirement in time. It is unclear if and when any of such proposed legislations will be enacted. Furthermore, there have been recent media reports on deliberations within the U.S. government regarding potentially limiting or restricting China-based companies from accessing U.S. capital markets. If any such deliberations were to materialize, the resulting legislation may have material and adverse impact on the stock performance of China-based issuers listed in the United States.</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46</w:t>
      </w:r>
    </w:p>
    <w:p>
      <w:pPr>
        <w:sectPr>
          <w:pgSz w:w="11900" w:h="16838" w:orient="portrait"/>
          <w:cols w:equalWidth="0" w:num="1">
            <w:col w:w="10159"/>
          </w:cols>
          <w:pgMar w:left="300" w:top="388"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599" w:firstLine="317"/>
        <w:spacing w:after="0" w:line="252" w:lineRule="auto"/>
        <w:rPr>
          <w:sz w:val="20"/>
          <w:szCs w:val="20"/>
          <w:color w:val="auto"/>
        </w:rPr>
      </w:pPr>
      <w:r>
        <w:rPr>
          <w:rFonts w:ascii="Times New Roman" w:cs="Times New Roman" w:eastAsia="Times New Roman" w:hAnsi="Times New Roman"/>
          <w:sz w:val="13"/>
          <w:szCs w:val="13"/>
          <w:color w:val="auto"/>
        </w:rPr>
        <w:t>On December 18, 2020, the Holding Foreign Companies Accountable Act, or the HFCA Act, has been signed into law. The HFCA Act states if the SEC determines that we have filed audit reports issued by a registered public accounting firm that has not been subject to inspection for the PCAOB for three consecutive years beginning in 2021, the SEC shall prohibit our shares or ADS from being traded on a national securities exchange or in the “over-the-counter” trading market in the U.S. Accordingly, under the current law this could happen in 2024. On March 24, 2021, the SEC announced that it adopted interim final amendments to implement congressionally mandated submission and disclosure requirements of the HFCA Act. Under the new requirements, certain companies must establish that they are not owned or controlled by a foreign government entity and disclose any foreign government influence. These interim final amendments will apply to registrants that (i) the SEC identifies as having filed an annual report on Forms 10-K, 20-F, 40-F, or N-CSR with an audit report issued by a registered public accounting firm that is located in a foreign jurisdiction where (ii) the PCAOB has determined that it is unable to inspect or investigate completely because of a position taken by an authority in that foreign jurisdiction. The interim final amendments define such registrants as “Commission-Identified Issuers” (CIIs). The interim final amendments will also apply to “Commission-Identified Foreign Issuers” (CIFIs), a subset of CIIs who are foreign issuers (as defined under the Exchange Act). CIFIs are subject to additional disclosure requirements under the HFCA Act. The SEC will implement a process to identify which registrants and is assessing how to implement other requirements of the HFCA Act, including the listing and trading prohibition requirements described above.</w:t>
      </w:r>
    </w:p>
    <w:p>
      <w:pPr>
        <w:spacing w:after="0" w:line="138" w:lineRule="exact"/>
        <w:rPr>
          <w:sz w:val="20"/>
          <w:szCs w:val="20"/>
          <w:color w:val="auto"/>
        </w:rPr>
      </w:pPr>
    </w:p>
    <w:p>
      <w:pPr>
        <w:ind w:left="1680" w:right="559" w:firstLine="317"/>
        <w:spacing w:after="0" w:line="251" w:lineRule="auto"/>
        <w:rPr>
          <w:sz w:val="20"/>
          <w:szCs w:val="20"/>
          <w:color w:val="auto"/>
        </w:rPr>
      </w:pPr>
      <w:r>
        <w:rPr>
          <w:rFonts w:ascii="Times New Roman" w:cs="Times New Roman" w:eastAsia="Times New Roman" w:hAnsi="Times New Roman"/>
          <w:sz w:val="13"/>
          <w:szCs w:val="13"/>
          <w:color w:val="auto"/>
        </w:rPr>
        <w:t>On June 22, 2021, the U.S. Senate passed a bill which, if passed by the U.S. House of Representatives and signed into law, would reduce the number of consecutive non-inspection years required for triggering the prohibitions under the HFCA Act from three years to two. The SEC is also assessing how to implement other requirements of the HFCA Act, including the listing and trading prohibition requirements described above. On November 5, 2021, the SEC approved PCAOB Rule 6100, Board Determination Under the Holding Foreign Companies Accountability Act, effective immediately. The rule establishes “a framework for the PCAOB’s determinations under the HFCA Act that the PCAOB is unable to inspect or investigate completely registered public accounting firms located in a foreign jurisdiction because of a position taken by an authority in that jurisdiction.” On December 2, 2021, the SEC adopted amendments to finalize rules implementing the submission and disclosures in the HFCA Act, or the Final Amendments. The Final Amendments include requirements to disclose information, including the auditor name and location, the percentage of shares of the issuer owned by governmental entities, whether governmental entities in the applicable foreign jurisdiction with respect to the auditor has a controlling financial interest with respect to the issuer, the name of each official of the Chinese Communist Party who is a member of the board of the issuer, and whether the articles of incorporation of the issuer contains any charter of the Chinese Communist Party. The Final Amendments also establish procedures the SEC will follow in identifying issuers and prohibiting trading by certain issuers under the HFCA Act. The SEC will identify Commission-Identified Issuers for fiscal years beginning after December 18, 2020. A Commission-Identified Issuer will be required to comply with the submission and disclosure requirements in the annual report for each year in which it was identified. If a registrant is identified as a Commission-Identified Issuer based on its annual report for the fiscal year ended December 31, 2021, the registrant will be required to comply with the submission or disclosure requirements in its annual report filing covering the fiscal year ended December 31, 2022.</w:t>
      </w:r>
    </w:p>
    <w:p>
      <w:pPr>
        <w:spacing w:after="0" w:line="144" w:lineRule="exact"/>
        <w:rPr>
          <w:sz w:val="20"/>
          <w:szCs w:val="20"/>
          <w:color w:val="auto"/>
        </w:rPr>
      </w:pPr>
    </w:p>
    <w:p>
      <w:pPr>
        <w:jc w:val="both"/>
        <w:ind w:left="1680" w:right="579" w:firstLine="317"/>
        <w:spacing w:after="0" w:line="277" w:lineRule="auto"/>
        <w:rPr>
          <w:sz w:val="20"/>
          <w:szCs w:val="20"/>
          <w:color w:val="auto"/>
        </w:rPr>
      </w:pPr>
      <w:r>
        <w:rPr>
          <w:rFonts w:ascii="Times New Roman" w:cs="Times New Roman" w:eastAsia="Times New Roman" w:hAnsi="Times New Roman"/>
          <w:sz w:val="12"/>
          <w:szCs w:val="12"/>
          <w:color w:val="auto"/>
        </w:rPr>
        <w:t>On December 16, 2021, PCAOB issued the HFCA Act Determination Report, according to which our auditor is subject to the determinations that the PCAOB is unable to inspect or investigate completely. The report, issued under Rule 6100, lists dozens of accounting firms based in mainland China and Hong Kong subject to the determinations, including our independent registered public accounting firm, PricewaterhouseCoopers Zhong Tian LLP.</w:t>
      </w:r>
    </w:p>
    <w:p>
      <w:pPr>
        <w:spacing w:after="0" w:line="1" w:lineRule="exact"/>
        <w:rPr>
          <w:sz w:val="20"/>
          <w:szCs w:val="20"/>
          <w:color w:val="auto"/>
        </w:rPr>
      </w:pPr>
    </w:p>
    <w:p>
      <w:pPr>
        <w:ind w:left="1680" w:right="659"/>
        <w:spacing w:after="0" w:line="252" w:lineRule="auto"/>
        <w:rPr>
          <w:sz w:val="20"/>
          <w:szCs w:val="20"/>
          <w:color w:val="auto"/>
        </w:rPr>
      </w:pPr>
      <w:r>
        <w:rPr>
          <w:rFonts w:ascii="Times New Roman" w:cs="Times New Roman" w:eastAsia="Times New Roman" w:hAnsi="Times New Roman"/>
          <w:sz w:val="13"/>
          <w:szCs w:val="13"/>
          <w:color w:val="auto"/>
        </w:rPr>
        <w:t>Under Rule 6100, the Board will reassess its determinations at least annually. Our independent registered public accounting firm is located in and organized under the laws of the PRC, a jurisdiction where the PCAOB is currently unable to conduct inspections without the approval of the Chinese authorities, and therefore our auditors are not currently inspected by the PCAOB. In March 2022, the SEC issued its first “Conclusive list of issuers identified under the HFCA Act” indicating that those companies are now formally subject to the delisting provisions if they remain on the list for three consecutive years. We anticipate being added to the list shortly after the filing of this annual report on Form 20-F.</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47</w:t>
      </w:r>
    </w:p>
    <w:p>
      <w:pPr>
        <w:sectPr>
          <w:pgSz w:w="11900" w:h="16838" w:orient="portrait"/>
          <w:cols w:equalWidth="0" w:num="1">
            <w:col w:w="10159"/>
          </w:cols>
          <w:pgMar w:left="300" w:top="388"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559" w:firstLine="317"/>
        <w:spacing w:after="0" w:line="251" w:lineRule="auto"/>
        <w:rPr>
          <w:sz w:val="20"/>
          <w:szCs w:val="20"/>
          <w:color w:val="auto"/>
        </w:rPr>
      </w:pPr>
      <w:r>
        <w:rPr>
          <w:rFonts w:ascii="Times New Roman" w:cs="Times New Roman" w:eastAsia="Times New Roman" w:hAnsi="Times New Roman"/>
          <w:sz w:val="13"/>
          <w:szCs w:val="13"/>
          <w:color w:val="auto"/>
        </w:rPr>
        <w:t>The HFCA Act or other efforts to increase U.S. regulatory access to audit information in China could cause investor uncertainty for affected issuers, including us, and the market price of our ADSs could be materially adversely affected. Additionally, whether the PCAOB will be able to conduct inspections of our auditors before the issuance of our financial statements on Form 20-F for the year ended December 31, 2023, which is due by April 30, 2024, or at all, is subject to substantial uncertainty and depends on factors out of our and our auditor’s control. If our auditor is unable to be inspected in time, we will be delisted from the Nasdaq Global Market and our ADSs will not be permitted for trading “over-the-counter” either. On June 22, 2021, the U.S. Senate passed a bill known as the Accelerating Holding Foreign Companies Accountable Act, to amend Section 104(i) of the Sarbanes-Oxley Act of 2002 (15 U.S.C. 7214(i)) to prohibit securities of any registrant from being listed on any of the U.S. securities exchanges or traded over-the-counter if the auditor of the registrant’s financial statements is not subject to PCAOB inspection for two consecutive years, instead of three consecutive years as currently enacted in the HFCA Act, thus reducing the time period before their securities may be delisted or prohibited from trading. Such a delisting or prohibition of trading would substantially impair your ability to sell or purchase our ADSs when you wish to do so, and the risk and uncertainty associated with delisting or prohibition of trading would have a negative impact on the price of our ADSs. Also, such a delisting or prohibition of trading would significantly affect our ability to raise capital on terms acceptable to us, or at all, which would have a material adverse impact on our business, financial condition and prospects. On February 4, 2022, the U.S. House of Representatives passed the America Competes Act of 2022 which includes the exact same amendments as the bill passed by the Senate. The America Competes Act however includes a broader range of legislation not related to the HFCA Act in response to the U.S. Innovation and Competition Act passed by the Senate in 2021. The U.S. House of Representatives and U.S. Senate will need to agree on amendments to these respective bills to align the legislation and pass their amended bills before the President can sign into law. It is unclear when the U.S. Senate and U.S. House of Representatives will resolve the differences in the U.S. Innovation and Competition Act and the America Competes Act of 2022 bills currently passed, or when the U.S. President will sign on the bill to make the amendment into law, or at all. In the case that the bill becomes the law, it will reduce the time period before our ADSs could be delisted from the exchange and prohibited from over-the-counter trading in the U.S. from 2024 to 2023.</w:t>
      </w:r>
    </w:p>
    <w:p>
      <w:pPr>
        <w:spacing w:after="0" w:line="141" w:lineRule="exact"/>
        <w:rPr>
          <w:sz w:val="20"/>
          <w:szCs w:val="20"/>
          <w:color w:val="auto"/>
        </w:rPr>
      </w:pPr>
    </w:p>
    <w:p>
      <w:pPr>
        <w:ind w:left="1680" w:right="759" w:firstLine="317"/>
        <w:spacing w:after="0" w:line="278" w:lineRule="auto"/>
        <w:rPr>
          <w:sz w:val="20"/>
          <w:szCs w:val="20"/>
          <w:color w:val="auto"/>
        </w:rPr>
      </w:pPr>
      <w:r>
        <w:rPr>
          <w:rFonts w:ascii="Times New Roman" w:cs="Times New Roman" w:eastAsia="Times New Roman" w:hAnsi="Times New Roman"/>
          <w:sz w:val="13"/>
          <w:szCs w:val="13"/>
          <w:color w:val="auto"/>
        </w:rPr>
        <w:t>If our ADS are delisted from the U.S. Exchange and are prohibited from trading in the over-the-counter market in the U.S. there is no certainty that we will be able to list on a non-U.S. exchange or that a market for our shares will develop outside of the U.S.</w:t>
      </w:r>
    </w:p>
    <w:p>
      <w:pPr>
        <w:spacing w:after="0" w:line="19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Increases in labor costs and enforcement of stricter labor laws and regulations in the PRC may adversely affect our business and our profitability.</w:t>
      </w:r>
    </w:p>
    <w:p>
      <w:pPr>
        <w:spacing w:after="0" w:line="88" w:lineRule="exact"/>
        <w:rPr>
          <w:sz w:val="20"/>
          <w:szCs w:val="20"/>
          <w:color w:val="auto"/>
        </w:rPr>
      </w:pPr>
    </w:p>
    <w:p>
      <w:pPr>
        <w:ind w:left="1680" w:right="579" w:firstLine="317"/>
        <w:spacing w:after="0" w:line="259" w:lineRule="auto"/>
        <w:rPr>
          <w:sz w:val="20"/>
          <w:szCs w:val="20"/>
          <w:color w:val="auto"/>
        </w:rPr>
      </w:pPr>
      <w:r>
        <w:rPr>
          <w:rFonts w:ascii="Times New Roman" w:cs="Times New Roman" w:eastAsia="Times New Roman" w:hAnsi="Times New Roman"/>
          <w:sz w:val="13"/>
          <w:szCs w:val="13"/>
          <w:color w:val="auto"/>
        </w:rPr>
        <w:t>China’s overall economy and the average wage level in China have increased in recent years and are expected to continue to grow. The average wage level for our employees has also increased in recent years. We expect that our labor costs, including wages and employee benefits, will continue to increase. Unless we are able to pass on these increased labor costs to our customers, our profitability and results of operations may be materially and adversely affected.</w:t>
      </w:r>
    </w:p>
    <w:p>
      <w:pPr>
        <w:spacing w:after="0" w:line="133" w:lineRule="exact"/>
        <w:rPr>
          <w:sz w:val="20"/>
          <w:szCs w:val="20"/>
          <w:color w:val="auto"/>
        </w:rPr>
      </w:pPr>
    </w:p>
    <w:p>
      <w:pPr>
        <w:ind w:left="1680" w:right="599" w:firstLine="317"/>
        <w:spacing w:after="0" w:line="254" w:lineRule="auto"/>
        <w:rPr>
          <w:sz w:val="20"/>
          <w:szCs w:val="20"/>
          <w:color w:val="auto"/>
        </w:rPr>
      </w:pPr>
      <w:r>
        <w:rPr>
          <w:rFonts w:ascii="Times New Roman" w:cs="Times New Roman" w:eastAsia="Times New Roman" w:hAnsi="Times New Roman"/>
          <w:sz w:val="13"/>
          <w:szCs w:val="13"/>
          <w:color w:val="auto"/>
        </w:rPr>
        <w:t>In addition, we have been subject to stricter regulatory requirements in terms of entering into labor contracts with our employees and paying various statutory employee benefits, including pensions, housing funds, medical insurance, work-related injury insurance, unemployment insurance and maternity insurance to designated government agencies for the benefit of our employees. Pursuant to the PRC Labor Contract Law and its implementation rules, employers are subject to stricter requirements in terms of signing labor contracts, minimum wages, paying remuneration, determining the term of employee’s probation and unilaterally terminating labor contracts. In the event that we decide to terminate some of our employees or otherwise change our employment or labor practices, the PRC Labor Contract Law and its implementation rules may limit our ability to effect those changes in a desirable or cost-effective manner, which could adversely affect our business and results of operations.</w:t>
      </w:r>
    </w:p>
    <w:p>
      <w:pPr>
        <w:spacing w:after="0" w:line="138" w:lineRule="exact"/>
        <w:rPr>
          <w:sz w:val="20"/>
          <w:szCs w:val="20"/>
          <w:color w:val="auto"/>
        </w:rPr>
      </w:pPr>
    </w:p>
    <w:p>
      <w:pPr>
        <w:ind w:left="1680" w:right="559" w:firstLine="317"/>
        <w:spacing w:after="0" w:line="253" w:lineRule="auto"/>
        <w:rPr>
          <w:sz w:val="20"/>
          <w:szCs w:val="20"/>
          <w:color w:val="auto"/>
        </w:rPr>
      </w:pPr>
      <w:r>
        <w:rPr>
          <w:rFonts w:ascii="Times New Roman" w:cs="Times New Roman" w:eastAsia="Times New Roman" w:hAnsi="Times New Roman"/>
          <w:sz w:val="13"/>
          <w:szCs w:val="13"/>
          <w:color w:val="auto"/>
        </w:rPr>
        <w:t>In October 2010, the Standing Committee of the National People’s Congress promulgated the PRC Social Insurance Law, which came into effect on July 1, 2011. In April 1999, the State Council promulgated the Regulations on the Administration of Housing Funds, which was amended in March 2002. Companies registered and operating in China are required under the Social Insurance Law and the Regulations on the Administration of Housing Funds to, apply for social insurance registration and housing fund deposit registration within 30 days of their establishment and, to pay for their employees different social insurance including pension insurance, medical insurance, work-related injury insurance, unemployment insurance and maternity insurance to the extent required by law. Recently, the PRC government enhanced its measures relating to social insurance collection, which lead to stricter enforcement. We could be subject to orders by the competent labor authorities for rectification and failure to comply with the orders which may further subject us to administrative fines.</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48</w:t>
      </w:r>
    </w:p>
    <w:p>
      <w:pPr>
        <w:sectPr>
          <w:pgSz w:w="11900" w:h="16838" w:orient="portrait"/>
          <w:cols w:equalWidth="0" w:num="1">
            <w:col w:w="10159"/>
          </w:cols>
          <w:pgMar w:left="300" w:top="388"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559" w:firstLine="317"/>
        <w:spacing w:after="0" w:line="253" w:lineRule="auto"/>
        <w:rPr>
          <w:sz w:val="20"/>
          <w:szCs w:val="20"/>
          <w:color w:val="auto"/>
        </w:rPr>
      </w:pPr>
      <w:r>
        <w:rPr>
          <w:rFonts w:ascii="Times New Roman" w:cs="Times New Roman" w:eastAsia="Times New Roman" w:hAnsi="Times New Roman"/>
          <w:sz w:val="13"/>
          <w:szCs w:val="13"/>
          <w:color w:val="auto"/>
        </w:rPr>
        <w:t>As the interpretation and implementation of labor-related laws and regulations are still evolving, we cannot assure you that our employment practices do not and will not violate labor-related laws and regulations in China, which may subject us to labor disputes or government investigations. We cannot assure you that we have complied or will be able to comply with all labor-related laws and regulations including those relating to obligations to make social insurance payments and contribute to the housing provident funds. We have not fully paid the social insurance payment and housing provident funds for all of our employees as required by applicable PRC regulations. In addition, we have made social insurance payments and contribute to the housing provident funds for some of our employees through the third-party agents, which should be paid by us directly under the applicable PRC regulations We may be required to make up the contributions for our employees, and may be further subjected to late fees payment and administrative fines, resulting in financial condition and results of operations to be adversely affected.</w:t>
      </w:r>
    </w:p>
    <w:p>
      <w:pPr>
        <w:spacing w:after="0" w:line="214" w:lineRule="exact"/>
        <w:rPr>
          <w:sz w:val="20"/>
          <w:szCs w:val="20"/>
          <w:color w:val="auto"/>
        </w:rPr>
      </w:pPr>
    </w:p>
    <w:p>
      <w:pPr>
        <w:ind w:left="1680" w:right="579"/>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spacing w:after="0" w:line="50" w:lineRule="exact"/>
        <w:rPr>
          <w:sz w:val="20"/>
          <w:szCs w:val="20"/>
          <w:color w:val="auto"/>
        </w:rPr>
      </w:pPr>
    </w:p>
    <w:p>
      <w:pPr>
        <w:ind w:left="1680" w:right="639" w:firstLine="317"/>
        <w:spacing w:after="0" w:line="259" w:lineRule="auto"/>
        <w:rPr>
          <w:sz w:val="20"/>
          <w:szCs w:val="20"/>
          <w:color w:val="auto"/>
        </w:rPr>
      </w:pPr>
      <w:r>
        <w:rPr>
          <w:rFonts w:ascii="Times New Roman" w:cs="Times New Roman" w:eastAsia="Times New Roman" w:hAnsi="Times New Roman"/>
          <w:sz w:val="13"/>
          <w:szCs w:val="13"/>
          <w:color w:val="auto"/>
        </w:rPr>
        <w:t>We are a holding company, and we rely on dividends and other distributions on equity paid by our PRC subsidiaries for our cash and financing requirements, including the funds necessary to pay dividends and other cash distributions to our shareholders and service any debt we may incur. If our PRC subsidiaries incur debt on their own behalf in the future, the instruments governing the debt may restrict its ability to pay dividends or make other distributions to us.</w:t>
      </w:r>
    </w:p>
    <w:p>
      <w:pPr>
        <w:spacing w:after="0" w:line="133" w:lineRule="exact"/>
        <w:rPr>
          <w:sz w:val="20"/>
          <w:szCs w:val="20"/>
          <w:color w:val="auto"/>
        </w:rPr>
      </w:pPr>
    </w:p>
    <w:p>
      <w:pPr>
        <w:ind w:left="1680" w:right="659" w:firstLine="317"/>
        <w:spacing w:after="0" w:line="255" w:lineRule="auto"/>
        <w:rPr>
          <w:sz w:val="20"/>
          <w:szCs w:val="20"/>
          <w:color w:val="auto"/>
        </w:rPr>
      </w:pPr>
      <w:r>
        <w:rPr>
          <w:rFonts w:ascii="Times New Roman" w:cs="Times New Roman" w:eastAsia="Times New Roman" w:hAnsi="Times New Roman"/>
          <w:sz w:val="13"/>
          <w:szCs w:val="13"/>
          <w:color w:val="auto"/>
        </w:rPr>
        <w:t>Under PRC laws and regulations, wholly foreign-owned enterprises in China, such as EHang Intelligent, may pay dividends only out of their respective accumulated after-tax profits as determined in accordance with PRC accounting standards and regulations. In addition, a wholly foreign-owned enterprise is required to set aside at least 10% of its accumulated after-tax profits each year, if any, to fund certain statutory reserve funds, until the aggregate amount of such funds reaches 50% of its registered capital. At its discretion, a wholly foreign-owned enterprise may allocate a portion of its after-tax profits based on PRC accounting standards to staff welfare and bonus funds. These reserve funds and staff welfare and bonus funds are not distributable as cash dividends.</w:t>
      </w:r>
    </w:p>
    <w:p>
      <w:pPr>
        <w:spacing w:after="0" w:line="136" w:lineRule="exact"/>
        <w:rPr>
          <w:sz w:val="20"/>
          <w:szCs w:val="20"/>
          <w:color w:val="auto"/>
        </w:rPr>
      </w:pPr>
    </w:p>
    <w:p>
      <w:pPr>
        <w:ind w:left="1680" w:right="719" w:firstLine="317"/>
        <w:spacing w:after="0" w:line="257" w:lineRule="auto"/>
        <w:rPr>
          <w:sz w:val="20"/>
          <w:szCs w:val="20"/>
          <w:color w:val="auto"/>
        </w:rPr>
      </w:pPr>
      <w:r>
        <w:rPr>
          <w:rFonts w:ascii="Times New Roman" w:cs="Times New Roman" w:eastAsia="Times New Roman" w:hAnsi="Times New Roman"/>
          <w:sz w:val="13"/>
          <w:szCs w:val="13"/>
          <w:color w:val="auto"/>
        </w:rPr>
        <w:t>Our ability to pay dividends is primarily dependent on receiving distributions of funds from our PRC subsidiaries, the VIE and its subsidiaries. Relevant PRC statutory laws and regulations permit payments of dividends by our PRC subsidiaries, the VIE and its subsidiaries only out of their retained earnings, if any, as determined in accordance with PRC accounting standards and regulations. The results of operations reflected in the consolidated financial statements prepared in accordance with U.S. GAAP differ from those reflected in the statutory financial statements of our PRC subsidiaries, the VIE and its subsidiaries.</w:t>
      </w:r>
    </w:p>
    <w:p>
      <w:pPr>
        <w:spacing w:after="0" w:line="133" w:lineRule="exact"/>
        <w:rPr>
          <w:sz w:val="20"/>
          <w:szCs w:val="20"/>
          <w:color w:val="auto"/>
        </w:rPr>
      </w:pPr>
    </w:p>
    <w:p>
      <w:pPr>
        <w:ind w:left="1680" w:right="599" w:firstLine="317"/>
        <w:spacing w:after="0" w:line="255" w:lineRule="auto"/>
        <w:rPr>
          <w:sz w:val="20"/>
          <w:szCs w:val="20"/>
          <w:color w:val="auto"/>
        </w:rPr>
      </w:pPr>
      <w:r>
        <w:rPr>
          <w:rFonts w:ascii="Times New Roman" w:cs="Times New Roman" w:eastAsia="Times New Roman" w:hAnsi="Times New Roman"/>
          <w:sz w:val="13"/>
          <w:szCs w:val="13"/>
          <w:color w:val="auto"/>
        </w:rPr>
        <w:t>In response to the persistent capital outflow and the Renminbi’s depreciation against the U.S. dollar, the People’s Bank of China and the State Administration of Foreign Exchange, or SAFE, have implemented a series of capital control measures, including stricter vetting procedures for China-based companies to remit foreign currency for overseas acquisitions, dividend payments and shareholder loan repayments. The PRC government may continue to strengthen its capital controls and EHang Intelligent dividends and other distributions may be subjected to tighter scrutiny in the future. 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w:t>
      </w:r>
    </w:p>
    <w:p>
      <w:pPr>
        <w:spacing w:after="0" w:line="210" w:lineRule="exact"/>
        <w:rPr>
          <w:sz w:val="20"/>
          <w:szCs w:val="20"/>
          <w:color w:val="auto"/>
        </w:rPr>
      </w:pPr>
    </w:p>
    <w:p>
      <w:pPr>
        <w:ind w:left="1680" w:right="599"/>
        <w:spacing w:after="0" w:line="299" w:lineRule="auto"/>
        <w:rPr>
          <w:sz w:val="20"/>
          <w:szCs w:val="20"/>
          <w:color w:val="auto"/>
        </w:rPr>
      </w:pPr>
      <w:r>
        <w:rPr>
          <w:rFonts w:ascii="Times New Roman" w:cs="Times New Roman" w:eastAsia="Times New Roman" w:hAnsi="Times New Roman"/>
          <w:sz w:val="12"/>
          <w:szCs w:val="12"/>
          <w:b w:val="1"/>
          <w:bCs w:val="1"/>
          <w:i w:val="1"/>
          <w:iCs w:val="1"/>
          <w:color w:val="auto"/>
        </w:rPr>
        <w:t>PRC regulation of loans to and direct investment in PRC entities by offshore holding companies and governmental control of currency conversion may delay or prevent us from using the proceeds of our offshore offerings to make loans to or make additional capital contributions to our PRC subsidiaries, the VIE and its subsidiaries, which could materially and adversely affect our liquidity and our ability to fund and expand our business.</w:t>
      </w:r>
    </w:p>
    <w:p>
      <w:pPr>
        <w:spacing w:after="0" w:line="33" w:lineRule="exact"/>
        <w:rPr>
          <w:sz w:val="20"/>
          <w:szCs w:val="20"/>
          <w:color w:val="auto"/>
        </w:rPr>
      </w:pPr>
    </w:p>
    <w:p>
      <w:pPr>
        <w:jc w:val="both"/>
        <w:ind w:left="1680" w:right="719" w:firstLine="317"/>
        <w:spacing w:after="0" w:line="259" w:lineRule="auto"/>
        <w:rPr>
          <w:sz w:val="20"/>
          <w:szCs w:val="20"/>
          <w:color w:val="auto"/>
        </w:rPr>
      </w:pPr>
      <w:r>
        <w:rPr>
          <w:rFonts w:ascii="Times New Roman" w:cs="Times New Roman" w:eastAsia="Times New Roman" w:hAnsi="Times New Roman"/>
          <w:sz w:val="13"/>
          <w:szCs w:val="13"/>
          <w:color w:val="auto"/>
        </w:rPr>
        <w:t>We are an offshore holding company conducting our operations in China through our PRC subsidiaries, VIE and its subsidiaries. We may make loans to our PRC subsidiaries, VIE and its subsidiaries, or we may make additional capital contributions to our PRC subsidiaries, or we may establish new PRC subsidiaries and make capital contributions to these new PRC subsidiaries, or we may acquire offshore entities with business operations in China in an offshore transaction.</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49</w:t>
      </w:r>
    </w:p>
    <w:p>
      <w:pPr>
        <w:sectPr>
          <w:pgSz w:w="11900" w:h="16838" w:orient="portrait"/>
          <w:cols w:equalWidth="0" w:num="1">
            <w:col w:w="10159"/>
          </w:cols>
          <w:pgMar w:left="300" w:top="388"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559" w:firstLine="317"/>
        <w:spacing w:after="0" w:line="251" w:lineRule="auto"/>
        <w:rPr>
          <w:sz w:val="20"/>
          <w:szCs w:val="20"/>
          <w:color w:val="auto"/>
        </w:rPr>
      </w:pPr>
      <w:r>
        <w:rPr>
          <w:rFonts w:ascii="Times New Roman" w:cs="Times New Roman" w:eastAsia="Times New Roman" w:hAnsi="Times New Roman"/>
          <w:sz w:val="13"/>
          <w:szCs w:val="13"/>
          <w:color w:val="auto"/>
        </w:rPr>
        <w:t>Most of these activities are subject to PRC regulations and approvals. For example, loans by us to our wholly owned PRC subsidiaries to finance their activities cannot exceed statutory limits and must be registered with the local counterpart of the State Administration of Foreign Exchange, or SAFE. If we decide to finance our wholly owned PRC subsidiaries by means of capital contributions, these capital contributions are subject to the requirement of making necessary filings in the Foreign Investment Comprehensive Management Information System and registration with other governmental authorities in China. Due to the restrictions imposed on loans in foreign currencies extended to any PRC domestic companies, we are not likely to make such loans to the VIE, which is a PRC domestic company. SAFE promulgated Circular on the Reforming of the Management Method of the Settlement of Foreign Currency Capital of Foreign-invested Enterprises, or SAFE Circular 19, effective on June 1, 2015, in replacement of the Circular on the Relevant Issues Concerning the Launch of Reforming Trial of the Administration Model of the Settlement of Foreign Currency Capital of Foreign-Invested Enterprises, the Notice From the State Administration of Foreign Exchange on Relevant Issues Concerning Strengthening the Administration of Foreign Exchange Businesses, and the Circular on Further Clarification and Regulation of the Issues Concerning the Administration of Certain Capital Account Foreign Exchange Businesses. According to SAFE Circular 19, the flow and use of the RMB capital converted from foreign currency-denominated registered capital of a foreign-invested company is regulated such that RMB capital may not be used for the issuance of RMB entrusted loans, the repayment of inter-enterprise loans or the repayment of banks loans that have been transferred to a third party. Although SAFE Circular 19 allows RMB capital converted from foreign currency-denominated registered capital of a foreign-invested enterprise to be used for equity investments within China, it also reiterates the principle that RMB capital converted from the foreign currency-denominated capital of a foreign-invested company may not be directly or indirectly used for purposes beyond its business scope. Thus, it is unclear whether SAFE will permit such capital to be used for equity investments in China in actual practice. SAFE promulgated the Notice of the State Administration of Foreign Exchange on Reforming and Standardizing the Foreign Exchange Settlement Management Policy of Capital Account, or SAFE Circular 16, effective on June 9, 2016, which reiterates some of the rules set forth in SAFE Circular 19, but changes the prohibition against using RMB capital converted from foreign currency-denominated registered capital of a foreign-invested company to issue RMB entrusted loans to a prohibition against using such capital to issue loans to non-associated enterprises. Violations of SAFE Circular 19 and SAFE Circular 16 could result in administrative penalties. SAFE Circular 19 and SAFE Circular 16 may significantly limit our ability to transfer any foreign currency we hold, including the net proceeds from our initial public offering, to our PRC subsidiaries, which may adversely affect our liquidity and our ability to fund and expand our business in China.</w:t>
      </w:r>
    </w:p>
    <w:p>
      <w:pPr>
        <w:spacing w:after="0" w:line="139" w:lineRule="exact"/>
        <w:rPr>
          <w:sz w:val="20"/>
          <w:szCs w:val="20"/>
          <w:color w:val="auto"/>
        </w:rPr>
      </w:pPr>
    </w:p>
    <w:p>
      <w:pPr>
        <w:ind w:left="1680" w:right="559" w:firstLine="317"/>
        <w:spacing w:after="0" w:line="255" w:lineRule="auto"/>
        <w:rPr>
          <w:sz w:val="20"/>
          <w:szCs w:val="20"/>
          <w:color w:val="auto"/>
        </w:rPr>
      </w:pPr>
      <w:r>
        <w:rPr>
          <w:rFonts w:ascii="Times New Roman" w:cs="Times New Roman" w:eastAsia="Times New Roman" w:hAnsi="Times New Roman"/>
          <w:sz w:val="13"/>
          <w:szCs w:val="13"/>
          <w:color w:val="auto"/>
        </w:rPr>
        <w:t>In light of the various requirements imposed by PRC regulations on loans to and direct investment in PRC entities by offshore holding companies, we cannot assure you that we will be able to complete the necessary government registrations or obtain the necessary government approvals on a timely basis, if at all, with respect to future loans by us to our PRC subsidiaries or with respect to future capital contributions by us to our PRC subsidiary. If we fail to complete such registrations or obtain such approvals, our ability to use the proceeds we received from our initial public offering and to capitalize or otherwise fund our PRC operations may be negatively affected, which could materially and adversely affect our liquidity and our ability to fund and expand our business.</w:t>
      </w:r>
    </w:p>
    <w:p>
      <w:pPr>
        <w:spacing w:after="0" w:line="210" w:lineRule="exact"/>
        <w:rPr>
          <w:sz w:val="20"/>
          <w:szCs w:val="20"/>
          <w:color w:val="auto"/>
        </w:rPr>
      </w:pPr>
    </w:p>
    <w:p>
      <w:pPr>
        <w:jc w:val="both"/>
        <w:ind w:left="1680" w:right="559"/>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PRC regulations relating to the establishment of offshore special purpose vehicles by PRC residents may subject our PRC resident beneficial owners or our PRC subsidiaries to liabilities or penalties, limit our ability to inject capital into our PRC subsidiaries, limit the ability of our PRC liabilities to increase its registered capital or distribute profits to us, or may otherwise adversely affect us.</w:t>
      </w:r>
    </w:p>
    <w:p>
      <w:pPr>
        <w:spacing w:after="0" w:line="50" w:lineRule="exact"/>
        <w:rPr>
          <w:sz w:val="20"/>
          <w:szCs w:val="20"/>
          <w:color w:val="auto"/>
        </w:rPr>
      </w:pPr>
    </w:p>
    <w:p>
      <w:pPr>
        <w:ind w:left="1680" w:right="599" w:firstLine="317"/>
        <w:spacing w:after="0" w:line="253" w:lineRule="auto"/>
        <w:rPr>
          <w:sz w:val="20"/>
          <w:szCs w:val="20"/>
          <w:color w:val="auto"/>
        </w:rPr>
      </w:pPr>
      <w:r>
        <w:rPr>
          <w:rFonts w:ascii="Times New Roman" w:cs="Times New Roman" w:eastAsia="Times New Roman" w:hAnsi="Times New Roman"/>
          <w:sz w:val="13"/>
          <w:szCs w:val="13"/>
          <w:color w:val="auto"/>
        </w:rPr>
        <w:t>The SAFE promulgated the Circular on Relevant Issues Relating to Domestic Resident’s Investment and Financing and Round-Trip Investment through Special Purpose Vehicles, or SAFE Circular 37, in July 2014 that requires PRC residents or entities to register with SAFE or its local branch in connection with their establishment or control of an offshore entity established for the purpose of overseas investment or financing with such PRC residents or entities’ legally owned assets or equity interests in domestic enterprises or offshore assets or interests. On February 13, 2015, SAFE issued SAFE Circular No. 13, which took effect on June 1, 2015, pursuant to which, the power to accept SAFE registration was delegated from local SAFE to local qualified banks where the assets or interest in the domestic entity was located. SAFE Circular 37 is issued to replace the Notice on Relevant Issues Concerning Foreign Exchange Administration for PRC Residents Engaging in Financing and Roundtrip Investments via Overseas Special Purpose Vehicles, or SAFE Circular 75.</w:t>
      </w:r>
    </w:p>
    <w:p>
      <w:pPr>
        <w:spacing w:after="0" w:line="140" w:lineRule="exact"/>
        <w:rPr>
          <w:sz w:val="20"/>
          <w:szCs w:val="20"/>
          <w:color w:val="auto"/>
        </w:rPr>
      </w:pPr>
    </w:p>
    <w:p>
      <w:pPr>
        <w:ind w:left="1680" w:right="619" w:firstLine="317"/>
        <w:spacing w:after="0" w:line="259" w:lineRule="auto"/>
        <w:rPr>
          <w:sz w:val="20"/>
          <w:szCs w:val="20"/>
          <w:color w:val="auto"/>
        </w:rPr>
      </w:pPr>
      <w:r>
        <w:rPr>
          <w:rFonts w:ascii="Times New Roman" w:cs="Times New Roman" w:eastAsia="Times New Roman" w:hAnsi="Times New Roman"/>
          <w:sz w:val="13"/>
          <w:szCs w:val="13"/>
          <w:color w:val="auto"/>
        </w:rPr>
        <w:t>If our shareholders who are PRC residents or entities do not complete their registration pursuant to SAFE Circular 37 as required, our PRC subsidiaries may be prohibited from distributing their profits and proceeds from any reduction in capital, share transfer or liquidation to us, and we may be restricted in our ability to contribute additional capital to our PRC subsidiaries. Moreover, failure to comply with the SAFE registration described above could result in liability under PRC laws for evasion of applicable foreign exchange restrictions.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50</w:t>
      </w:r>
    </w:p>
    <w:p>
      <w:pPr>
        <w:sectPr>
          <w:pgSz w:w="11900" w:h="16838" w:orient="portrait"/>
          <w:cols w:equalWidth="0" w:num="1">
            <w:col w:w="10159"/>
          </w:cols>
          <w:pgMar w:left="300" w:top="388"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579" w:firstLine="317"/>
        <w:spacing w:after="0" w:line="253" w:lineRule="auto"/>
        <w:rPr>
          <w:sz w:val="20"/>
          <w:szCs w:val="20"/>
          <w:color w:val="auto"/>
        </w:rPr>
      </w:pPr>
      <w:r>
        <w:rPr>
          <w:rFonts w:ascii="Times New Roman" w:cs="Times New Roman" w:eastAsia="Times New Roman" w:hAnsi="Times New Roman"/>
          <w:sz w:val="13"/>
          <w:szCs w:val="13"/>
          <w:color w:val="auto"/>
        </w:rPr>
        <w:t>We have used our best efforts to notify PRC residents or entities who directly or indirectly hold shares in our Cayman Islands holding company and who are known to us as being PRC residents to complete the foreign exchange registrations. However, we may not be informed of the identities of all the PRC residents or entities holding direct or indirect interest in our company, nor can we compel our beneficial owners to comply with SAFE registration requirements. We cannot assure you that all other shareholders or beneficial owners of ours who are PRC residents or entities have complied with, and will in the future make, obtain or update any applicable registrations or approvals required by, SAFE regulations. Failure by such shareholders or beneficial owners to comply with SAFE regulations, or failure by us to amend the foreign exchange registrations of our PRC subsidiaries, could subject us to fines or legal sanctions, restrict our overseas or cross-border investment activities, limit the ability of our PRC subsidiaries to make distributions or pay dividends to us or affect our ownership structure, which could adversely affect our business and prospects.</w:t>
      </w:r>
    </w:p>
    <w:p>
      <w:pPr>
        <w:spacing w:after="0" w:line="214" w:lineRule="exact"/>
        <w:rPr>
          <w:sz w:val="20"/>
          <w:szCs w:val="20"/>
          <w:color w:val="auto"/>
        </w:rPr>
      </w:pPr>
    </w:p>
    <w:p>
      <w:pPr>
        <w:ind w:left="1680" w:right="63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The M&amp;A Rules and certain other PRC regulations establish complex procedures for some acquisitions of Chinese companies by foreign investors, which could make it more difficult for us to pursue growth through acquisitions in China.</w:t>
      </w:r>
    </w:p>
    <w:p>
      <w:pPr>
        <w:spacing w:after="0" w:line="38" w:lineRule="exact"/>
        <w:rPr>
          <w:sz w:val="20"/>
          <w:szCs w:val="20"/>
          <w:color w:val="auto"/>
        </w:rPr>
      </w:pPr>
    </w:p>
    <w:p>
      <w:pPr>
        <w:ind w:left="1680" w:right="619" w:firstLine="317"/>
        <w:spacing w:after="0" w:line="252" w:lineRule="auto"/>
        <w:rPr>
          <w:sz w:val="20"/>
          <w:szCs w:val="20"/>
          <w:color w:val="auto"/>
        </w:rPr>
      </w:pPr>
      <w:r>
        <w:rPr>
          <w:rFonts w:ascii="Times New Roman" w:cs="Times New Roman" w:eastAsia="Times New Roman" w:hAnsi="Times New Roman"/>
          <w:sz w:val="13"/>
          <w:szCs w:val="13"/>
          <w:color w:val="auto"/>
        </w:rPr>
        <w:t>The Regulations on Mergers and Acquisitions of Domestic Companies by Foreign Investors, or the M&amp;A Rules, adopted by six PRC regulatory agencies in August 2006 and amended in September 2009, and some other regulations and rules concerning mergers and acquisitions established additional procedures and requirements that could make merger and acquisition activities by foreign investors more time consuming and complex, including requirements in some instances that shall obtained an approval from the MOFCOM in advance of any change-of-control transaction in which a foreign investor takes control of a PRC domestic enterprise. Moreover, the Anti-Monopoly Law requires that the MOFCOM shall be notified in advance of any concentration of undertaking if certain thresholds are triggered. In addition, the security review rules issued by the MOFCOM that became effective in September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MOFCOM, and the rules prohibit any activities attempting to bypass a security review, including by structuring the transaction through a proxy or contractual control arrangement. In the future, we may grow our business by acquiring complementary businesses. Complying with the requirements of the above-mentioned regulations and other relevant rules to complete such transactions could be time consuming, and any required approval processes, including obtaining approval from the MOFCOM or its local counterparts may delay or inhibit our ability to complete such transactions, which could affect our ability to expand our business or maintain our market share.</w:t>
      </w:r>
    </w:p>
    <w:p>
      <w:pPr>
        <w:spacing w:after="0" w:line="21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Fluctuations in exchange rates could have a material and adverse effect on our results of operations and the value of your investment.</w:t>
      </w:r>
    </w:p>
    <w:p>
      <w:pPr>
        <w:spacing w:after="0" w:line="88" w:lineRule="exact"/>
        <w:rPr>
          <w:sz w:val="20"/>
          <w:szCs w:val="20"/>
          <w:color w:val="auto"/>
        </w:rPr>
      </w:pPr>
    </w:p>
    <w:p>
      <w:pPr>
        <w:ind w:left="1680" w:right="559" w:firstLine="317"/>
        <w:spacing w:after="0" w:line="252" w:lineRule="auto"/>
        <w:rPr>
          <w:sz w:val="20"/>
          <w:szCs w:val="20"/>
          <w:color w:val="auto"/>
        </w:rPr>
      </w:pPr>
      <w:r>
        <w:rPr>
          <w:rFonts w:ascii="Times New Roman" w:cs="Times New Roman" w:eastAsia="Times New Roman" w:hAnsi="Times New Roman"/>
          <w:sz w:val="13"/>
          <w:szCs w:val="13"/>
          <w:color w:val="auto"/>
        </w:rPr>
        <w:t>The value of the Renminbi against the U.S. dollar and other currencies may fluctuate and is affected by, among other things, changes in political and economic conditions in China and by China’s foreign exchange policies. On July 21, 2005, the PRC government changed its decade-old policy of pegging the value of the Renminbi to the U.S. dollar, and the Renminbi appreciated more than 20% against the U.S. dollar over the following three years. Between July 2008 and June 2010, this appreciation halted and the exchange rate between the Renminbi and the U.S. dollar remained within a narrow band. Since June 2010, the Renminbi has fluctuated against the U.S. dollar, at times significantly and unpredictably. On November 30, 2015, the Executive Board of the International Monetary Fund (IMF) completed the regular five-year review of the basket of currencies that make up the Special Drawing Right, or the SDR, and decided that with effect from October 1, 2016, Renminbi is determined to be a freely usable currency and will be included in the SDR basket as a fifth currency, along with the U.S. dollar, the Euro, the Japanese yen and the British pound. With the development of the foreign exchange market and progress towards interest rate liberalization and Renminbi internationalization, the PRC government may in the future announce further changes to the exchange rate system and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51</w:t>
      </w:r>
    </w:p>
    <w:p>
      <w:pPr>
        <w:sectPr>
          <w:pgSz w:w="11900" w:h="16838" w:orient="portrait"/>
          <w:cols w:equalWidth="0" w:num="1">
            <w:col w:w="10159"/>
          </w:cols>
          <w:pgMar w:left="300" w:top="388"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679" w:firstLine="317"/>
        <w:spacing w:after="0" w:line="257" w:lineRule="auto"/>
        <w:rPr>
          <w:sz w:val="20"/>
          <w:szCs w:val="20"/>
          <w:color w:val="auto"/>
        </w:rPr>
      </w:pPr>
      <w:r>
        <w:rPr>
          <w:rFonts w:ascii="Times New Roman" w:cs="Times New Roman" w:eastAsia="Times New Roman" w:hAnsi="Times New Roman"/>
          <w:sz w:val="13"/>
          <w:szCs w:val="13"/>
          <w:color w:val="auto"/>
        </w:rPr>
        <w:t>Significant revaluation of the Renminbi may have a material and adverse effect on your investment. For example, to the extent that we need to convert U.S. dollars we receive from our initial public offering into Renminbi for our operations, appreciation of the Renminbi against the U.S. dollar would have an adverse effect on the Renminbi amount we would receive from the conversion. Conversely, if we decide to convert our Renminbi into U.S. dollars for the purpose of making payments for dividends on our ordinary shares or ADSs or for other business purposes, appreciation of the U.S. dollar against the Renminbi would have a negative effect on the U.S. dollar amount available to us.</w:t>
      </w:r>
    </w:p>
    <w:p>
      <w:pPr>
        <w:spacing w:after="0" w:line="133" w:lineRule="exact"/>
        <w:rPr>
          <w:sz w:val="20"/>
          <w:szCs w:val="20"/>
          <w:color w:val="auto"/>
        </w:rPr>
      </w:pPr>
    </w:p>
    <w:p>
      <w:pPr>
        <w:ind w:left="1680" w:right="559" w:firstLine="317"/>
        <w:spacing w:after="0" w:line="257" w:lineRule="auto"/>
        <w:rPr>
          <w:sz w:val="20"/>
          <w:szCs w:val="20"/>
          <w:color w:val="auto"/>
        </w:rPr>
      </w:pPr>
      <w:r>
        <w:rPr>
          <w:rFonts w:ascii="Times New Roman" w:cs="Times New Roman" w:eastAsia="Times New Roman" w:hAnsi="Times New Roman"/>
          <w:sz w:val="13"/>
          <w:szCs w:val="13"/>
          <w:color w:val="auto"/>
        </w:rPr>
        <w:t>Very limited hedging options are available in China to reduce our exposure to exchange rate fluctuations. To date, we have not entered into any material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w:t>
      </w:r>
    </w:p>
    <w:p>
      <w:pPr>
        <w:spacing w:after="0" w:line="207" w:lineRule="exact"/>
        <w:rPr>
          <w:sz w:val="20"/>
          <w:szCs w:val="20"/>
          <w:color w:val="auto"/>
        </w:rPr>
      </w:pPr>
    </w:p>
    <w:p>
      <w:pPr>
        <w:ind w:left="1680" w:right="109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Governmental control of currency conversion may limit our ability to utilize our operating revenues effectively and affect the value of your investment.</w:t>
      </w:r>
    </w:p>
    <w:p>
      <w:pPr>
        <w:spacing w:after="0" w:line="38" w:lineRule="exact"/>
        <w:rPr>
          <w:sz w:val="20"/>
          <w:szCs w:val="20"/>
          <w:color w:val="auto"/>
        </w:rPr>
      </w:pPr>
    </w:p>
    <w:p>
      <w:pPr>
        <w:ind w:left="1680" w:right="619" w:firstLine="317"/>
        <w:spacing w:after="0" w:line="252" w:lineRule="auto"/>
        <w:rPr>
          <w:sz w:val="20"/>
          <w:szCs w:val="20"/>
          <w:color w:val="auto"/>
        </w:rPr>
      </w:pPr>
      <w:r>
        <w:rPr>
          <w:rFonts w:ascii="Times New Roman" w:cs="Times New Roman" w:eastAsia="Times New Roman" w:hAnsi="Times New Roman"/>
          <w:sz w:val="13"/>
          <w:szCs w:val="13"/>
          <w:color w:val="auto"/>
        </w:rPr>
        <w:t>The PRC government imposes controls on the convertibility of the Renminbi into foreign currencies and, in certain cases, the remittance of currency out of China. We receive substantially all of our revenues in Renminbi. Under our current corporate structure, our Cayman Islands holding company may rely on dividend payments from our PRC subsidiaries to fund any cash and financing requirements we may have. Under existing PRC foreign exchange regulations, payments of current account items, including profit distributions, interest payments and trade and service-related foreign exchange transactions, can be made in foreign currencies without prior approval of SAFE if certain procedural requirements are complied with. Specifically, under the existing exchange restrictions, without prior approval of SAFE, cash generated from the operations of our PRC subsidiaries in China may be used to pay dividends to our company. However, approval from or registration with appropriate government authorities is required where Renminbi is to be converted into foreign currency and remitted out of China to pay capital expenses, such as the repayment of loans denominated in foreign currencies. As a result, we need to obtain SAFE approval to use cash generated from the operations of our PRC subsidiaries and consolidated affiliated entities to pay off their respective debt in a currency other than Renminbi owed to entities outside China, or to make other capital expenditure payments outside China in a currency other than Renminbi.</w:t>
      </w:r>
    </w:p>
    <w:p>
      <w:pPr>
        <w:spacing w:after="0" w:line="141" w:lineRule="exact"/>
        <w:rPr>
          <w:sz w:val="20"/>
          <w:szCs w:val="20"/>
          <w:color w:val="auto"/>
        </w:rPr>
      </w:pPr>
    </w:p>
    <w:p>
      <w:pPr>
        <w:ind w:left="1680" w:right="599" w:firstLine="317"/>
        <w:spacing w:after="0" w:line="277" w:lineRule="auto"/>
        <w:rPr>
          <w:sz w:val="20"/>
          <w:szCs w:val="20"/>
          <w:color w:val="auto"/>
        </w:rPr>
      </w:pPr>
      <w:r>
        <w:rPr>
          <w:rFonts w:ascii="Times New Roman" w:cs="Times New Roman" w:eastAsia="Times New Roman" w:hAnsi="Times New Roman"/>
          <w:sz w:val="12"/>
          <w:szCs w:val="12"/>
          <w:color w:val="auto"/>
        </w:rPr>
        <w:t>The PRC government has imposed more restrictive foreign exchange policies and stepped up scrutiny of major outbound capital movements including overseas direct investments. More restrictions and substantial vetting processes are put in place by SAFE to regulate cross-border transactions falling under the capital account. For example, if a person (i) uses Renminbi to pay amounts due that should be settled in a foreign currency or</w:t>
      </w:r>
    </w:p>
    <w:p>
      <w:pPr>
        <w:spacing w:after="0" w:line="1" w:lineRule="exact"/>
        <w:rPr>
          <w:sz w:val="20"/>
          <w:szCs w:val="20"/>
          <w:color w:val="auto"/>
        </w:rPr>
      </w:pPr>
    </w:p>
    <w:p>
      <w:pPr>
        <w:ind w:left="1680" w:right="559" w:hanging="4"/>
        <w:spacing w:after="0" w:line="250" w:lineRule="auto"/>
        <w:tabs>
          <w:tab w:leader="none" w:pos="1871"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makes payments in Renminbi on behalf of a third party in exchange for repayments in a foreign currency, such person may be subject to a fine of not more than 30% of the illegal payment. In severe cases, the fine could be increased to 100% of the illegal payment. If any of our shareholders or affiliates to whom SAFE regulations are applicable violates any of the foreign exchange policies, it may be subject to penalties from the relevant PRC authorities. Historically, certain minority shareholders invested in our company through payments in Renminbi to the VIE in lieu of payments in U.S. dollars outside of the PRC. In an uncertain event that we are deemed to have participated in our shareholders’ actions that are not in compliance with the relevant foreign exchange policies by the PRC regulatory authorities, we could be subject to restrictions on our ability to convert foreign currencies into Renminbi or vice versa, as well as monetary penalties. If the PRC foreign exchange control system prevents us from converting foreign currencies into Renminbi or vice versa, our ability to obtain sufficient foreign currencies to satisfy our foreign currency demands may be materially and adversely affected. For example, we may not be able to pay dividends in foreign currencies to our shareholders, including holders of our ADSs, and we may also encounter difficulties in remitting proceeds from our overseas financings and our revenue from the transactions with our overseas customers.</w:t>
      </w:r>
    </w:p>
    <w:p>
      <w:pPr>
        <w:spacing w:after="0" w:line="217" w:lineRule="exact"/>
        <w:rPr>
          <w:sz w:val="20"/>
          <w:szCs w:val="20"/>
          <w:color w:val="auto"/>
        </w:rPr>
      </w:pPr>
    </w:p>
    <w:p>
      <w:pPr>
        <w:ind w:left="1680" w:right="83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Failure to comply with PRC regulations regarding the registration requirements for employee stock ownership plans or share option plans may subject the PRC plan participants or us to fines and other legal or administrative sanctions.</w:t>
      </w:r>
    </w:p>
    <w:p>
      <w:pPr>
        <w:spacing w:after="0" w:line="6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52</w:t>
      </w:r>
    </w:p>
    <w:p>
      <w:pPr>
        <w:sectPr>
          <w:pgSz w:w="11900" w:h="16838" w:orient="portrait"/>
          <w:cols w:equalWidth="0" w:num="1">
            <w:col w:w="10159"/>
          </w:cols>
          <w:pgMar w:left="300" w:top="388"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559" w:firstLine="317"/>
        <w:spacing w:after="0" w:line="252" w:lineRule="auto"/>
        <w:rPr>
          <w:sz w:val="20"/>
          <w:szCs w:val="20"/>
          <w:color w:val="auto"/>
        </w:rPr>
      </w:pPr>
      <w:r>
        <w:rPr>
          <w:rFonts w:ascii="Times New Roman" w:cs="Times New Roman" w:eastAsia="Times New Roman" w:hAnsi="Times New Roman"/>
          <w:sz w:val="13"/>
          <w:szCs w:val="13"/>
          <w:color w:val="auto"/>
        </w:rPr>
        <w:t>Pursuant to SAFE Circular 37, PRC residents who participate in share incentive plans in overseas non-publicly-listed companies may submit applications to SAFE or its local branches for the foreign exchange registration with respect to offshore special purpose companies. In the meantime, our directors, executive officers and other employees who are PRC citizens or who are non-PRC residents residing in the PRC for a continuous period of not less than one year, and who have been granted incentive share awards by us, may follow the Notices on Issues Concerning the Foreign Exchange Administration for Domestic Individuals Participating in Stock Incentive Plan of Overseas Publicly-Listed Company, promulgated by the SAFE in 2012. Pursuant to the 2012 SAFE notices, PRC citizens and non-PRC citizens who reside in China for a continuous period of not less than one year who participate in any stock incentive plan of an overseas publicly listed company, are required to register with SAFE through a domestic qualified agent, which could be the PRC subsidiary of such overseas listed company, and complete certain other procedures. In addition, an overseas entrusted institution must be retained to handle matters in connection with the exercise or sale of stock options and the purchase or sale of shares and interests. We and our executive officers and other employees who are PRC citizens or who reside in the PRC for a continuous period of not less than one year and who have been granted restricted share units are subject to these regulations as our company has become an overseas listed company. Failure to complete the SAFE registrations may subject us to fines, and legal sanctions and may also limit our ability to contribute additional capital into our PRC subsidiaries and limit the ability of our PRC subsidiaries to distribute dividends to us. We also face regulatory uncertainties that could restrict our abilities to adopt additional incentive plans for our directors, executive officers and employees under PRC laws.</w:t>
      </w:r>
    </w:p>
    <w:p>
      <w:pPr>
        <w:spacing w:after="0" w:line="137" w:lineRule="exact"/>
        <w:rPr>
          <w:sz w:val="20"/>
          <w:szCs w:val="20"/>
          <w:color w:val="auto"/>
        </w:rPr>
      </w:pPr>
    </w:p>
    <w:p>
      <w:pPr>
        <w:ind w:left="1680" w:right="759" w:firstLine="317"/>
        <w:spacing w:after="0" w:line="264" w:lineRule="auto"/>
        <w:rPr>
          <w:sz w:val="20"/>
          <w:szCs w:val="20"/>
          <w:color w:val="auto"/>
        </w:rPr>
      </w:pPr>
      <w:r>
        <w:rPr>
          <w:rFonts w:ascii="Times New Roman" w:cs="Times New Roman" w:eastAsia="Times New Roman" w:hAnsi="Times New Roman"/>
          <w:sz w:val="13"/>
          <w:szCs w:val="13"/>
          <w:color w:val="auto"/>
        </w:rPr>
        <w:t>The State Administration of Taxation, or SAT, has issued certain circulars concerning employee share options and restricted shares. If our employees fail to pay or we fail to withhold their income taxes according to relevant laws and regulations, we may face sanctions imposed by the tax authorities or other PRC governmental authorities.</w:t>
      </w:r>
    </w:p>
    <w:p>
      <w:pPr>
        <w:spacing w:after="0" w:line="203" w:lineRule="exact"/>
        <w:rPr>
          <w:sz w:val="20"/>
          <w:szCs w:val="20"/>
          <w:color w:val="auto"/>
        </w:rPr>
      </w:pPr>
    </w:p>
    <w:p>
      <w:pPr>
        <w:ind w:left="1680" w:right="87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Discontinuation of any of the preferential tax treatments and government subsidies or imposition of any additional taxes and surcharges could adversely affect our financial condition and results of operations.</w:t>
      </w:r>
    </w:p>
    <w:p>
      <w:pPr>
        <w:spacing w:after="0" w:line="38" w:lineRule="exact"/>
        <w:rPr>
          <w:sz w:val="20"/>
          <w:szCs w:val="20"/>
          <w:color w:val="auto"/>
        </w:rPr>
      </w:pPr>
    </w:p>
    <w:p>
      <w:pPr>
        <w:ind w:left="1680" w:right="719" w:firstLine="317"/>
        <w:spacing w:after="0" w:line="257" w:lineRule="auto"/>
        <w:rPr>
          <w:sz w:val="20"/>
          <w:szCs w:val="20"/>
          <w:color w:val="auto"/>
        </w:rPr>
      </w:pPr>
      <w:r>
        <w:rPr>
          <w:rFonts w:ascii="Times New Roman" w:cs="Times New Roman" w:eastAsia="Times New Roman" w:hAnsi="Times New Roman"/>
          <w:sz w:val="13"/>
          <w:szCs w:val="13"/>
          <w:color w:val="auto"/>
        </w:rPr>
        <w:t>Each of EHang Intelligent and EHang GZ is currently qualified as a high and new technology enterprise, or HNTE, and as such is eligible for a 15% preferential tax rate, which will expire in December 2023 and December 2022, respectively. The qualification of HNTE for EHang Egret has expired in November 2021. The discontinuation of any of the preferential income tax treatment that we currently enjoy could have a material and adverse effect on our result of operations and financial condition. We cannot assure you that we will be able to maintain or lower our current effective tax rate in the future.</w:t>
      </w:r>
    </w:p>
    <w:p>
      <w:pPr>
        <w:spacing w:after="0" w:line="133" w:lineRule="exact"/>
        <w:rPr>
          <w:sz w:val="20"/>
          <w:szCs w:val="20"/>
          <w:color w:val="auto"/>
        </w:rPr>
      </w:pPr>
    </w:p>
    <w:p>
      <w:pPr>
        <w:ind w:left="1680" w:right="599" w:firstLine="317"/>
        <w:spacing w:after="0" w:line="264" w:lineRule="auto"/>
        <w:rPr>
          <w:sz w:val="20"/>
          <w:szCs w:val="20"/>
          <w:color w:val="auto"/>
        </w:rPr>
      </w:pPr>
      <w:r>
        <w:rPr>
          <w:rFonts w:ascii="Times New Roman" w:cs="Times New Roman" w:eastAsia="Times New Roman" w:hAnsi="Times New Roman"/>
          <w:sz w:val="13"/>
          <w:szCs w:val="13"/>
          <w:color w:val="auto"/>
        </w:rPr>
        <w:t>Our PRC subsidiaries have received various financial subsidies from PRC local government authorities. The financial subsidiaries result from discretionary incentives and policies adopted by PRC local government authorities. The discontinuation of such financial subsidies or imposition of any additional taxes could adversely affect our financial condition and results of operations.</w:t>
      </w:r>
    </w:p>
    <w:p>
      <w:pPr>
        <w:spacing w:after="0" w:line="203" w:lineRule="exact"/>
        <w:rPr>
          <w:sz w:val="20"/>
          <w:szCs w:val="20"/>
          <w:color w:val="auto"/>
        </w:rPr>
      </w:pPr>
    </w:p>
    <w:p>
      <w:pPr>
        <w:ind w:left="1680" w:right="67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If we are classified as a PRC resident enterprise for PRC income tax purposes, such classification could result in unfavorable tax consequences to us and our non-PRC shareholders or ADS holders.</w:t>
      </w:r>
    </w:p>
    <w:p>
      <w:pPr>
        <w:spacing w:after="0" w:line="38" w:lineRule="exact"/>
        <w:rPr>
          <w:sz w:val="20"/>
          <w:szCs w:val="20"/>
          <w:color w:val="auto"/>
        </w:rPr>
      </w:pPr>
    </w:p>
    <w:p>
      <w:pPr>
        <w:ind w:left="1680" w:right="539" w:firstLine="317"/>
        <w:spacing w:after="0" w:line="251" w:lineRule="auto"/>
        <w:rPr>
          <w:sz w:val="20"/>
          <w:szCs w:val="20"/>
          <w:color w:val="auto"/>
        </w:rPr>
      </w:pPr>
      <w:r>
        <w:rPr>
          <w:rFonts w:ascii="Times New Roman" w:cs="Times New Roman" w:eastAsia="Times New Roman" w:hAnsi="Times New Roman"/>
          <w:sz w:val="13"/>
          <w:szCs w:val="13"/>
          <w:color w:val="auto"/>
        </w:rPr>
        <w:t>Under the PRC Enterprise Income Tax Law and its implementation rules, an enterprise established outside of the PRC with its “de facto management body” within the PRC is considered a “resident enterprise” and will be subject to PRC enterprise income tax on its global income at the rate of 25%. The implementation rules define the term “de facto management body” as the body that exercises full and substantial control and overall management over the business, production, personnel, accounts and properties of an enterprise. In 2009, the State Administration of Taxation issued a circular, known as SAT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State Administration of Taxation’s general position on how the “de facto management body” text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w:t>
      </w:r>
    </w:p>
    <w:p>
      <w:pPr>
        <w:spacing w:after="0" w:line="4" w:lineRule="exact"/>
        <w:rPr>
          <w:sz w:val="20"/>
          <w:szCs w:val="20"/>
          <w:color w:val="auto"/>
        </w:rPr>
      </w:pPr>
    </w:p>
    <w:p>
      <w:pPr>
        <w:ind w:left="1680" w:right="699" w:hanging="4"/>
        <w:spacing w:after="0" w:line="254" w:lineRule="auto"/>
        <w:tabs>
          <w:tab w:leader="none" w:pos="1871"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26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53</w:t>
      </w:r>
    </w:p>
    <w:p>
      <w:pPr>
        <w:sectPr>
          <w:pgSz w:w="11900" w:h="16838" w:orient="portrait"/>
          <w:cols w:equalWidth="0" w:num="1">
            <w:col w:w="10159"/>
          </w:cols>
          <w:pgMar w:left="300" w:top="388"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559" w:firstLine="317"/>
        <w:spacing w:after="0" w:line="253" w:lineRule="auto"/>
        <w:rPr>
          <w:sz w:val="20"/>
          <w:szCs w:val="20"/>
          <w:color w:val="auto"/>
        </w:rPr>
      </w:pPr>
      <w:r>
        <w:rPr>
          <w:rFonts w:ascii="Times New Roman" w:cs="Times New Roman" w:eastAsia="Times New Roman" w:hAnsi="Times New Roman"/>
          <w:sz w:val="13"/>
          <w:szCs w:val="13"/>
          <w:color w:val="auto"/>
        </w:rPr>
        <w:t>We believe none of our entities outside of China is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we are a PRC resident enterprise for enterprise income tax purposes, we will be subject to the enterprise income tax on our global income at the rate of 25% and we will be required to comply with PRC enterprise income tax reporting obligations. In addition, gains realized sale or other disposition of the ADSs or ordinary shares may be subject to PRC tax at a rate of 10% (in the case of non-PRC enterprise) or 20% in the case of non-PRC individuals (in each case, subject to the provisions of any applicable tax treaty), if such gains are deemed to be from PRC sources. These rates may be reduced by an applicable tax treaty, but it is unclear whether non-PRC shareholders of EHang Intelligent would be able to claim the benefits of any tax treaties between their country of tax residence and the PRC in the event that EHang Intelligent is treated as a PRC resident enterprise. Any such PRC tax may reduce the returns on your investment in the ADSs.</w:t>
      </w:r>
    </w:p>
    <w:p>
      <w:pPr>
        <w:spacing w:after="0" w:line="212" w:lineRule="exact"/>
        <w:rPr>
          <w:sz w:val="20"/>
          <w:szCs w:val="20"/>
          <w:color w:val="auto"/>
        </w:rPr>
      </w:pPr>
    </w:p>
    <w:p>
      <w:pPr>
        <w:ind w:left="1680" w:right="61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We may not be able to obtain certain benefits under the relevant tax treaty on dividends paid by our PRC subsidiaries to us through our Hong Kong subsidiary.</w:t>
      </w:r>
    </w:p>
    <w:p>
      <w:pPr>
        <w:spacing w:after="0" w:line="38" w:lineRule="exact"/>
        <w:rPr>
          <w:sz w:val="20"/>
          <w:szCs w:val="20"/>
          <w:color w:val="auto"/>
        </w:rPr>
      </w:pPr>
    </w:p>
    <w:p>
      <w:pPr>
        <w:ind w:left="1680" w:right="539" w:firstLine="317"/>
        <w:spacing w:after="0" w:line="251" w:lineRule="auto"/>
        <w:rPr>
          <w:sz w:val="20"/>
          <w:szCs w:val="20"/>
          <w:color w:val="auto"/>
        </w:rPr>
      </w:pPr>
      <w:r>
        <w:rPr>
          <w:rFonts w:ascii="Times New Roman" w:cs="Times New Roman" w:eastAsia="Times New Roman" w:hAnsi="Times New Roman"/>
          <w:sz w:val="13"/>
          <w:szCs w:val="13"/>
          <w:color w:val="auto"/>
        </w:rPr>
        <w:t>We are a holding company incorporated under the laws of the Cayman Islands and as such rely on dividends and other distributions on equity from our PRC subsidiaries to satisfy part of our liquidity requirements. Pursuant to the PRC Enterprise Income Tax Law, a withholding tax rate of 10% currently applies to dividends paid by a PRC “resident enterprise” to a foreign enterprise investor, unless any such foreign investor’s jurisdiction of incorporation has a tax treaty with China that provides for preferential tax treatment. Pursuant to the Arrangement between the Mainland China and the Hong Kong Special Administrative Region for the Avoidance of Double Taxation and Tax Evasion on Income, such withholding tax rate may be lowered to 5% if a Hong Kong resident enterprise owns no less than 25% of a PRC enterprise. Furthermore, the Administrative Measures for Non-Resident Enterprises to Enjoy Treatments under Tax Treaties, which became effective in August 2015, require non-resident enterprises to determine whether they are qualified to enjoy the preferential tax treatment under the tax treaties and file relevant report and materials with the tax authorities. There are also other conditions for enjoying the reduced withholding tax rate according to other relevant tax rules and regulations. See “Item 10. Additional Information—E. Taxation—PRC Taxation.” As of December 31, 2021, our PRC subsidiaries and the VIE located in the PRC reported accumulated loss and therefore they had no retained earnings for offshore distribution. In the future, we intend to re-invest all earnings, if any, generated from our PRC subsidiaries for the operation and expansion of our business in China. Should our tax policy change to allow for offshore distribution of our earnings, we would be subject to a significant withholding tax. We cannot assure you that our determination regarding our qualification to enjoy the preferential tax treatment could be challenged by the relevant tax authority and we may be unable to complete the necessary filings with the relevant tax authority and enjoy the preferential withholding tax rate of 5% under the arrangement with respect to dividends to be paid by our PRC subsidiary to our Hong Kong subsidiary.</w:t>
      </w:r>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We face uncertainty with respect to indirect transfers of equity interests in PRC resident enterprises by their non-PRC holding companies.</w:t>
      </w:r>
    </w:p>
    <w:p>
      <w:pPr>
        <w:spacing w:after="0" w:line="88" w:lineRule="exact"/>
        <w:rPr>
          <w:sz w:val="20"/>
          <w:szCs w:val="20"/>
          <w:color w:val="auto"/>
        </w:rPr>
      </w:pPr>
    </w:p>
    <w:p>
      <w:pPr>
        <w:ind w:left="1680" w:right="579" w:firstLine="317"/>
        <w:spacing w:after="0" w:line="251" w:lineRule="auto"/>
        <w:rPr>
          <w:sz w:val="20"/>
          <w:szCs w:val="20"/>
          <w:color w:val="auto"/>
        </w:rPr>
      </w:pPr>
      <w:r>
        <w:rPr>
          <w:rFonts w:ascii="Times New Roman" w:cs="Times New Roman" w:eastAsia="Times New Roman" w:hAnsi="Times New Roman"/>
          <w:sz w:val="13"/>
          <w:szCs w:val="13"/>
          <w:color w:val="auto"/>
        </w:rPr>
        <w:t>In February 2015, the State Administration of Taxation issued the Public Notice Regarding Certain Enterprise Income Tax Matters on Indirect Transfer of Properties by Non-Resident Enterprises, or SAT Public Notice 7. SAT Public Notice 7 extends its tax jurisdiction to not only indirect transfers but also transactions involving transfer of other taxable assets, through the offshore transfer of a foreign intermediate holding company. In addition, SAT Public Notice 7 provides certain criteria on how to assess reasonable commercial purposes and has introduced safe harbors for internal group restructurings and the purchase and sale of equity through a public securities market. SAT Public Notice 7 also brings challenges to both the foreign transferor and transferee (or other person who is obligated to pay for the transfer) of the taxable assets. Where a non-resident enterprise conducts an “indirect transfer” by transferring the taxable assets indirectly by disposing of the equity interests of an overseas holding company, the non-resident enterprise being the transferor, or the transferee, or the PRC entity which directly owned the taxable assets must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(subject to available preferential tax treatment under applicable tax treaties or similar arrangements) for the transfer of equity interests in a PRC resident enterprise. On October 17, 2017, the SAT issued the Announcement of the State Administration of Taxation on Issues Concerning the Withholding of Non-resident Enterprise Income Tax at Source, or SAT Bulletin 37, which came into effect on December 1, 2017. The SAT Bulletin 37 further clarifies the practice and procedure of the withholding of nonresident enterprise income tax.</w:t>
      </w:r>
    </w:p>
    <w:p>
      <w:pPr>
        <w:spacing w:after="0" w:line="27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54</w:t>
      </w:r>
    </w:p>
    <w:p>
      <w:pPr>
        <w:sectPr>
          <w:pgSz w:w="11900" w:h="16838" w:orient="portrait"/>
          <w:cols w:equalWidth="0" w:num="1">
            <w:col w:w="10159"/>
          </w:cols>
          <w:pgMar w:left="300" w:top="388"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539" w:firstLine="317"/>
        <w:spacing w:after="0" w:line="255" w:lineRule="auto"/>
        <w:rPr>
          <w:sz w:val="20"/>
          <w:szCs w:val="20"/>
          <w:color w:val="auto"/>
        </w:rPr>
      </w:pPr>
      <w:r>
        <w:rPr>
          <w:rFonts w:ascii="Times New Roman" w:cs="Times New Roman" w:eastAsia="Times New Roman" w:hAnsi="Times New Roman"/>
          <w:sz w:val="13"/>
          <w:szCs w:val="13"/>
          <w:color w:val="auto"/>
        </w:rPr>
        <w:t>We face uncertainties on the reporting and consequences of future private equity financing transactions, share exchanges or other transactions involving the transfer of shares in our company by investors that are non-PRC resident enterprises. The PRC tax authorities may pursue such non-resident enterprises with respect to a filing or the transferees with respect to withholding obligation, and request our PRC subsidiaries to assist in the filing. As a result, we and non-resident enterprises in such transactions may risk being subject to filing obligations or being taxed under SAT Public Notice 7 and SAT Bulletin 37, and may be required to expend valuable resources to comply with them or to establish that we and our non-resident enterprises should not be taxed under these regulations, which may have a material adverse effect on our financial condition and results of operations.</w:t>
      </w:r>
    </w:p>
    <w:p>
      <w:pPr>
        <w:spacing w:after="0" w:line="210" w:lineRule="exact"/>
        <w:rPr>
          <w:sz w:val="20"/>
          <w:szCs w:val="20"/>
          <w:color w:val="auto"/>
        </w:rPr>
      </w:pPr>
    </w:p>
    <w:p>
      <w:pPr>
        <w:ind w:left="1680" w:right="63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If the custodians or authorized users of controlling non-tangible assets of our company, including our corporate chops and seals, fail to fulfill their responsibilities, or misappropriate or misuse these assets, our business and operations could be materially and adversely affected.</w:t>
      </w:r>
    </w:p>
    <w:p>
      <w:pPr>
        <w:spacing w:after="0" w:line="38" w:lineRule="exact"/>
        <w:rPr>
          <w:sz w:val="20"/>
          <w:szCs w:val="20"/>
          <w:color w:val="auto"/>
        </w:rPr>
      </w:pPr>
    </w:p>
    <w:p>
      <w:pPr>
        <w:ind w:left="1680" w:right="779" w:firstLine="317"/>
        <w:spacing w:after="0" w:line="278" w:lineRule="auto"/>
        <w:rPr>
          <w:sz w:val="20"/>
          <w:szCs w:val="20"/>
          <w:color w:val="auto"/>
        </w:rPr>
      </w:pPr>
      <w:r>
        <w:rPr>
          <w:rFonts w:ascii="Times New Roman" w:cs="Times New Roman" w:eastAsia="Times New Roman" w:hAnsi="Times New Roman"/>
          <w:sz w:val="13"/>
          <w:szCs w:val="13"/>
          <w:color w:val="auto"/>
        </w:rPr>
        <w:t>Under PRC law, legal documents for corporate transactions are executed using the chops or seal of the signing entity or with the signature of a legal representative whose designation is registered and filed with the relevant branch of the Administration of Market Regulation.</w:t>
      </w:r>
    </w:p>
    <w:p>
      <w:pPr>
        <w:spacing w:after="0" w:line="121" w:lineRule="exact"/>
        <w:rPr>
          <w:sz w:val="20"/>
          <w:szCs w:val="20"/>
          <w:color w:val="auto"/>
        </w:rPr>
      </w:pPr>
    </w:p>
    <w:p>
      <w:pPr>
        <w:ind w:left="1680" w:right="559" w:firstLine="317"/>
        <w:spacing w:after="0" w:line="254" w:lineRule="auto"/>
        <w:rPr>
          <w:sz w:val="20"/>
          <w:szCs w:val="20"/>
          <w:color w:val="auto"/>
        </w:rPr>
      </w:pPr>
      <w:r>
        <w:rPr>
          <w:rFonts w:ascii="Times New Roman" w:cs="Times New Roman" w:eastAsia="Times New Roman" w:hAnsi="Times New Roman"/>
          <w:sz w:val="13"/>
          <w:szCs w:val="13"/>
          <w:color w:val="auto"/>
        </w:rPr>
        <w:t>Although we usually utilize chops to enter into contracts, the designated legal representatives of each of our PRC subsidiaries, VIE and its subsidiaries have the apparent authority to enter into contracts on behalf of such entities without chops and bind such entities. All designated legal representatives of our PRC subsidiaries, variable interest entity and its subsidiaries are members of our senior management team who have signed employment agreements with us or our PRC subsidiaries, VIE and its subsidiaries under which they agree to abide by various duties they owe to us. In order to maintain the physical security of our chops and chops of our PRC entities, we generally store these items in secured locations accessible only by the authorized personnel in the legal or finance department of each of our subsidiaries, VIE and its subsidiaries. Although we monitor such authorized personnel, there is no assurance such procedures will prevent all instances of abuse or negligence.</w:t>
      </w:r>
    </w:p>
    <w:p>
      <w:pPr>
        <w:spacing w:after="0" w:line="138" w:lineRule="exact"/>
        <w:rPr>
          <w:sz w:val="20"/>
          <w:szCs w:val="20"/>
          <w:color w:val="auto"/>
        </w:rPr>
      </w:pPr>
    </w:p>
    <w:p>
      <w:pPr>
        <w:ind w:left="1680" w:right="599" w:firstLine="317"/>
        <w:spacing w:after="0" w:line="253" w:lineRule="auto"/>
        <w:rPr>
          <w:sz w:val="20"/>
          <w:szCs w:val="20"/>
          <w:color w:val="auto"/>
        </w:rPr>
      </w:pPr>
      <w:r>
        <w:rPr>
          <w:rFonts w:ascii="Times New Roman" w:cs="Times New Roman" w:eastAsia="Times New Roman" w:hAnsi="Times New Roman"/>
          <w:sz w:val="13"/>
          <w:szCs w:val="13"/>
          <w:color w:val="auto"/>
        </w:rPr>
        <w:t>Accordingly, if any of our authorized personnel misuse or misappropriate our corporate chops or seals, we could encounter difficulties in maintaining control over the relevant entities and experience significant disruption to our operations. If a designated legal representative obtains control of the chops in an effort to obtain control over any of our PRC subsidiaries, VIE or its subsidiaries, we or our PRC subsidiaries, VIE and its subsidiaries would need to pass a new shareholders or board resolution to designate a new legal representative and we would need to take legal action to seek the return of the chops, apply for new chops with the relevant authorities, or otherwise seek legal redress for the violation of the representative’s fiduciary duties to us, which could involve significant time and resources and divert management attention away from our regular business. In addition, the affected entity may not be able to recover corporate assets that are sold or transferred out of our control in the event of such a misappropriation if a transferee relies on the apparent authority of the representative and acts in good faith.</w:t>
      </w:r>
    </w:p>
    <w:p>
      <w:pPr>
        <w:spacing w:after="0" w:line="214" w:lineRule="exact"/>
        <w:rPr>
          <w:sz w:val="20"/>
          <w:szCs w:val="20"/>
          <w:color w:val="auto"/>
        </w:rPr>
      </w:pPr>
    </w:p>
    <w:p>
      <w:pPr>
        <w:ind w:left="1680" w:right="61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The PCAOB is currently unable to inspect our auditor in relation to their audit work performed for our financial statements and the inability of the PCAOB to conduct inspections over our auditor deprives our investors with the benefits of such inspections.</w:t>
      </w:r>
    </w:p>
    <w:p>
      <w:pPr>
        <w:spacing w:after="0" w:line="6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55</w:t>
      </w:r>
    </w:p>
    <w:p>
      <w:pPr>
        <w:sectPr>
          <w:pgSz w:w="11900" w:h="16838" w:orient="portrait"/>
          <w:cols w:equalWidth="0" w:num="1">
            <w:col w:w="10159"/>
          </w:cols>
          <w:pgMar w:left="300" w:top="388"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579" w:firstLine="317"/>
        <w:spacing w:after="0" w:line="252" w:lineRule="auto"/>
        <w:rPr>
          <w:sz w:val="20"/>
          <w:szCs w:val="20"/>
          <w:color w:val="auto"/>
        </w:rPr>
      </w:pPr>
      <w:r>
        <w:rPr>
          <w:rFonts w:ascii="Times New Roman" w:cs="Times New Roman" w:eastAsia="Times New Roman" w:hAnsi="Times New Roman"/>
          <w:sz w:val="13"/>
          <w:szCs w:val="13"/>
          <w:color w:val="auto"/>
        </w:rPr>
        <w:t>Our independent registered public accounting firm that issues the audit report included in this annual report, as auditors of companies that are traded publicly in the United States and a firm registered with the Public Company Accounting Oversight Board (United States), or the PCAOB, is subject to laws in the United States pursuant to which the PCAOB conducts regular inspections to assess its compliance with the applicable professional standards. Since our auditors are located in China, a jurisdiction where the PCAOB has been unable to conduct inspections without the approval of the Chinese authorities, our auditors are not currently inspected by the PCAOB. On December 7, 2018, the SEC and the PCAOB issued a joint statement highlighting continued challenges faced by the U.S. regulators in their oversight of financial statement audits of U.S.-listed companies with significant operations in China. On April 21, 2020, the SEC and the PCAOB issued another joint statement reiterating the greater risk that disclosures will be insufficient in many emerging markets, including China, compared with those made by U.S. domestic companies. In discussing the specific issues related to the greater risk, the statement again highlights the PCAOB’s inability to inspect audit work paper and practices of accounting firms in China, with respect to their audit work of U.S. reporting companies. These statements reflect a heightened interest in an issue that has vexed U.S. regulators in recent years.</w:t>
      </w:r>
    </w:p>
    <w:p>
      <w:pPr>
        <w:spacing w:after="0" w:line="141" w:lineRule="exact"/>
        <w:rPr>
          <w:sz w:val="20"/>
          <w:szCs w:val="20"/>
          <w:color w:val="auto"/>
        </w:rPr>
      </w:pPr>
    </w:p>
    <w:p>
      <w:pPr>
        <w:ind w:left="1680" w:right="559" w:firstLine="317"/>
        <w:spacing w:after="0" w:line="253" w:lineRule="auto"/>
        <w:rPr>
          <w:sz w:val="20"/>
          <w:szCs w:val="20"/>
          <w:color w:val="auto"/>
        </w:rPr>
      </w:pPr>
      <w:r>
        <w:rPr>
          <w:rFonts w:ascii="Times New Roman" w:cs="Times New Roman" w:eastAsia="Times New Roman" w:hAnsi="Times New Roman"/>
          <w:sz w:val="13"/>
          <w:szCs w:val="13"/>
          <w:color w:val="auto"/>
        </w:rPr>
        <w:t>Inspections of other firms that the PCAOB has conducted outside China have identified deficiencies in those firms’ audit procedures and quality control procedures, which may be addressed as part of the inspection process to improve future audit quality. The lack of PCAOB inspections in China prevents the PCAOB from fully evaluating audits and quality control procedures of our independent registered public accounting firm. As a result, we and investors in our ordinary shares are deprived of the benefits of such PCAOB inspections. The inability of the PCAOB to conduct inspections of auditors in China makes it more difficult to evaluate the effectiveness of our independent registered public accounting firm’s audit procedures or quality control procedures as compared to auditors outside of China that are subject to the PCAOB inspections, which could cause investors and potential investors in our stock to lose confidence in our audit procedures and reported financial information and the quality of our financial statements. As part of our continued efforts to ensure accuracy and high quality of our financial reporting, our audit committee is fully aware of the lack of PCAOB inspection issue and periodically communicates with our independent auditor to oversee and evaluate the audit procedures and status.</w:t>
      </w:r>
    </w:p>
    <w:p>
      <w:pPr>
        <w:spacing w:after="0" w:line="212" w:lineRule="exact"/>
        <w:rPr>
          <w:sz w:val="20"/>
          <w:szCs w:val="20"/>
          <w:color w:val="auto"/>
        </w:rPr>
      </w:pPr>
    </w:p>
    <w:p>
      <w:pPr>
        <w:ind w:left="1680" w:right="75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Proceedings instituted by the SEC against “big four” PRC-based accounting firms, including our independent registered public accounting firm, could result in financial statements being determined to not be in compliance with the requirements of the Exchange Act.</w:t>
      </w:r>
    </w:p>
    <w:p>
      <w:pPr>
        <w:spacing w:after="0" w:line="38" w:lineRule="exact"/>
        <w:rPr>
          <w:sz w:val="20"/>
          <w:szCs w:val="20"/>
          <w:color w:val="auto"/>
        </w:rPr>
      </w:pPr>
    </w:p>
    <w:p>
      <w:pPr>
        <w:ind w:left="1680" w:right="559" w:firstLine="317"/>
        <w:spacing w:after="0" w:line="257" w:lineRule="auto"/>
        <w:rPr>
          <w:sz w:val="20"/>
          <w:szCs w:val="20"/>
          <w:color w:val="auto"/>
        </w:rPr>
      </w:pPr>
      <w:r>
        <w:rPr>
          <w:rFonts w:ascii="Times New Roman" w:cs="Times New Roman" w:eastAsia="Times New Roman" w:hAnsi="Times New Roman"/>
          <w:sz w:val="13"/>
          <w:szCs w:val="13"/>
          <w:color w:val="auto"/>
        </w:rPr>
        <w:t>Starting in 2011 “big four” PRC-based accounting firms, including our independent registered public accounting firm, were affected by a conflict between U.S. and Chinese law. Specifically, for certain U.S.-listed companies operating and audited in mainland China, the SEC and the PCAOB sought to obtain from the Chinese firms access to their audit work papers and related documents. The firms were, however, advised and directed that under Chinese law, they could not respond directly to the U.S. regulators on those requests, and that requests by foreign regulators for access to such papers in China had to be channeled through the CSRC.</w:t>
      </w:r>
    </w:p>
    <w:p>
      <w:pPr>
        <w:spacing w:after="0" w:line="133" w:lineRule="exact"/>
        <w:rPr>
          <w:sz w:val="20"/>
          <w:szCs w:val="20"/>
          <w:color w:val="auto"/>
        </w:rPr>
      </w:pPr>
    </w:p>
    <w:p>
      <w:pPr>
        <w:ind w:left="1680" w:right="599" w:firstLine="317"/>
        <w:spacing w:after="0" w:line="251" w:lineRule="auto"/>
        <w:rPr>
          <w:sz w:val="20"/>
          <w:szCs w:val="20"/>
          <w:color w:val="auto"/>
        </w:rPr>
      </w:pPr>
      <w:r>
        <w:rPr>
          <w:rFonts w:ascii="Times New Roman" w:cs="Times New Roman" w:eastAsia="Times New Roman" w:hAnsi="Times New Roman"/>
          <w:sz w:val="13"/>
          <w:szCs w:val="13"/>
          <w:color w:val="auto"/>
        </w:rPr>
        <w:t>In late 2012, this impasse led the SEC to commence administrative proceedings under Rule 102(e) of its Rules of Practice and also under the Sarbanes-Oxley Act of 2002 against the Chinese accounting firms, including our independent registered public accounting firm. A first instance trial of the proceedings in July 2013 in the SEC’s internal administrative court resulted in an adverse judgment against the firms. The administrative law judge proposed penalties on the firms including a temporary suspension of their right to practice before the SEC, although that proposed penalty did not take effect pending review by the Commissioners of the SEC. On February 6, 2015, before a review by the Commissioner had taken place, the firms reached a settlement with the SEC. Under the settlement, the SEC accepted that future requests by the SEC for the production of documents will normally be made to the CSRC. The firms were to receive matching Section 106 requests, and were required to abide by a detailed set of procedures with respect to such requests, which in substance require them to facilitate production via the CSRC. If they failed to meet specified criteria, the SEC retained authority to impose a variety of additional remedial measures on the firms depending on the nature of the failure. Under the terms of the settlement, the underlying proceeding against the four China-based accounting firms was deemed dismissed with prejudice four years after entry of the settlement. The four-year mark occurred on February 6, 2019. While we cannot predict if the SEC will further challenge the four China-based accounting firms’ compliance with U.S. law in connection with U.S. regulatory requests for audit work papers or if the results of such a challenge would result in the SEC imposing penalties such as suspensions. If additional remedial measures are imposed on the “big four” PRC-based accounting firms, including our independent registered public accounting firm, we could be unable to timely file future financial statements in compliance with the requirements of the Exchange Act.</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56</w:t>
      </w:r>
    </w:p>
    <w:p>
      <w:pPr>
        <w:sectPr>
          <w:pgSz w:w="11900" w:h="16838" w:orient="portrait"/>
          <w:cols w:equalWidth="0" w:num="1">
            <w:col w:w="10159"/>
          </w:cols>
          <w:pgMar w:left="300" w:top="388"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619" w:firstLine="317"/>
        <w:spacing w:after="0" w:line="257" w:lineRule="auto"/>
        <w:rPr>
          <w:sz w:val="20"/>
          <w:szCs w:val="20"/>
          <w:color w:val="auto"/>
        </w:rPr>
      </w:pPr>
      <w:r>
        <w:rPr>
          <w:rFonts w:ascii="Times New Roman" w:cs="Times New Roman" w:eastAsia="Times New Roman" w:hAnsi="Times New Roman"/>
          <w:sz w:val="13"/>
          <w:szCs w:val="13"/>
          <w:color w:val="auto"/>
        </w:rPr>
        <w:t>If our independent registered public accounting firm was denied, even temporarily, the ability to practice before the SEC and we were unable to timely find another registered public accounting firm to audit and issue an opinion on our financial statements, our financial statements could be determined not to be in compliance with the requirements of the Exchange Act. Such a determination could ultimately lead to the delisting of the ADSs from the Nasdaq Global Market or deregistration from the SEC, or both, which would substantially reduce or effectively terminate the trading of the ADSs in the United States.</w:t>
      </w:r>
    </w:p>
    <w:p>
      <w:pPr>
        <w:spacing w:after="0" w:line="20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Risks Relating to the ADSs and Trading Market</w:t>
      </w:r>
    </w:p>
    <w:p>
      <w:pPr>
        <w:spacing w:after="0" w:line="8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The trading price of the ADSs is likely to be volatile, which could result in substantial losses to investors.</w:t>
      </w:r>
    </w:p>
    <w:p>
      <w:pPr>
        <w:spacing w:after="0" w:line="8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Since our ADSs became listed on the Nasdaq Global Market on December 12, 2019, the trading price of our ADSs has ranged from a low of</w:t>
      </w:r>
    </w:p>
    <w:p>
      <w:pPr>
        <w:spacing w:after="0" w:line="18" w:lineRule="exact"/>
        <w:rPr>
          <w:sz w:val="20"/>
          <w:szCs w:val="20"/>
          <w:color w:val="auto"/>
        </w:rPr>
      </w:pPr>
    </w:p>
    <w:p>
      <w:pPr>
        <w:ind w:left="1680" w:right="559"/>
        <w:spacing w:after="0" w:line="252" w:lineRule="auto"/>
        <w:rPr>
          <w:sz w:val="20"/>
          <w:szCs w:val="20"/>
          <w:color w:val="auto"/>
        </w:rPr>
      </w:pPr>
      <w:r>
        <w:rPr>
          <w:rFonts w:ascii="Times New Roman" w:cs="Times New Roman" w:eastAsia="Times New Roman" w:hAnsi="Times New Roman"/>
          <w:sz w:val="13"/>
          <w:szCs w:val="13"/>
          <w:color w:val="auto"/>
        </w:rPr>
        <w:t>US$7.59 to a high of US$129.80 per ADS. The trading price of the ADSs is likely to be volatile and could fluctuate widely due to multiple factors, some of which are beyond our control. This may happen because of broad market and industry factors, including the performance and fluctuation of the market prices of other companies with business operations located mainly in China that have listed their securities in the United States. In addition to market and industry factors, the price and trading volume for the ADSs may be highly volatile for factors specific to our own operations, including the following:</w:t>
      </w:r>
    </w:p>
    <w:p>
      <w:pPr>
        <w:spacing w:after="0" w:line="69" w:lineRule="exact"/>
        <w:rPr>
          <w:sz w:val="20"/>
          <w:szCs w:val="20"/>
          <w:color w:val="auto"/>
        </w:rPr>
      </w:pPr>
    </w:p>
    <w:p>
      <w:pPr>
        <w:ind w:left="2380" w:hanging="315"/>
        <w:spacing w:after="0"/>
        <w:tabs>
          <w:tab w:leader="none" w:pos="23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variations in our revenues, earnings and cash flows;</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regulatory developments affecting us, our customers, or our industry;</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announcements of studies and reports relating to the quality of our products and service offerings or those of our competitors;</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announcements of new investments, acquisitions, strategic partnerships or joint ventures by us or our competitors;</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announcements of new products or service offerings and expansions by us or our competitors;</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financial estimates by securities analysts;</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detrimental adverse publicity about us, our products or services or our industry;</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additions or departures of key personnel;</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detrimental negative publicity about us, our management or our industry;</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release of lock-up or other transfer restrictions on our outstanding equity securities or sales of additional equity securities; and</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actual or potential litigation or regulatory investigations.</w:t>
      </w:r>
    </w:p>
    <w:p>
      <w:pPr>
        <w:spacing w:after="0" w:line="11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57</w:t>
      </w:r>
    </w:p>
    <w:p>
      <w:pPr>
        <w:sectPr>
          <w:pgSz w:w="11900" w:h="16838" w:orient="portrait"/>
          <w:cols w:equalWidth="0" w:num="1">
            <w:col w:w="10159"/>
          </w:cols>
          <w:pgMar w:left="300" w:top="388"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Any of these factors may result in large and sudden changes in the volume and price at which the ADSs will trade.</w:t>
      </w:r>
    </w:p>
    <w:p>
      <w:pPr>
        <w:spacing w:after="0" w:line="162" w:lineRule="exact"/>
        <w:rPr>
          <w:sz w:val="20"/>
          <w:szCs w:val="20"/>
          <w:color w:val="auto"/>
        </w:rPr>
      </w:pPr>
    </w:p>
    <w:p>
      <w:pPr>
        <w:ind w:left="1680" w:right="619" w:firstLine="317"/>
        <w:spacing w:after="0" w:line="255" w:lineRule="auto"/>
        <w:rPr>
          <w:sz w:val="20"/>
          <w:szCs w:val="20"/>
          <w:color w:val="auto"/>
        </w:rPr>
      </w:pPr>
      <w:r>
        <w:rPr>
          <w:rFonts w:ascii="Times New Roman" w:cs="Times New Roman" w:eastAsia="Times New Roman" w:hAnsi="Times New Roman"/>
          <w:sz w:val="13"/>
          <w:szCs w:val="13"/>
          <w:color w:val="auto"/>
        </w:rPr>
        <w:t>In the past, shareholders of public companies have often brought securities class action suits against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210" w:lineRule="exact"/>
        <w:rPr>
          <w:sz w:val="20"/>
          <w:szCs w:val="20"/>
          <w:color w:val="auto"/>
        </w:rPr>
      </w:pPr>
    </w:p>
    <w:p>
      <w:pPr>
        <w:ind w:left="1680" w:right="77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38" w:lineRule="exact"/>
        <w:rPr>
          <w:sz w:val="20"/>
          <w:szCs w:val="20"/>
          <w:color w:val="auto"/>
        </w:rPr>
      </w:pPr>
    </w:p>
    <w:p>
      <w:pPr>
        <w:ind w:left="1680" w:right="599" w:firstLine="317"/>
        <w:spacing w:after="0" w:line="254" w:lineRule="auto"/>
        <w:rPr>
          <w:sz w:val="20"/>
          <w:szCs w:val="20"/>
          <w:color w:val="auto"/>
        </w:rPr>
      </w:pPr>
      <w:r>
        <w:rPr>
          <w:rFonts w:ascii="Times New Roman" w:cs="Times New Roman" w:eastAsia="Times New Roman" w:hAnsi="Times New Roman"/>
          <w:sz w:val="13"/>
          <w:szCs w:val="13"/>
          <w:color w:val="auto"/>
        </w:rPr>
        <w:t>Our authorized share capital is divided into Class A ordinary shares and Class B ordinary shares. In respect of matters requiring the votes of shareholders, holders of Class B ordinary shares are entitled to ten votes per share, while holders of Class A ordinary shares are entitled to one vote per share based on our dual-class share structure. Each Class B ordinary share is convertible into one Class A ordinary share at any time by its holder, while Class A ordinary shares are not convertible into Class B ordinary shares under any circumstances. Upon any sale, transfer, assignment or disposition of any Class B ordinary shares by their holder or a change of ultimate beneficial ownership of any Class B ordinary share to any person other than our founder, Mr. Huazhi Hu, or an affiliate controlled by our founder, such Class B ordinary shares shall be automatically and immediately converted into the same number of Class A ordinary shares.</w:t>
      </w:r>
    </w:p>
    <w:p>
      <w:pPr>
        <w:spacing w:after="0" w:line="138" w:lineRule="exact"/>
        <w:rPr>
          <w:sz w:val="20"/>
          <w:szCs w:val="20"/>
          <w:color w:val="auto"/>
        </w:rPr>
      </w:pPr>
    </w:p>
    <w:p>
      <w:pPr>
        <w:ind w:left="1680" w:right="699" w:firstLine="317"/>
        <w:spacing w:after="0" w:line="281" w:lineRule="auto"/>
        <w:rPr>
          <w:sz w:val="20"/>
          <w:szCs w:val="20"/>
          <w:color w:val="auto"/>
        </w:rPr>
      </w:pPr>
      <w:r>
        <w:rPr>
          <w:rFonts w:ascii="Times New Roman" w:cs="Times New Roman" w:eastAsia="Times New Roman" w:hAnsi="Times New Roman"/>
          <w:sz w:val="12"/>
          <w:szCs w:val="12"/>
          <w:color w:val="auto"/>
        </w:rPr>
        <w:t>As of March 31, 2022, Mr. Huazhi Hu, our founder, chairman of the board of directors and chief executive officer, beneficially owned all of our issued Class B ordinary shares. These Class B ordinary shares constituted approximately 35.0% of our total issued and outstanding share capital and</w:t>
      </w:r>
    </w:p>
    <w:p>
      <w:pPr>
        <w:ind w:left="1680" w:right="579"/>
        <w:spacing w:after="0" w:line="259" w:lineRule="auto"/>
        <w:rPr>
          <w:sz w:val="20"/>
          <w:szCs w:val="20"/>
          <w:color w:val="auto"/>
        </w:rPr>
      </w:pPr>
      <w:r>
        <w:rPr>
          <w:rFonts w:ascii="Times New Roman" w:cs="Times New Roman" w:eastAsia="Times New Roman" w:hAnsi="Times New Roman"/>
          <w:sz w:val="13"/>
          <w:szCs w:val="13"/>
          <w:color w:val="auto"/>
        </w:rPr>
        <w:t>84.3% of the aggregate voting power of our total issued and outstanding share capital as of March 31, 2022. See “Item 6. Directors, Senior Management and Employees—E. Principal Shareholders.”</w:t>
      </w:r>
    </w:p>
    <w:p>
      <w:pPr>
        <w:spacing w:after="0" w:line="132" w:lineRule="exact"/>
        <w:rPr>
          <w:sz w:val="20"/>
          <w:szCs w:val="20"/>
          <w:color w:val="auto"/>
        </w:rPr>
      </w:pPr>
    </w:p>
    <w:p>
      <w:pPr>
        <w:ind w:left="1680" w:right="559" w:firstLine="317"/>
        <w:spacing w:after="0" w:line="253" w:lineRule="auto"/>
        <w:rPr>
          <w:sz w:val="20"/>
          <w:szCs w:val="20"/>
          <w:color w:val="auto"/>
        </w:rPr>
      </w:pPr>
      <w:r>
        <w:rPr>
          <w:rFonts w:ascii="Times New Roman" w:cs="Times New Roman" w:eastAsia="Times New Roman" w:hAnsi="Times New Roman"/>
          <w:sz w:val="13"/>
          <w:szCs w:val="13"/>
          <w:color w:val="auto"/>
        </w:rPr>
        <w:t>Although we have no current plan to issue additional Class B ordinary shares, our board of directors has the authority without further action by our shareholders to issue additional Class B ordinary shares, which will further dilute the voting power of our Class A ordinary shareholders. As a result of the dual-class share structure and the concentration of ownership, our founder has considerable influence over matters such as mergers, consolidations and the sale of all or substantially all of our assets, election of directors, amendments to organizational documents and other significant corporate actions. Our founder may take actions that are not in the best interest of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spacing w:after="0" w:line="138" w:lineRule="exact"/>
        <w:rPr>
          <w:sz w:val="20"/>
          <w:szCs w:val="20"/>
          <w:color w:val="auto"/>
        </w:rPr>
      </w:pPr>
    </w:p>
    <w:p>
      <w:pPr>
        <w:ind w:left="1680" w:right="739" w:firstLine="317"/>
        <w:spacing w:after="0" w:line="264" w:lineRule="auto"/>
        <w:rPr>
          <w:sz w:val="20"/>
          <w:szCs w:val="20"/>
          <w:color w:val="auto"/>
        </w:rPr>
      </w:pPr>
      <w:r>
        <w:rPr>
          <w:rFonts w:ascii="Times New Roman" w:cs="Times New Roman" w:eastAsia="Times New Roman" w:hAnsi="Times New Roman"/>
          <w:sz w:val="13"/>
          <w:szCs w:val="13"/>
          <w:color w:val="auto"/>
        </w:rPr>
        <w:t>In addition, our founder will continue to be able to control all matters submitted to our shareholders for approval even if his shareholdings represent substantially less than a majority of our outstanding common shares. This concentrated control will limit your ability to influence corporate matters for the foreseeable future, and, as a result, the market price of our Class A common shares could be adversely affected.</w:t>
      </w:r>
    </w:p>
    <w:p>
      <w:pPr>
        <w:spacing w:after="0" w:line="129" w:lineRule="exact"/>
        <w:rPr>
          <w:sz w:val="20"/>
          <w:szCs w:val="20"/>
          <w:color w:val="auto"/>
        </w:rPr>
      </w:pPr>
    </w:p>
    <w:p>
      <w:pPr>
        <w:ind w:left="1680" w:right="559" w:firstLine="317"/>
        <w:spacing w:after="0" w:line="254" w:lineRule="auto"/>
        <w:rPr>
          <w:sz w:val="20"/>
          <w:szCs w:val="20"/>
          <w:color w:val="auto"/>
        </w:rPr>
      </w:pPr>
      <w:r>
        <w:rPr>
          <w:rFonts w:ascii="Times New Roman" w:cs="Times New Roman" w:eastAsia="Times New Roman" w:hAnsi="Times New Roman"/>
          <w:sz w:val="13"/>
          <w:szCs w:val="13"/>
          <w:color w:val="auto"/>
        </w:rPr>
        <w:t>In July 2017, FTSE Russell and Standard &amp; Poor’s announced that they would cease to allow most newly public companies utilizing dual- or multi-class capital structures to be included in certain of their indices. Affected indices include the Russell 2000 and the S&amp;P 500, S&amp;P MidCap 400 and S&amp;P SmallCap 600, which together comprise the S&amp;P Composite 1500. Under the announced policies, our dual-class share structure would make us ineligible for inclusion in any of these indices, and as a result, mutual funds, exchange-traded funds and other investment vehicles that attempt to passively track these indices will not be investing in our shares. These policies are new, and it is as of yet unclear what effect, if any, they will have on the valuations of publicly traded companies excluded from these indices, but it is possible that they may depress these valuations or depress our trading volume compared to those of other similar companies that are included in these indices.</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58</w:t>
      </w:r>
    </w:p>
    <w:p>
      <w:pPr>
        <w:sectPr>
          <w:pgSz w:w="11900" w:h="16838" w:orient="portrait"/>
          <w:cols w:equalWidth="0" w:num="1">
            <w:col w:w="10159"/>
          </w:cols>
          <w:pgMar w:left="300" w:top="388"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18" w:lineRule="exact"/>
        <w:rPr>
          <w:sz w:val="20"/>
          <w:szCs w:val="20"/>
          <w:color w:val="auto"/>
        </w:rPr>
      </w:pPr>
    </w:p>
    <w:p>
      <w:pPr>
        <w:ind w:left="1680" w:right="99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We are a “controlled company” within the meaning of the Nasdaq Stock Market Rules and, as a result, may rely on exemptions from certain corporate governance requirements that provide protection to shareholders of other companies.</w:t>
      </w:r>
    </w:p>
    <w:p>
      <w:pPr>
        <w:spacing w:after="0" w:line="38" w:lineRule="exact"/>
        <w:rPr>
          <w:sz w:val="20"/>
          <w:szCs w:val="20"/>
          <w:color w:val="auto"/>
        </w:rPr>
      </w:pPr>
    </w:p>
    <w:p>
      <w:pPr>
        <w:ind w:left="1680" w:right="559" w:firstLine="317"/>
        <w:spacing w:after="0" w:line="255" w:lineRule="auto"/>
        <w:rPr>
          <w:sz w:val="20"/>
          <w:szCs w:val="20"/>
          <w:color w:val="auto"/>
        </w:rPr>
      </w:pPr>
      <w:r>
        <w:rPr>
          <w:rFonts w:ascii="Times New Roman" w:cs="Times New Roman" w:eastAsia="Times New Roman" w:hAnsi="Times New Roman"/>
          <w:sz w:val="13"/>
          <w:szCs w:val="13"/>
          <w:color w:val="auto"/>
        </w:rPr>
        <w:t>We are a “controlled company” as defined under the Nasdaq Stock Market Rules because our founder, chairman of the board of directors and chief executive officer, Mr. Huazhi Hu, owns more than 50% of our total voting power. For so long as we remain a controlled company under that definition, we may rely on certain exemptions from corporate governance rules, including the rule that a majority of our board of directors must be independent directors and that we have to establish a nominating committee and a compensation committee composed entirely of independent directors. As a result, you will not have the same protection afforded to shareholders of companies that are subject to these corporate governance requirements. We currently do not plan to rely on these exemptions.</w:t>
      </w:r>
    </w:p>
    <w:p>
      <w:pPr>
        <w:spacing w:after="0" w:line="210" w:lineRule="exact"/>
        <w:rPr>
          <w:sz w:val="20"/>
          <w:szCs w:val="20"/>
          <w:color w:val="auto"/>
        </w:rPr>
      </w:pPr>
    </w:p>
    <w:p>
      <w:pPr>
        <w:ind w:left="1680" w:right="55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If securities or industry analysts do not publish research or reports about our business, or if they adversely change their recommendations regarding the ADSs, the market price for the ADSs and trading volume could decline.</w:t>
      </w:r>
    </w:p>
    <w:p>
      <w:pPr>
        <w:spacing w:after="0" w:line="38" w:lineRule="exact"/>
        <w:rPr>
          <w:sz w:val="20"/>
          <w:szCs w:val="20"/>
          <w:color w:val="auto"/>
        </w:rPr>
      </w:pPr>
    </w:p>
    <w:p>
      <w:pPr>
        <w:ind w:left="1680" w:right="579" w:firstLine="317"/>
        <w:spacing w:after="0" w:line="259" w:lineRule="auto"/>
        <w:rPr>
          <w:sz w:val="20"/>
          <w:szCs w:val="20"/>
          <w:color w:val="auto"/>
        </w:rPr>
      </w:pPr>
      <w:r>
        <w:rPr>
          <w:rFonts w:ascii="Times New Roman" w:cs="Times New Roman" w:eastAsia="Times New Roman" w:hAnsi="Times New Roman"/>
          <w:sz w:val="13"/>
          <w:szCs w:val="13"/>
          <w:color w:val="auto"/>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of the ADSs to decline.</w:t>
      </w:r>
    </w:p>
    <w:p>
      <w:pPr>
        <w:spacing w:after="0" w:line="20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The sale or availability for sale of substantial amounts of the ADSs could adversely affect their market price.</w:t>
      </w:r>
    </w:p>
    <w:p>
      <w:pPr>
        <w:spacing w:after="0" w:line="88" w:lineRule="exact"/>
        <w:rPr>
          <w:sz w:val="20"/>
          <w:szCs w:val="20"/>
          <w:color w:val="auto"/>
        </w:rPr>
      </w:pPr>
    </w:p>
    <w:p>
      <w:pPr>
        <w:ind w:left="1680" w:right="659" w:firstLine="317"/>
        <w:spacing w:after="0" w:line="259" w:lineRule="auto"/>
        <w:rPr>
          <w:sz w:val="20"/>
          <w:szCs w:val="20"/>
          <w:color w:val="auto"/>
        </w:rPr>
      </w:pPr>
      <w:r>
        <w:rPr>
          <w:rFonts w:ascii="Times New Roman" w:cs="Times New Roman" w:eastAsia="Times New Roman" w:hAnsi="Times New Roman"/>
          <w:sz w:val="13"/>
          <w:szCs w:val="13"/>
          <w:color w:val="auto"/>
        </w:rPr>
        <w:t>Sales of substantial amounts of the ADSs in the public market, or the perception that these sales could occur, could adversely affect the market price of the ADSs and could materially impair our ability to raise capital through equity offerings in the future. We cannot predict what effect, if any, market sales of securities held by our significant shareholders or any other shareholder or the availability of these securities for future sale will have on the market price of the ADSs.</w:t>
      </w:r>
    </w:p>
    <w:p>
      <w:pPr>
        <w:spacing w:after="0" w:line="207" w:lineRule="exact"/>
        <w:rPr>
          <w:sz w:val="20"/>
          <w:szCs w:val="20"/>
          <w:color w:val="auto"/>
        </w:rPr>
      </w:pPr>
    </w:p>
    <w:p>
      <w:pPr>
        <w:ind w:left="1680" w:right="87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Because we do not expect to pay dividends in the foreseeable future, the holders of our ADSs must rely on price appreciation of the ADSs for a return on their investment.</w:t>
      </w:r>
    </w:p>
    <w:p>
      <w:pPr>
        <w:spacing w:after="0" w:line="38" w:lineRule="exact"/>
        <w:rPr>
          <w:sz w:val="20"/>
          <w:szCs w:val="20"/>
          <w:color w:val="auto"/>
        </w:rPr>
      </w:pPr>
    </w:p>
    <w:p>
      <w:pPr>
        <w:ind w:left="1680" w:right="679" w:firstLine="317"/>
        <w:spacing w:after="0" w:line="264" w:lineRule="auto"/>
        <w:rPr>
          <w:sz w:val="20"/>
          <w:szCs w:val="20"/>
          <w:color w:val="auto"/>
        </w:rPr>
      </w:pPr>
      <w:r>
        <w:rPr>
          <w:rFonts w:ascii="Times New Roman" w:cs="Times New Roman" w:eastAsia="Times New Roman" w:hAnsi="Times New Roman"/>
          <w:sz w:val="13"/>
          <w:szCs w:val="13"/>
          <w:color w:val="auto"/>
        </w:rPr>
        <w:t>We currently intend to retain most, if not all, of our available funds and any future earnings to fund the development and growth of our business. As a result, we do not expect to pay any cash dividends in the foreseeable future. Therefore, the ADS holders should not rely on an investment in the ADSs as a source for any future dividend income.</w:t>
      </w:r>
    </w:p>
    <w:p>
      <w:pPr>
        <w:spacing w:after="0" w:line="129" w:lineRule="exact"/>
        <w:rPr>
          <w:sz w:val="20"/>
          <w:szCs w:val="20"/>
          <w:color w:val="auto"/>
        </w:rPr>
      </w:pPr>
    </w:p>
    <w:p>
      <w:pPr>
        <w:ind w:left="1680" w:right="579" w:firstLine="317"/>
        <w:spacing w:after="0" w:line="253" w:lineRule="auto"/>
        <w:rPr>
          <w:sz w:val="20"/>
          <w:szCs w:val="20"/>
          <w:color w:val="auto"/>
        </w:rPr>
      </w:pPr>
      <w:r>
        <w:rPr>
          <w:rFonts w:ascii="Times New Roman" w:cs="Times New Roman" w:eastAsia="Times New Roman" w:hAnsi="Times New Roman"/>
          <w:sz w:val="13"/>
          <w:szCs w:val="13"/>
          <w:color w:val="auto"/>
        </w:rPr>
        <w:t>Our board of directors has discretion as to whether to distribute dividends,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In addition, our shareholders may by ordinary resolution declare a dividend, but no dividend may exceed the amount recommended by our board of directors.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to ADS holders on the investment in the ADSs will likely depend entirely upon any future price appreciation of the ADSs. There is no guarantee that the ADSs will appreciate in value or even maintain the price at which the ADS holders purchased the ADSs. Our ADS holders may not realize a return on their investment in the ADSs and they may even lose their entire investment in the ADSs.</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59</w:t>
      </w:r>
    </w:p>
    <w:p>
      <w:pPr>
        <w:sectPr>
          <w:pgSz w:w="11900" w:h="16838" w:orient="portrait"/>
          <w:cols w:equalWidth="0" w:num="1">
            <w:col w:w="10159"/>
          </w:cols>
          <w:pgMar w:left="300" w:top="388"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18" w:lineRule="exact"/>
        <w:rPr>
          <w:sz w:val="20"/>
          <w:szCs w:val="20"/>
          <w:color w:val="auto"/>
        </w:rPr>
      </w:pPr>
    </w:p>
    <w:p>
      <w:pPr>
        <w:ind w:left="1680" w:right="69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Our memorandum and articles of association contain anti-takeover provisions that could have a material adverse effect on the rights of holders of our ordinary shares and ADSs.</w:t>
      </w:r>
    </w:p>
    <w:p>
      <w:pPr>
        <w:spacing w:after="0" w:line="38" w:lineRule="exact"/>
        <w:rPr>
          <w:sz w:val="20"/>
          <w:szCs w:val="20"/>
          <w:color w:val="auto"/>
        </w:rPr>
      </w:pPr>
    </w:p>
    <w:p>
      <w:pPr>
        <w:ind w:left="1680" w:right="559" w:firstLine="317"/>
        <w:spacing w:after="0" w:line="253" w:lineRule="auto"/>
        <w:rPr>
          <w:sz w:val="20"/>
          <w:szCs w:val="20"/>
          <w:color w:val="auto"/>
        </w:rPr>
      </w:pPr>
      <w:r>
        <w:rPr>
          <w:rFonts w:ascii="Times New Roman" w:cs="Times New Roman" w:eastAsia="Times New Roman" w:hAnsi="Times New Roman"/>
          <w:sz w:val="13"/>
          <w:szCs w:val="13"/>
          <w:color w:val="auto"/>
        </w:rPr>
        <w:t>Our memorandum and articles of association contain provisions which could limit the ability of others to acquire control of our company or cause us to engage in change-of-control transactions. These provisions could have the effect of depriving our shareholders and ADS holders of an opportunity to sell their shares or ADSs at a premium over prevailing market prices by discouraging third parties from seeking to obtain control of our company in a tender offer or similar transactions.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 the form of ADS or otherwise. Preferred shares could be issued quickly with terms calculated to delay or prevent a change in control of our company or make removal of management more difficult. If our board of directors decides to issue preferred shares, the price of the ADSs may fall and the voting and other rights of the holders of our ordinary shares and ADSs may be materially and adversely affected.</w:t>
      </w:r>
    </w:p>
    <w:p>
      <w:pPr>
        <w:spacing w:after="0" w:line="210" w:lineRule="exact"/>
        <w:rPr>
          <w:sz w:val="20"/>
          <w:szCs w:val="20"/>
          <w:color w:val="auto"/>
        </w:rPr>
      </w:pPr>
    </w:p>
    <w:p>
      <w:pPr>
        <w:ind w:left="1680" w:right="87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38" w:lineRule="exact"/>
        <w:rPr>
          <w:sz w:val="20"/>
          <w:szCs w:val="20"/>
          <w:color w:val="auto"/>
        </w:rPr>
      </w:pPr>
    </w:p>
    <w:p>
      <w:pPr>
        <w:ind w:left="1680" w:right="599" w:firstLine="317"/>
        <w:spacing w:after="0" w:line="253" w:lineRule="auto"/>
        <w:rPr>
          <w:sz w:val="20"/>
          <w:szCs w:val="20"/>
          <w:color w:val="auto"/>
        </w:rPr>
      </w:pPr>
      <w:r>
        <w:rPr>
          <w:rFonts w:ascii="Times New Roman" w:cs="Times New Roman" w:eastAsia="Times New Roman" w:hAnsi="Times New Roman"/>
          <w:sz w:val="13"/>
          <w:szCs w:val="13"/>
          <w:color w:val="auto"/>
        </w:rPr>
        <w:t>We are an exempted company incorporated under the laws of the Cayman Islands. Our corporate affairs are governed by our memorandum and articles of association, the Companies Act (As Revised) of the Cayman Islands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36" w:lineRule="exact"/>
        <w:rPr>
          <w:sz w:val="20"/>
          <w:szCs w:val="20"/>
          <w:color w:val="auto"/>
        </w:rPr>
      </w:pPr>
    </w:p>
    <w:p>
      <w:pPr>
        <w:ind w:left="1680" w:right="579" w:firstLine="317"/>
        <w:spacing w:after="0" w:line="255" w:lineRule="auto"/>
        <w:rPr>
          <w:sz w:val="20"/>
          <w:szCs w:val="20"/>
          <w:color w:val="auto"/>
        </w:rPr>
      </w:pPr>
      <w:r>
        <w:rPr>
          <w:rFonts w:ascii="Times New Roman" w:cs="Times New Roman" w:eastAsia="Times New Roman" w:hAnsi="Times New Roman"/>
          <w:sz w:val="13"/>
          <w:szCs w:val="13"/>
          <w:color w:val="auto"/>
        </w:rPr>
        <w:t>Shareholders of Cayman Islands exempted companies like us have no general rights under Cayman Islands law to inspect corporate records (other than the memorandum and articles of association, our register of mortgages and charges and special resolutions of our shareholders) or to obtain copies of lists of shareholders of these companies.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36" w:lineRule="exact"/>
        <w:rPr>
          <w:sz w:val="20"/>
          <w:szCs w:val="20"/>
          <w:color w:val="auto"/>
        </w:rPr>
      </w:pPr>
    </w:p>
    <w:p>
      <w:pPr>
        <w:ind w:left="1680" w:right="579" w:firstLine="317"/>
        <w:spacing w:after="0" w:line="252" w:lineRule="auto"/>
        <w:rPr>
          <w:sz w:val="20"/>
          <w:szCs w:val="20"/>
          <w:color w:val="auto"/>
        </w:rPr>
      </w:pPr>
      <w:r>
        <w:rPr>
          <w:rFonts w:ascii="Times New Roman" w:cs="Times New Roman" w:eastAsia="Times New Roman" w:hAnsi="Times New Roman"/>
          <w:sz w:val="13"/>
          <w:szCs w:val="13"/>
          <w:color w:val="auto"/>
        </w:rPr>
        <w:t>In addition, we conduct substantially all of our business operations in China, and substantially all of our directors and senior management are based in China, which is an emerging market. The SEC, U.S. Department of Justice and other authorities often have substantial difficulties in bringing and enforcing actions against non-U.S. companies and non-U.S. persons, including company directors and officers, in certain emerging markets, including China. Additionally, our public shareholders may have limited rights and few practical remedies in emerging markets where we operate, as shareholder claims that are common in the United States, including class action securities law and fraud claims, generally are difficult to pursue as a matter of law or practicality in many emerging markets, including China. For example, in China, there are significant legal and other obstacles to obtaining information needed for shareholder investigations or litigation outside China or otherwise with respect to foreign entities. Although the local authorities in China may establish a regulatory cooperation mechanism with the securities regulatory authorities of another country or region to implement cross-border supervision and administration, the regulatory cooperation with the securities regulatory authorities in the Unities States has not been efficient in the absence of a mutual and practical cooperation mechanism. According to Article 177 of the PRC Securities Law which became effective in March 2020, no foreign securities regulator is allowed to directly conduct investigation or evidence collection activities within the territory of the PRC. Accordingly, without the consent of the competent PRC securities regulators and relevant authorities, no organization or individual may provide the documents and materials relating to securities business activities to foreign securities regulators.</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60</w:t>
      </w:r>
    </w:p>
    <w:p>
      <w:pPr>
        <w:sectPr>
          <w:pgSz w:w="11900" w:h="16838" w:orient="portrait"/>
          <w:cols w:equalWidth="0" w:num="1">
            <w:col w:w="10159"/>
          </w:cols>
          <w:pgMar w:left="300" w:top="388"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739" w:firstLine="317"/>
        <w:spacing w:after="0" w:line="287" w:lineRule="auto"/>
        <w:rPr>
          <w:sz w:val="20"/>
          <w:szCs w:val="20"/>
          <w:color w:val="auto"/>
        </w:rPr>
      </w:pPr>
      <w:r>
        <w:rPr>
          <w:rFonts w:ascii="Times New Roman" w:cs="Times New Roman" w:eastAsia="Times New Roman" w:hAnsi="Times New Roman"/>
          <w:sz w:val="12"/>
          <w:szCs w:val="12"/>
          <w:color w:val="auto"/>
        </w:rPr>
        <w:t>As a result of all of the above, our public shareholders may have more difficulty in protecting their interests in the face of actions taken by our management, members of our board of directors or our controlling shareholders than they would as public shareholders of a company incorporated in the United States. For a discussion of significant differences between the provisions of the Companies Act of the Cayman Islands and the laws applicable to companies incorporated in the United States and their shareholders, see “Description of Share Capital—Differences in Corporate Law.”</w:t>
      </w:r>
    </w:p>
    <w:p>
      <w:pPr>
        <w:spacing w:after="0" w:line="19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Certain judgments obtained against us by our shareholders may not be enforceable.</w:t>
      </w:r>
    </w:p>
    <w:p>
      <w:pPr>
        <w:spacing w:after="0" w:line="88" w:lineRule="exact"/>
        <w:rPr>
          <w:sz w:val="20"/>
          <w:szCs w:val="20"/>
          <w:color w:val="auto"/>
        </w:rPr>
      </w:pPr>
    </w:p>
    <w:p>
      <w:pPr>
        <w:ind w:left="1680" w:right="559" w:firstLine="317"/>
        <w:spacing w:after="0" w:line="255" w:lineRule="auto"/>
        <w:rPr>
          <w:sz w:val="20"/>
          <w:szCs w:val="20"/>
          <w:color w:val="auto"/>
        </w:rPr>
      </w:pPr>
      <w:r>
        <w:rPr>
          <w:rFonts w:ascii="Times New Roman" w:cs="Times New Roman" w:eastAsia="Times New Roman" w:hAnsi="Times New Roman"/>
          <w:sz w:val="13"/>
          <w:szCs w:val="13"/>
          <w:color w:val="auto"/>
        </w:rPr>
        <w:t>We are a Cayman Islands exempted company and substantially all of our assets are located outside of the United States. Most of our current operations are conducted in China. In addition, most of our current directors and officers are nationals and residents of countries other than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China may render you unable to enforce a judgment against our assets or the assets of our directors and officers. For more information regarding the relevant laws of the Cayman Islands and China, see “Enforceability of Civil Liabilities.”</w:t>
      </w:r>
    </w:p>
    <w:p>
      <w:pPr>
        <w:spacing w:after="0" w:line="210" w:lineRule="exact"/>
        <w:rPr>
          <w:sz w:val="20"/>
          <w:szCs w:val="20"/>
          <w:color w:val="auto"/>
        </w:rPr>
      </w:pPr>
    </w:p>
    <w:p>
      <w:pPr>
        <w:ind w:left="1680" w:right="63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The voting rights of holders of ADSs are limited by the terms of the deposit agreement, and you may not be able to exercise your right to direct how the Class A ordinary shares which are represented by your ADSs are voted.</w:t>
      </w:r>
    </w:p>
    <w:p>
      <w:pPr>
        <w:spacing w:after="0" w:line="38" w:lineRule="exact"/>
        <w:rPr>
          <w:sz w:val="20"/>
          <w:szCs w:val="20"/>
          <w:color w:val="auto"/>
        </w:rPr>
      </w:pPr>
    </w:p>
    <w:p>
      <w:pPr>
        <w:ind w:left="1680" w:right="579" w:firstLine="317"/>
        <w:spacing w:after="0" w:line="253" w:lineRule="auto"/>
        <w:rPr>
          <w:sz w:val="20"/>
          <w:szCs w:val="20"/>
          <w:color w:val="auto"/>
        </w:rPr>
      </w:pPr>
      <w:r>
        <w:rPr>
          <w:rFonts w:ascii="Times New Roman" w:cs="Times New Roman" w:eastAsia="Times New Roman" w:hAnsi="Times New Roman"/>
          <w:sz w:val="13"/>
          <w:szCs w:val="13"/>
          <w:color w:val="auto"/>
        </w:rPr>
        <w:t>Holders of ADSs do not have the same rights as our registered shareholders. As a holder of the ADSs, you will not have any direct right to attend general meetings of our shareholders or to cast any votes at such meetings. You will only be able to exercise the voting rights which are carried by the underlying Class A ordinary shares represented by your ADSs indirectly by giving voting instructions to the depositary in accordance with the provisions of the deposit agreement. Under the deposit agreement, you may vote only by giving voting instructions to the depositary. If we instruct the depositary to ask for your instructions, then upon receipt of your voting instructions, the depositary will try, as far as is practicable, to vote the underlying Class A ordinary shares which are represented by your ADSs in accordance with your instructions. If we do not instruct the depositary to ask for your instructions, the depositary may still vote in accordance with instructions you give, but it is not required to do so. You will not be able to directly exercise your right to vote with respect to the underlying Class A ordinary shares represented by your ADSs unless you cancel and withdraw such shares and become the registered holder of such shares prior to the record date for the general meeting.</w:t>
      </w:r>
    </w:p>
    <w:p>
      <w:pPr>
        <w:spacing w:after="0" w:line="138" w:lineRule="exact"/>
        <w:rPr>
          <w:sz w:val="20"/>
          <w:szCs w:val="20"/>
          <w:color w:val="auto"/>
        </w:rPr>
      </w:pPr>
    </w:p>
    <w:p>
      <w:pPr>
        <w:ind w:left="1680" w:right="559" w:firstLine="317"/>
        <w:spacing w:after="0" w:line="252" w:lineRule="auto"/>
        <w:rPr>
          <w:sz w:val="20"/>
          <w:szCs w:val="20"/>
          <w:color w:val="auto"/>
        </w:rPr>
      </w:pPr>
      <w:r>
        <w:rPr>
          <w:rFonts w:ascii="Times New Roman" w:cs="Times New Roman" w:eastAsia="Times New Roman" w:hAnsi="Times New Roman"/>
          <w:sz w:val="13"/>
          <w:szCs w:val="13"/>
          <w:color w:val="auto"/>
        </w:rPr>
        <w:t>Under our memorandum and articles of association, the minimum notice period required to be given by our company to our registered shareholders to convene a general meeting is ten calendar days. When a general meeting is convened, you may not receive sufficient advance notice of the meeting to withdraw the underlying Class A ordinary shares represented by your ADSs and become the registered holder of such shares to allow you to attend the general meeting and to vote directly with respect to any specific matter or resolution to be considered and voted upon at the general meeting. In addition, under our articles of association,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underlying Class A ordinary shares represented by your ADSs and becoming the registered holder of such shares prior to the record date, so that you would not be able to attend the general meeting or to vote directly. If we ask for your instructions, the depositary will notify you of the upcoming vote and will arrange to deliver our voting materials to you. We have agreed to give the depositary at least 45 days’ prior notice of shareholder meetings. Nevertheless, we cannot assure you that you will receive the voting materials in time to ensure that you can instruct the depositary to vote the underlying Class A ordinary shares represented by your ADSs. In addition, the depositary and its agents are not responsible for failing to carry out voting instructions or for their manner of carrying out your voting instructions. This means that you may not be able to exercise your right to direct how the underlying Class A ordinary shares represented by your ADSs are voted and you may have no legal remedy if the underlying Class A ordinary shares represented by your ADSs are not voted as you requested.</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61</w:t>
      </w:r>
    </w:p>
    <w:p>
      <w:pPr>
        <w:sectPr>
          <w:pgSz w:w="11900" w:h="16838" w:orient="portrait"/>
          <w:cols w:equalWidth="0" w:num="1">
            <w:col w:w="10159"/>
          </w:cols>
          <w:pgMar w:left="300" w:top="388"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18" w:lineRule="exact"/>
        <w:rPr>
          <w:sz w:val="20"/>
          <w:szCs w:val="20"/>
          <w:color w:val="auto"/>
        </w:rPr>
      </w:pPr>
    </w:p>
    <w:p>
      <w:pPr>
        <w:ind w:left="1680" w:right="95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The depositary for the ADSs will give us a discretionary proxy to vote our Class A ordinary shares underlying your ADSs if you do not vote at shareholders’ meetings, which could adversely affect your interests.</w:t>
      </w:r>
    </w:p>
    <w:p>
      <w:pPr>
        <w:spacing w:after="0" w:line="38" w:lineRule="exact"/>
        <w:rPr>
          <w:sz w:val="20"/>
          <w:szCs w:val="20"/>
          <w:color w:val="auto"/>
        </w:rPr>
      </w:pPr>
    </w:p>
    <w:p>
      <w:pPr>
        <w:ind w:left="1680" w:right="899" w:firstLine="317"/>
        <w:spacing w:after="0" w:line="278" w:lineRule="auto"/>
        <w:rPr>
          <w:sz w:val="20"/>
          <w:szCs w:val="20"/>
          <w:color w:val="auto"/>
        </w:rPr>
      </w:pPr>
      <w:r>
        <w:rPr>
          <w:rFonts w:ascii="Times New Roman" w:cs="Times New Roman" w:eastAsia="Times New Roman" w:hAnsi="Times New Roman"/>
          <w:sz w:val="13"/>
          <w:szCs w:val="13"/>
          <w:color w:val="auto"/>
        </w:rPr>
        <w:t>Under the deposit agreement for the ADSs, if you do not vote, the depositary may give us a discretionary proxy to vote the Class A ordinary shares underlying your ADSs at shareholders’ meetings if:</w:t>
      </w:r>
    </w:p>
    <w:p>
      <w:pPr>
        <w:spacing w:after="0" w:line="52" w:lineRule="exact"/>
        <w:rPr>
          <w:sz w:val="20"/>
          <w:szCs w:val="20"/>
          <w:color w:val="auto"/>
        </w:rPr>
      </w:pPr>
    </w:p>
    <w:p>
      <w:pPr>
        <w:ind w:left="2380" w:hanging="315"/>
        <w:spacing w:after="0"/>
        <w:tabs>
          <w:tab w:leader="none" w:pos="238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timely provided the depositary with notice of meeting and related voting materials;</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instructed the depositary that we wish a discretionary proxy to be given;</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informed the depositary that there is no substantial opposition as to a matter to be voted on at the meeting; and</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matter to be voted on at the meeting would not have a material adverse impact on shareholders.</w:t>
      </w:r>
    </w:p>
    <w:p>
      <w:pPr>
        <w:spacing w:after="0" w:line="162" w:lineRule="exact"/>
        <w:rPr>
          <w:sz w:val="20"/>
          <w:szCs w:val="20"/>
          <w:color w:val="auto"/>
        </w:rPr>
      </w:pPr>
    </w:p>
    <w:p>
      <w:pPr>
        <w:ind w:left="1680" w:right="599" w:firstLine="317"/>
        <w:spacing w:after="0" w:line="264" w:lineRule="auto"/>
        <w:rPr>
          <w:sz w:val="20"/>
          <w:szCs w:val="20"/>
          <w:color w:val="auto"/>
        </w:rPr>
      </w:pPr>
      <w:r>
        <w:rPr>
          <w:rFonts w:ascii="Times New Roman" w:cs="Times New Roman" w:eastAsia="Times New Roman" w:hAnsi="Times New Roman"/>
          <w:sz w:val="13"/>
          <w:szCs w:val="13"/>
          <w:color w:val="auto"/>
        </w:rPr>
        <w:t>The effect of this discretionary proxy is that if you do not vote at shareholders’ meetings, you cannot prevent the Class A ordinary shares underlying your ADSs from being voted, except under the circumstances described above. This may make it more difficult for shareholders to influence the management of our company. Holders of our ordinary shares are not subject to this discretionary proxy.</w:t>
      </w:r>
    </w:p>
    <w:p>
      <w:pPr>
        <w:spacing w:after="0" w:line="203" w:lineRule="exact"/>
        <w:rPr>
          <w:sz w:val="20"/>
          <w:szCs w:val="20"/>
          <w:color w:val="auto"/>
        </w:rPr>
      </w:pPr>
    </w:p>
    <w:p>
      <w:pPr>
        <w:ind w:left="1680" w:right="57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You may not receive dividends or other distributions on our ordinary shares and you may not receive any value for them, if it is illegal or impractical to make them available to you.</w:t>
      </w:r>
    </w:p>
    <w:p>
      <w:pPr>
        <w:spacing w:after="0" w:line="38" w:lineRule="exact"/>
        <w:rPr>
          <w:sz w:val="20"/>
          <w:szCs w:val="20"/>
          <w:color w:val="auto"/>
        </w:rPr>
      </w:pPr>
    </w:p>
    <w:p>
      <w:pPr>
        <w:ind w:left="1680" w:right="619" w:firstLine="317"/>
        <w:spacing w:after="0" w:line="252" w:lineRule="auto"/>
        <w:rPr>
          <w:sz w:val="20"/>
          <w:szCs w:val="20"/>
          <w:color w:val="auto"/>
        </w:rPr>
      </w:pPr>
      <w:r>
        <w:rPr>
          <w:rFonts w:ascii="Times New Roman" w:cs="Times New Roman" w:eastAsia="Times New Roman" w:hAnsi="Times New Roman"/>
          <w:sz w:val="13"/>
          <w:szCs w:val="13"/>
          <w:color w:val="auto"/>
        </w:rPr>
        <w:t>The depositary of the ADSs has agreed to distribute, subject to the terms of the deposit agreement, the cash dividends or other distributions it or the custodian receives on our Class A ordinary shares or other deposited securities underlying the ADSs, after deducting its fees and expenses. You will receive these distributions in proportion to the number of Class A ordinary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Additionally, the value of certain distributions may be less than the cost of distribution. In these cases, the depositary may determine not to distribute such property.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This means that you may not receive distributions we make on our ordinary shares or any value for them if it is illegal or impractical for us to make them available to you. These restrictions may cause a material decline in the value of the ADSs.</w:t>
      </w:r>
    </w:p>
    <w:p>
      <w:pPr>
        <w:spacing w:after="0" w:line="21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You may experience dilution of your holdings due to inability to participate in rights offerings.</w:t>
      </w:r>
    </w:p>
    <w:p>
      <w:pPr>
        <w:spacing w:after="0" w:line="88" w:lineRule="exact"/>
        <w:rPr>
          <w:sz w:val="20"/>
          <w:szCs w:val="20"/>
          <w:color w:val="auto"/>
        </w:rPr>
      </w:pPr>
    </w:p>
    <w:p>
      <w:pPr>
        <w:ind w:left="1680" w:right="559" w:firstLine="317"/>
        <w:spacing w:after="0" w:line="254" w:lineRule="auto"/>
        <w:rPr>
          <w:sz w:val="20"/>
          <w:szCs w:val="20"/>
          <w:color w:val="auto"/>
        </w:rPr>
      </w:pPr>
      <w:r>
        <w:rPr>
          <w:rFonts w:ascii="Times New Roman" w:cs="Times New Roman" w:eastAsia="Times New Roman" w:hAnsi="Times New Roman"/>
          <w:sz w:val="13"/>
          <w:szCs w:val="13"/>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62</w:t>
      </w:r>
    </w:p>
    <w:p>
      <w:pPr>
        <w:sectPr>
          <w:pgSz w:w="11900" w:h="16838" w:orient="portrait"/>
          <w:cols w:equalWidth="0" w:num="1">
            <w:col w:w="10159"/>
          </w:cols>
          <w:pgMar w:left="300" w:top="388"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You may be subject to limitations on transfer of your ADSs.</w:t>
      </w:r>
    </w:p>
    <w:p>
      <w:pPr>
        <w:spacing w:after="0" w:line="88" w:lineRule="exact"/>
        <w:rPr>
          <w:sz w:val="20"/>
          <w:szCs w:val="20"/>
          <w:color w:val="auto"/>
        </w:rPr>
      </w:pPr>
    </w:p>
    <w:p>
      <w:pPr>
        <w:ind w:left="1680" w:right="559" w:firstLine="317"/>
        <w:spacing w:after="0" w:line="255" w:lineRule="auto"/>
        <w:rPr>
          <w:sz w:val="20"/>
          <w:szCs w:val="20"/>
          <w:color w:val="auto"/>
        </w:rPr>
      </w:pPr>
      <w:r>
        <w:rPr>
          <w:rFonts w:ascii="Times New Roman" w:cs="Times New Roman" w:eastAsia="Times New Roman" w:hAnsi="Times New Roman"/>
          <w:sz w:val="13"/>
          <w:szCs w:val="13"/>
          <w:color w:val="auto"/>
        </w:rPr>
        <w:t>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or “for record date or processing purposes” in emergencies, and on weekends and public holidays. The depositary may refuse to deliver, transfer or register transfers of the ADSs generally when our share register or the books of the depositary are closed, or at any time if we or the depositary think it is advisable to do so because of any requirement of law or of any government or governmental body, or under any provision of the deposit agreement, or for any other reason.</w:t>
      </w:r>
    </w:p>
    <w:p>
      <w:pPr>
        <w:spacing w:after="0" w:line="210" w:lineRule="exact"/>
        <w:rPr>
          <w:sz w:val="20"/>
          <w:szCs w:val="20"/>
          <w:color w:val="auto"/>
        </w:rPr>
      </w:pPr>
    </w:p>
    <w:p>
      <w:pPr>
        <w:ind w:left="1680" w:right="87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38" w:lineRule="exact"/>
        <w:rPr>
          <w:sz w:val="20"/>
          <w:szCs w:val="20"/>
          <w:color w:val="auto"/>
        </w:rPr>
      </w:pPr>
    </w:p>
    <w:p>
      <w:pPr>
        <w:jc w:val="both"/>
        <w:ind w:left="1680" w:right="759" w:firstLine="317"/>
        <w:spacing w:after="0" w:line="264" w:lineRule="auto"/>
        <w:rPr>
          <w:sz w:val="20"/>
          <w:szCs w:val="20"/>
          <w:color w:val="auto"/>
        </w:rPr>
      </w:pPr>
      <w:r>
        <w:rPr>
          <w:rFonts w:ascii="Times New Roman" w:cs="Times New Roman" w:eastAsia="Times New Roman" w:hAnsi="Times New Roman"/>
          <w:sz w:val="13"/>
          <w:szCs w:val="13"/>
          <w:color w:val="auto"/>
        </w:rPr>
        <w:t>The deposit agreement governing the ADSs representing our Class A ordinary shares provides that, to the fullest extent permitted by law, ADS holders waive the right to a jury trial of any claim they may have against us or the depositary arising out of or relating to our shares, the ADSs or the deposit agreement, including any claim under the U.S. federal securities laws.</w:t>
      </w:r>
    </w:p>
    <w:p>
      <w:pPr>
        <w:spacing w:after="0" w:line="129" w:lineRule="exact"/>
        <w:rPr>
          <w:sz w:val="20"/>
          <w:szCs w:val="20"/>
          <w:color w:val="auto"/>
        </w:rPr>
      </w:pPr>
    </w:p>
    <w:p>
      <w:pPr>
        <w:ind w:left="1680" w:right="619" w:firstLine="317"/>
        <w:spacing w:after="0" w:line="278" w:lineRule="auto"/>
        <w:rPr>
          <w:sz w:val="20"/>
          <w:szCs w:val="20"/>
          <w:color w:val="auto"/>
        </w:rPr>
      </w:pPr>
      <w:r>
        <w:rPr>
          <w:rFonts w:ascii="Times New Roman" w:cs="Times New Roman" w:eastAsia="Times New Roman" w:hAnsi="Times New Roman"/>
          <w:sz w:val="12"/>
          <w:szCs w:val="12"/>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pre-dispute contractual waiver of jury trial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pre-dispute contractual waiver of jury trial,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122" w:lineRule="exact"/>
        <w:rPr>
          <w:sz w:val="20"/>
          <w:szCs w:val="20"/>
          <w:color w:val="auto"/>
        </w:rPr>
      </w:pPr>
    </w:p>
    <w:p>
      <w:pPr>
        <w:ind w:left="1680" w:right="559" w:firstLine="317"/>
        <w:spacing w:after="0" w:line="255" w:lineRule="auto"/>
        <w:rPr>
          <w:sz w:val="20"/>
          <w:szCs w:val="20"/>
          <w:color w:val="auto"/>
        </w:rPr>
      </w:pPr>
      <w:r>
        <w:rPr>
          <w:rFonts w:ascii="Times New Roman" w:cs="Times New Roman" w:eastAsia="Times New Roman" w:hAnsi="Times New Roman"/>
          <w:sz w:val="13"/>
          <w:szCs w:val="13"/>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 the depositary. If a lawsuit is brought against either or both of us and the depositary under the deposit agreement, it may be heard only by a judge or justice of the applicable trial court, which would be conducted according to different civil procedures and may result in different outcomes than a trial by jury would have, including results that could be less favorable to the plaintiffs in any such action.</w:t>
      </w:r>
    </w:p>
    <w:p>
      <w:pPr>
        <w:spacing w:after="0" w:line="136" w:lineRule="exact"/>
        <w:rPr>
          <w:sz w:val="20"/>
          <w:szCs w:val="20"/>
          <w:color w:val="auto"/>
        </w:rPr>
      </w:pPr>
    </w:p>
    <w:p>
      <w:pPr>
        <w:ind w:left="1680" w:right="639" w:firstLine="317"/>
        <w:spacing w:after="0" w:line="259" w:lineRule="auto"/>
        <w:rPr>
          <w:sz w:val="20"/>
          <w:szCs w:val="20"/>
          <w:color w:val="auto"/>
        </w:rPr>
      </w:pPr>
      <w:r>
        <w:rPr>
          <w:rFonts w:ascii="Times New Roman" w:cs="Times New Roman" w:eastAsia="Times New Roman" w:hAnsi="Times New Roman"/>
          <w:sz w:val="13"/>
          <w:szCs w:val="13"/>
          <w:color w:val="auto"/>
        </w:rPr>
        <w:t>Nevertheless, if this jury trial waiver provision is not permitted by applicable law, an action could proceed under the terms of the deposit agreement with a jury trial. No condition, stipulation or provision of the deposit agreement or ADSs serves as a waiver by any holder or beneficial owner of ADSs or by us or the depositary of compliance with any substantive provision of the U.S. federal securities laws and the rules and regulations promulgated thereunder.</w:t>
      </w:r>
    </w:p>
    <w:p>
      <w:pPr>
        <w:spacing w:after="0" w:line="207" w:lineRule="exact"/>
        <w:rPr>
          <w:sz w:val="20"/>
          <w:szCs w:val="20"/>
          <w:color w:val="auto"/>
        </w:rPr>
      </w:pPr>
    </w:p>
    <w:p>
      <w:pPr>
        <w:ind w:left="1680" w:right="103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We are a foreign private issuer within the meaning of the rules under the Exchange Act, and as such we are exempt from certain provisions applicable to United States domestic public companies.</w:t>
      </w:r>
    </w:p>
    <w:p>
      <w:pPr>
        <w:spacing w:after="0" w:line="38" w:lineRule="exact"/>
        <w:rPr>
          <w:sz w:val="20"/>
          <w:szCs w:val="20"/>
          <w:color w:val="auto"/>
        </w:rPr>
      </w:pPr>
    </w:p>
    <w:p>
      <w:pPr>
        <w:ind w:left="1680" w:right="699" w:firstLine="317"/>
        <w:spacing w:after="0" w:line="278" w:lineRule="auto"/>
        <w:rPr>
          <w:sz w:val="20"/>
          <w:szCs w:val="20"/>
          <w:color w:val="auto"/>
        </w:rPr>
      </w:pPr>
      <w:r>
        <w:rPr>
          <w:rFonts w:ascii="Times New Roman" w:cs="Times New Roman" w:eastAsia="Times New Roman" w:hAnsi="Times New Roman"/>
          <w:sz w:val="13"/>
          <w:szCs w:val="13"/>
          <w:color w:val="auto"/>
        </w:rPr>
        <w:t>Because we are a foreign private issuer under the Exchange Act, we are exempt from certain provisions of the securities rules and regulations in the United States that are applicable to U.S. domestic issuers, including:</w:t>
      </w:r>
    </w:p>
    <w:p>
      <w:pPr>
        <w:spacing w:after="0" w:line="52" w:lineRule="exact"/>
        <w:rPr>
          <w:sz w:val="20"/>
          <w:szCs w:val="20"/>
          <w:color w:val="auto"/>
        </w:rPr>
      </w:pPr>
    </w:p>
    <w:p>
      <w:pPr>
        <w:ind w:left="5580" w:right="839" w:hanging="3515"/>
        <w:spacing w:after="0" w:line="450" w:lineRule="auto"/>
        <w:tabs>
          <w:tab w:leader="none" w:pos="2377"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rules under the Exchange Act requiring the filing of quarterly reports on Form 10-Q or current reports on Form 8-K with the SEC; 63</w:t>
      </w:r>
    </w:p>
    <w:p>
      <w:pPr>
        <w:sectPr>
          <w:pgSz w:w="11900" w:h="16838" w:orient="portrait"/>
          <w:cols w:equalWidth="0" w:num="1">
            <w:col w:w="10159"/>
          </w:cols>
          <w:pgMar w:left="300" w:top="388"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2380" w:right="639" w:hanging="315"/>
        <w:spacing w:after="0" w:line="278" w:lineRule="auto"/>
        <w:tabs>
          <w:tab w:leader="none" w:pos="23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sections of the Exchange Act regulating the solicitation of proxies, consents, or authorizations in respect of a security registered under the Exchange Act;</w:t>
      </w:r>
    </w:p>
    <w:p>
      <w:pPr>
        <w:spacing w:after="0" w:line="52" w:lineRule="exact"/>
        <w:rPr>
          <w:rFonts w:ascii="Times New Roman" w:cs="Times New Roman" w:eastAsia="Times New Roman" w:hAnsi="Times New Roman"/>
          <w:sz w:val="13"/>
          <w:szCs w:val="13"/>
          <w:color w:val="auto"/>
        </w:rPr>
      </w:pPr>
    </w:p>
    <w:p>
      <w:pPr>
        <w:ind w:left="2380" w:right="799" w:hanging="315"/>
        <w:spacing w:after="0" w:line="278" w:lineRule="auto"/>
        <w:tabs>
          <w:tab w:leader="none" w:pos="23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sections of the Exchange Act requiring insiders to file public reports of their stock ownership and trading activities and liability for insiders who profit from trades made in a short period of time; and</w:t>
      </w:r>
    </w:p>
    <w:p>
      <w:pPr>
        <w:spacing w:after="0" w:line="52"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selective disclosure rules by issuers of material nonpublic information under Regulation FD.</w:t>
      </w:r>
    </w:p>
    <w:p>
      <w:pPr>
        <w:spacing w:after="0" w:line="162" w:lineRule="exact"/>
        <w:rPr>
          <w:sz w:val="20"/>
          <w:szCs w:val="20"/>
          <w:color w:val="auto"/>
        </w:rPr>
      </w:pPr>
    </w:p>
    <w:p>
      <w:pPr>
        <w:ind w:left="1680" w:right="559" w:firstLine="317"/>
        <w:spacing w:after="0" w:line="257" w:lineRule="auto"/>
        <w:rPr>
          <w:sz w:val="20"/>
          <w:szCs w:val="20"/>
          <w:color w:val="auto"/>
        </w:rPr>
      </w:pPr>
      <w:r>
        <w:rPr>
          <w:rFonts w:ascii="Times New Roman" w:cs="Times New Roman" w:eastAsia="Times New Roman" w:hAnsi="Times New Roman"/>
          <w:sz w:val="13"/>
          <w:szCs w:val="13"/>
          <w:color w:val="auto"/>
        </w:rPr>
        <w:t>We are required to file an annual report on Form 20-F within four months of the end of each fiscal year. In addition, we intend to publish our results on a quarterly basis through press releases, distributed pursuant to the rules and regulations of the Nasdaq Stock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which would be made available to you were you investing in a U.S. domestic issuer.</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3"/>
          <w:szCs w:val="13"/>
          <w:b w:val="1"/>
          <w:bCs w:val="1"/>
          <w:i w:val="1"/>
          <w:iCs w:val="1"/>
          <w:color w:val="auto"/>
        </w:rPr>
        <w:t>We are an emerging growth company within the meaning of the Securities Act and may take advantage of certain reduced reporting requirements.</w:t>
      </w:r>
    </w:p>
    <w:p>
      <w:pPr>
        <w:spacing w:after="0" w:line="88" w:lineRule="exact"/>
        <w:rPr>
          <w:sz w:val="20"/>
          <w:szCs w:val="20"/>
          <w:color w:val="auto"/>
        </w:rPr>
      </w:pPr>
    </w:p>
    <w:p>
      <w:pPr>
        <w:ind w:left="1680" w:right="559" w:firstLine="317"/>
        <w:spacing w:after="0" w:line="259" w:lineRule="auto"/>
        <w:rPr>
          <w:sz w:val="20"/>
          <w:szCs w:val="20"/>
          <w:color w:val="auto"/>
        </w:rPr>
      </w:pPr>
      <w:r>
        <w:rPr>
          <w:rFonts w:ascii="Times New Roman" w:cs="Times New Roman" w:eastAsia="Times New Roman" w:hAnsi="Times New Roman"/>
          <w:sz w:val="13"/>
          <w:szCs w:val="13"/>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of the Sarbanes-Oxley Act of 2002 for so long as we remain an emerging growth company. As a result, if we elect not to comply with such auditor attestation requirements, our investors may not have access to certain information they may deem important.</w:t>
      </w:r>
    </w:p>
    <w:p>
      <w:pPr>
        <w:spacing w:after="0" w:line="133" w:lineRule="exact"/>
        <w:rPr>
          <w:sz w:val="20"/>
          <w:szCs w:val="20"/>
          <w:color w:val="auto"/>
        </w:rPr>
      </w:pPr>
    </w:p>
    <w:p>
      <w:pPr>
        <w:ind w:left="1680" w:right="659" w:firstLine="317"/>
        <w:spacing w:after="0" w:line="259" w:lineRule="auto"/>
        <w:rPr>
          <w:sz w:val="20"/>
          <w:szCs w:val="20"/>
          <w:color w:val="auto"/>
        </w:rPr>
      </w:pPr>
      <w:r>
        <w:rPr>
          <w:rFonts w:ascii="Times New Roman" w:cs="Times New Roman" w:eastAsia="Times New Roman" w:hAnsi="Times New Roman"/>
          <w:sz w:val="13"/>
          <w:szCs w:val="13"/>
          <w:color w:val="auto"/>
        </w:rPr>
        <w:t>The JOBS Act also provides that an emerging growth company does not need to comply with any new or revised financial accounting standards until such date that a private company is otherwise required to comply with such new or revised accounting standards. We have elected to take advantage of the extended transition period. As a result of this election, our financial statements may not be comparable to other public companies that comply with the public company effective dates for these new or revised accounting standards.</w:t>
      </w:r>
    </w:p>
    <w:p>
      <w:pPr>
        <w:spacing w:after="0" w:line="20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We will incur increased costs as a result of being a public company, particularly after we cease to qualify as an “emerging growth company.”</w:t>
      </w:r>
    </w:p>
    <w:p>
      <w:pPr>
        <w:spacing w:after="0" w:line="88" w:lineRule="exact"/>
        <w:rPr>
          <w:sz w:val="20"/>
          <w:szCs w:val="20"/>
          <w:color w:val="auto"/>
        </w:rPr>
      </w:pPr>
    </w:p>
    <w:p>
      <w:pPr>
        <w:ind w:left="1680" w:right="579" w:firstLine="317"/>
        <w:spacing w:after="0" w:line="277" w:lineRule="auto"/>
        <w:rPr>
          <w:sz w:val="20"/>
          <w:szCs w:val="20"/>
          <w:color w:val="auto"/>
        </w:rPr>
      </w:pPr>
      <w:r>
        <w:rPr>
          <w:rFonts w:ascii="Times New Roman" w:cs="Times New Roman" w:eastAsia="Times New Roman" w:hAnsi="Times New Roman"/>
          <w:sz w:val="12"/>
          <w:szCs w:val="12"/>
          <w:color w:val="auto"/>
        </w:rPr>
        <w:t>We are a public company and expect to incur significant legal, accounting and other expenses that we did not incur as a private company, including additional costs associated with our public company reporting obligations. The Sarbanes-Oxley Act of 2002, as well as rules subsequently implemented by the SEC and the Nasdaq Stock Market, impose various requirements on the corporate governance practices of public companies. As a company with less than US$1.07 billion in revenues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permits an emerging growth company to delay adopting new or revised accounting standards until such time as those standards apply to private companies. We rely on such exemption provided by the JOBS Act. As a result, our financial statements may not be comparable to companies that comply with public company effective dates.</w:t>
      </w:r>
    </w:p>
    <w:p>
      <w:pPr>
        <w:spacing w:after="0" w:line="123" w:lineRule="exact"/>
        <w:rPr>
          <w:sz w:val="20"/>
          <w:szCs w:val="20"/>
          <w:color w:val="auto"/>
        </w:rPr>
      </w:pPr>
    </w:p>
    <w:p>
      <w:pPr>
        <w:ind w:left="1680" w:right="639" w:firstLine="317"/>
        <w:spacing w:after="0" w:line="253" w:lineRule="auto"/>
        <w:rPr>
          <w:sz w:val="20"/>
          <w:szCs w:val="20"/>
          <w:color w:val="auto"/>
        </w:rPr>
      </w:pPr>
      <w:r>
        <w:rPr>
          <w:rFonts w:ascii="Times New Roman" w:cs="Times New Roman" w:eastAsia="Times New Roman" w:hAnsi="Times New Roman"/>
          <w:sz w:val="13"/>
          <w:szCs w:val="13"/>
          <w:color w:val="auto"/>
        </w:rPr>
        <w:t>We expect these rules and regulations to increase our legal and financial compliance costs and to make some corporate activities more time-consuming and costly. After we are no longer an “emerging growth company,” we expect to incur significant expenses and devote substantial management effort toward ensuring compliance with the requirements of Section 404 of the Sarbanes-Oxley Act of 2002 and the other rules and regulations of the SEC. For example, as a result of being a public company, we need to increase the number of independent directors and adopt policies regarding internal controls and disclosure controls and procedures. In addition, operating as a public company makes it more difficult and more expensive for us to obtain director and officer liability insurance, and we may be required to accept reduced policy limits and coverage or incur substantially higher costs to obtain the same or similar coverage.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64</w:t>
      </w:r>
    </w:p>
    <w:p>
      <w:pPr>
        <w:sectPr>
          <w:pgSz w:w="11900" w:h="16838" w:orient="portrait"/>
          <w:cols w:equalWidth="0" w:num="1">
            <w:col w:w="10159"/>
          </w:cols>
          <w:pgMar w:left="300" w:top="388"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18" w:lineRule="exact"/>
        <w:rPr>
          <w:sz w:val="20"/>
          <w:szCs w:val="20"/>
          <w:color w:val="auto"/>
        </w:rPr>
      </w:pPr>
    </w:p>
    <w:p>
      <w:pPr>
        <w:ind w:left="1680" w:right="639"/>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As a company incorporated in the Cayman Islands, we are permitted to adopt certain home country practices in relation to corporate governance matters that differ significantly from the Nasdaq Stock Market corporate governance listing standards; these practices may afford less protection to shareholders than they would enjoy if we comply fully with the Nasdaq Stock Market corporate governance listing standards.</w:t>
      </w:r>
    </w:p>
    <w:p>
      <w:pPr>
        <w:spacing w:after="0" w:line="50" w:lineRule="exact"/>
        <w:rPr>
          <w:sz w:val="20"/>
          <w:szCs w:val="20"/>
          <w:color w:val="auto"/>
        </w:rPr>
      </w:pPr>
    </w:p>
    <w:p>
      <w:pPr>
        <w:ind w:left="1680" w:right="699" w:firstLine="317"/>
        <w:spacing w:after="0" w:line="255" w:lineRule="auto"/>
        <w:rPr>
          <w:sz w:val="20"/>
          <w:szCs w:val="20"/>
          <w:color w:val="auto"/>
        </w:rPr>
      </w:pPr>
      <w:r>
        <w:rPr>
          <w:rFonts w:ascii="Times New Roman" w:cs="Times New Roman" w:eastAsia="Times New Roman" w:hAnsi="Times New Roman"/>
          <w:sz w:val="13"/>
          <w:szCs w:val="13"/>
          <w:color w:val="auto"/>
        </w:rPr>
        <w:t>As a Cayman Islands exempted company listed on Nasdaq Global Market, we are subject to the Nasdaq Stock Market corporate governance listing standards. However, Nasdaq Stock Market rules permit a foreign private issuer like us to follow the corporate governance practices of its home country. Certain corporate governance practices in the Cayman Islands, which is our home country, may differ significantly from the Nasdaq Stock Market corporate governance listing standards. We have elected to follow our home country practice in lieu of certain corporate governance requirements of the Nasdaq Stock Market. See “Item 16G. Corporate Governance.” As a result, our shareholders may be afforded less protection than they would otherwise enjoy under the Nasdaq Stock Market corporate governance listing standards applicable to U.S. domestic issuers.</w:t>
      </w:r>
    </w:p>
    <w:p>
      <w:pPr>
        <w:spacing w:after="0" w:line="210" w:lineRule="exact"/>
        <w:rPr>
          <w:sz w:val="20"/>
          <w:szCs w:val="20"/>
          <w:color w:val="auto"/>
        </w:rPr>
      </w:pPr>
    </w:p>
    <w:p>
      <w:pPr>
        <w:ind w:left="1680" w:right="59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If we are a passive foreign investment company, or PFIC, for any taxable year, our U.S. shareholders may be subject to adverse U.S. federal income tax consequences.</w:t>
      </w:r>
    </w:p>
    <w:p>
      <w:pPr>
        <w:spacing w:after="0" w:line="38" w:lineRule="exact"/>
        <w:rPr>
          <w:sz w:val="20"/>
          <w:szCs w:val="20"/>
          <w:color w:val="auto"/>
        </w:rPr>
      </w:pPr>
    </w:p>
    <w:p>
      <w:pPr>
        <w:ind w:left="1680" w:right="579" w:firstLine="317"/>
        <w:spacing w:after="0" w:line="254" w:lineRule="auto"/>
        <w:rPr>
          <w:sz w:val="20"/>
          <w:szCs w:val="20"/>
          <w:color w:val="auto"/>
        </w:rPr>
      </w:pPr>
      <w:r>
        <w:rPr>
          <w:rFonts w:ascii="Times New Roman" w:cs="Times New Roman" w:eastAsia="Times New Roman" w:hAnsi="Times New Roman"/>
          <w:sz w:val="13"/>
          <w:szCs w:val="13"/>
          <w:color w:val="auto"/>
        </w:rPr>
        <w:t>A non-U.S. corporation, such as our company, will be a PFIC for U.S. federal income tax purposes for any taxable year if either (i) at least 75% of its gross income for such year is passive income or (ii) at least 50% of the value of its assets (based on an average of the quarterly values of the assets) during such year is attributable to assets that produce or are held for the production of passive income. A separate determination must be made after the close of each taxable year as to whether a non-U.S. corporation is a PFIC for that year. Although the law in this regard is unclear, we intend to treat the VIE and its subsidiaries as being owned by us for U.S. federal income tax purposes, not only because we exercise effective control over the operations of such entities but also because we are entitled to substantially all of their economic benefits and, as a result, we consolidate their results of operations in our consolidated financial statements.</w:t>
      </w:r>
    </w:p>
    <w:p>
      <w:pPr>
        <w:spacing w:after="0" w:line="138" w:lineRule="exact"/>
        <w:rPr>
          <w:sz w:val="20"/>
          <w:szCs w:val="20"/>
          <w:color w:val="auto"/>
        </w:rPr>
      </w:pPr>
    </w:p>
    <w:p>
      <w:pPr>
        <w:ind w:left="1680" w:right="559" w:firstLine="317"/>
        <w:spacing w:after="0" w:line="253" w:lineRule="auto"/>
        <w:rPr>
          <w:sz w:val="20"/>
          <w:szCs w:val="20"/>
          <w:color w:val="auto"/>
        </w:rPr>
      </w:pPr>
      <w:r>
        <w:rPr>
          <w:rFonts w:ascii="Times New Roman" w:cs="Times New Roman" w:eastAsia="Times New Roman" w:hAnsi="Times New Roman"/>
          <w:sz w:val="13"/>
          <w:szCs w:val="13"/>
          <w:color w:val="auto"/>
        </w:rPr>
        <w:t>Assuming that we are treated as the owner of the VIE (and its subsidiaries) for U.S. federal income tax purposes, and based upon our current and expected income and assets, including goodwill and other unbooked intangibles, and the market value of our ADSs, we do not believe we were a PFIC for U.S. federal income tax purposes for the taxable year ended December 31, 2021. While we do not expect to become a PFIC, because the value of our assets for purposes of the asset test may be determined by reference to the market price of our ADSs, fluctuations in the market price of our ADSs may cause us to become a PFIC for the current or subsequent taxable years. In addition, the composition of our income and assets will also be affected by our business plans including how quickly we use our cash and other liquid assets. If we determine not to deploy significant amounts of cash for active purposes or if it were determined that we do not own the stock of the VIE for U.S. federal income tax purposes, our risk of being a PFIC may substantially increase. In light of the foregoing, there can be no assurance that we were not, or will not be, a PFIC for any taxable year. Our U.S. counsel expresses no opinion with respect to our PFIC status for any taxable year.</w:t>
      </w:r>
    </w:p>
    <w:p>
      <w:pPr>
        <w:spacing w:after="0" w:line="138" w:lineRule="exact"/>
        <w:rPr>
          <w:sz w:val="20"/>
          <w:szCs w:val="20"/>
          <w:color w:val="auto"/>
        </w:rPr>
      </w:pPr>
    </w:p>
    <w:p>
      <w:pPr>
        <w:jc w:val="both"/>
        <w:ind w:left="1680" w:right="759" w:firstLine="317"/>
        <w:spacing w:after="0" w:line="264" w:lineRule="auto"/>
        <w:rPr>
          <w:sz w:val="20"/>
          <w:szCs w:val="20"/>
          <w:color w:val="auto"/>
        </w:rPr>
      </w:pPr>
      <w:r>
        <w:rPr>
          <w:rFonts w:ascii="Times New Roman" w:cs="Times New Roman" w:eastAsia="Times New Roman" w:hAnsi="Times New Roman"/>
          <w:sz w:val="13"/>
          <w:szCs w:val="13"/>
          <w:color w:val="auto"/>
        </w:rPr>
        <w:t>If we are a PFIC for any taxable year during which a U.S. Holder (as defined in “Item 10. Additional Information—E. Taxation—U.S. Federal Income Taxation”) holds our ADS or a Class A ordinary share, certain adverse U.S. federal income tax consequences could apply to the U.S. Holder. See “Item 10. Additional Information—E. Taxation—U.S. Federal Income Taxation—Passive Foreign Investment Company Rules.”</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65</w:t>
      </w:r>
    </w:p>
    <w:p>
      <w:pPr>
        <w:sectPr>
          <w:pgSz w:w="11900" w:h="16838" w:orient="portrait"/>
          <w:cols w:equalWidth="0" w:num="1">
            <w:col w:w="10159"/>
          </w:cols>
          <w:pgMar w:left="300" w:top="388"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Item 4. Information on the Company</w:t>
      </w:r>
    </w:p>
    <w:p>
      <w:pPr>
        <w:spacing w:after="0" w:line="8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 xml:space="preserve">A. </w:t>
      </w:r>
      <w:r>
        <w:rPr>
          <w:rFonts w:ascii="Times New Roman" w:cs="Times New Roman" w:eastAsia="Times New Roman" w:hAnsi="Times New Roman"/>
          <w:sz w:val="13"/>
          <w:szCs w:val="13"/>
          <w:b w:val="1"/>
          <w:bCs w:val="1"/>
          <w:u w:val="single" w:color="auto"/>
          <w:color w:val="auto"/>
        </w:rPr>
        <w:t>History and Development of the Company</w:t>
      </w:r>
    </w:p>
    <w:p>
      <w:pPr>
        <w:spacing w:after="0" w:line="86" w:lineRule="exact"/>
        <w:rPr>
          <w:sz w:val="20"/>
          <w:szCs w:val="20"/>
          <w:color w:val="auto"/>
        </w:rPr>
      </w:pPr>
    </w:p>
    <w:p>
      <w:pPr>
        <w:ind w:left="1680" w:right="619" w:firstLine="317"/>
        <w:spacing w:after="0" w:line="278" w:lineRule="auto"/>
        <w:rPr>
          <w:sz w:val="20"/>
          <w:szCs w:val="20"/>
          <w:color w:val="auto"/>
        </w:rPr>
      </w:pPr>
      <w:r>
        <w:rPr>
          <w:rFonts w:ascii="Times New Roman" w:cs="Times New Roman" w:eastAsia="Times New Roman" w:hAnsi="Times New Roman"/>
          <w:sz w:val="13"/>
          <w:szCs w:val="13"/>
          <w:color w:val="auto"/>
        </w:rPr>
        <w:t>In December 2014, we incorporated EHang in the Cayman Islands as our offshore holding company to facilitate offshore financing and listing. In the same month, we established Ehfly Technology Limited, or Ehfly Technology.</w:t>
      </w:r>
    </w:p>
    <w:p>
      <w:pPr>
        <w:spacing w:after="0" w:line="121" w:lineRule="exact"/>
        <w:rPr>
          <w:sz w:val="20"/>
          <w:szCs w:val="20"/>
          <w:color w:val="auto"/>
        </w:rPr>
      </w:pPr>
    </w:p>
    <w:p>
      <w:pPr>
        <w:ind w:left="1680" w:right="699" w:firstLine="317"/>
        <w:spacing w:after="0" w:line="278" w:lineRule="auto"/>
        <w:rPr>
          <w:sz w:val="20"/>
          <w:szCs w:val="20"/>
          <w:color w:val="auto"/>
        </w:rPr>
      </w:pPr>
      <w:r>
        <w:rPr>
          <w:rFonts w:ascii="Times New Roman" w:cs="Times New Roman" w:eastAsia="Times New Roman" w:hAnsi="Times New Roman"/>
          <w:sz w:val="13"/>
          <w:szCs w:val="13"/>
          <w:color w:val="auto"/>
        </w:rPr>
        <w:t>From 2015 to 2021, we and EHang GZ, or the VIE, established the following entities to engage in the business of AAV manufacturing and sales and the provision of AAV commercial solutions and related services:</w:t>
      </w:r>
    </w:p>
    <w:p>
      <w:pPr>
        <w:spacing w:after="0" w:line="52" w:lineRule="exact"/>
        <w:rPr>
          <w:sz w:val="20"/>
          <w:szCs w:val="20"/>
          <w:color w:val="auto"/>
        </w:rPr>
      </w:pPr>
    </w:p>
    <w:p>
      <w:pPr>
        <w:ind w:left="2380" w:right="679" w:hanging="315"/>
        <w:spacing w:after="0" w:line="264" w:lineRule="auto"/>
        <w:tabs>
          <w:tab w:leader="none" w:pos="238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October 2015, Ehfly Technology established a wholly-owned subsidiary in China, EHang Intelligent, our WFOE. EHang Intelligent is engaged in the research, development, manufacture and sale of AAVs, and the research and development of software, communication technology and AAV technologies related to air mobility and intelligent aviation.</w:t>
      </w:r>
    </w:p>
    <w:p>
      <w:pPr>
        <w:spacing w:after="0" w:line="61" w:lineRule="exact"/>
        <w:rPr>
          <w:rFonts w:ascii="Times New Roman" w:cs="Times New Roman" w:eastAsia="Times New Roman" w:hAnsi="Times New Roman"/>
          <w:sz w:val="13"/>
          <w:szCs w:val="13"/>
          <w:color w:val="auto"/>
        </w:rPr>
      </w:pPr>
    </w:p>
    <w:p>
      <w:pPr>
        <w:ind w:left="2380" w:right="579" w:hanging="315"/>
        <w:spacing w:after="0" w:line="264" w:lineRule="auto"/>
        <w:tabs>
          <w:tab w:leader="none" w:pos="238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January 2016, we obtained control over EHang GZ through EHang Intelligent by entering into a series of contractual arrangements with EHang GZ and its shareholders. EHang GZ is primarily engaged in the research, development, manufacture and sale of AAVs, and the research and development of AAV operating systems and infrastructure.</w:t>
      </w:r>
    </w:p>
    <w:p>
      <w:pPr>
        <w:spacing w:after="0" w:line="61"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July 2016, EHang GZ established EHang Egret, to provide aerial media solutions and related services.</w:t>
      </w:r>
    </w:p>
    <w:p>
      <w:pPr>
        <w:spacing w:after="0" w:line="93" w:lineRule="exact"/>
        <w:rPr>
          <w:rFonts w:ascii="Times New Roman" w:cs="Times New Roman" w:eastAsia="Times New Roman" w:hAnsi="Times New Roman"/>
          <w:sz w:val="13"/>
          <w:szCs w:val="13"/>
          <w:color w:val="auto"/>
        </w:rPr>
      </w:pPr>
    </w:p>
    <w:p>
      <w:pPr>
        <w:ind w:left="2380" w:right="719" w:hanging="315"/>
        <w:spacing w:after="0" w:line="278" w:lineRule="auto"/>
        <w:tabs>
          <w:tab w:leader="none" w:pos="238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March 2018, EHang Intelligent established Xi’an EHang Tianyu Intelligent Technology Co., Ltd., to provide aerial logistics solutions and related services.</w:t>
      </w:r>
    </w:p>
    <w:p>
      <w:pPr>
        <w:spacing w:after="0" w:line="52"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June 2020, EHang Intelligent, jointly with two other parties, established EHang Yunfu to manufacture mainly passenger-grade AAVs.</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March 2021, EHang GZ established Guangdong EHang General Aviation Co., Ltd., to provide operational flight services with AAVs.</w:t>
      </w:r>
    </w:p>
    <w:p>
      <w:pPr>
        <w:spacing w:after="0" w:line="162" w:lineRule="exact"/>
        <w:rPr>
          <w:sz w:val="20"/>
          <w:szCs w:val="20"/>
          <w:color w:val="auto"/>
        </w:rPr>
      </w:pPr>
    </w:p>
    <w:p>
      <w:pPr>
        <w:ind w:left="1680" w:right="559" w:firstLine="317"/>
        <w:spacing w:after="0" w:line="253" w:lineRule="auto"/>
        <w:rPr>
          <w:sz w:val="20"/>
          <w:szCs w:val="20"/>
          <w:color w:val="auto"/>
        </w:rPr>
      </w:pPr>
      <w:r>
        <w:rPr>
          <w:rFonts w:ascii="Times New Roman" w:cs="Times New Roman" w:eastAsia="Times New Roman" w:hAnsi="Times New Roman"/>
          <w:sz w:val="13"/>
          <w:szCs w:val="13"/>
          <w:color w:val="auto"/>
        </w:rPr>
        <w:t>Under PRC laws and regulations, our PRC subsidiaries may pay cash dividends to us out of their respective accumulated profits. However, the ability to our PRC subsidiaries to make such distribution to us is subject to various PRC laws and regulations, including the requirement to fund certain statutory funds, as well as potential restriction on currency exchange and capital controls imposed by the PRC government. For more details, see “Item 3. Key Information—D. Risk Factors—Risks Relating to Doing Business in China— 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 and “Item 4. Information on the Company—B. Business Overview—PRC Regulation—Dividend Distribution.” As a result of our contractual arrangements with the VIE and its shareholders, we are regarded as the primary beneficiary of the VIE, and we treat the VIE and its subsidiaries as our consolidated affiliated entities under U.S. GAAP. We have consolidated the financial results of the VIE and its subsidiaries in our consolidated financial statements in accordance with U.S. GAAP.</w:t>
      </w:r>
    </w:p>
    <w:p>
      <w:pPr>
        <w:spacing w:after="0" w:line="13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On December 12, 2019, our ADSs commenced trading on the Nasdaq Global Market under the symbol “EH.” We raised approximately</w:t>
      </w:r>
    </w:p>
    <w:p>
      <w:pPr>
        <w:spacing w:after="0" w:line="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2"/>
          <w:szCs w:val="12"/>
          <w:color w:val="auto"/>
        </w:rPr>
        <w:t>US$33.9 million in net proceeds from the issuance of new shares in our initial public offering after deducting underwriting commissions and the offering</w:t>
      </w:r>
    </w:p>
    <w:p>
      <w:pPr>
        <w:spacing w:after="0" w:line="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expenses payable by us. In January 2020, the underwriters exercised their over-allotment option and we raised approximately US$1.0 million in net</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proceeds from the issuance of new shares after deducting underwriting discounts and offering expenses payable by us.</w:t>
      </w:r>
    </w:p>
    <w:p>
      <w:pPr>
        <w:spacing w:after="0" w:line="150" w:lineRule="exact"/>
        <w:rPr>
          <w:sz w:val="20"/>
          <w:szCs w:val="20"/>
          <w:color w:val="auto"/>
        </w:rPr>
      </w:pPr>
    </w:p>
    <w:p>
      <w:pPr>
        <w:ind w:left="1680" w:right="579" w:firstLine="317"/>
        <w:spacing w:after="0" w:line="263" w:lineRule="auto"/>
        <w:rPr>
          <w:sz w:val="20"/>
          <w:szCs w:val="20"/>
          <w:color w:val="auto"/>
        </w:rPr>
      </w:pPr>
      <w:r>
        <w:rPr>
          <w:rFonts w:ascii="Times New Roman" w:cs="Times New Roman" w:eastAsia="Times New Roman" w:hAnsi="Times New Roman"/>
          <w:sz w:val="13"/>
          <w:szCs w:val="13"/>
          <w:color w:val="auto"/>
        </w:rPr>
        <w:t>Our principal executive offices are located at Building C, Yixiang Technology Park, No.72 Nanxiang Second Road, Huangpu District, Guangzhou 510700, People’s Republic of China. Our telephone number at this address is +86 20 29028899. Our registered office is situated at the office of Maples Corporate Services Limited, PO Box 309, Ugland House, Grand Cayman, KY1-1104, Cayman Islands. Our agent for service of process in the United States is Cogency Global Inc., located at 122 East 42</w:t>
      </w:r>
      <w:r>
        <w:rPr>
          <w:rFonts w:ascii="Times New Roman" w:cs="Times New Roman" w:eastAsia="Times New Roman" w:hAnsi="Times New Roman"/>
          <w:sz w:val="18"/>
          <w:szCs w:val="18"/>
          <w:color w:val="auto"/>
          <w:vertAlign w:val="superscript"/>
        </w:rPr>
        <w:t>nd</w:t>
      </w:r>
      <w:r>
        <w:rPr>
          <w:rFonts w:ascii="Times New Roman" w:cs="Times New Roman" w:eastAsia="Times New Roman" w:hAnsi="Times New Roman"/>
          <w:sz w:val="13"/>
          <w:szCs w:val="13"/>
          <w:color w:val="auto"/>
        </w:rPr>
        <w:t xml:space="preserve"> Street, 18</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xml:space="preserve"> Floor, New York, NY 10168.</w:t>
      </w:r>
    </w:p>
    <w:p>
      <w:pPr>
        <w:spacing w:after="0" w:line="1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66</w:t>
      </w:r>
    </w:p>
    <w:p>
      <w:pPr>
        <w:sectPr>
          <w:pgSz w:w="11900" w:h="16838" w:orient="portrait"/>
          <w:cols w:equalWidth="0" w:num="1">
            <w:col w:w="10159"/>
          </w:cols>
          <w:pgMar w:left="300" w:top="388"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599" w:firstLine="317"/>
        <w:spacing w:after="0" w:line="264" w:lineRule="auto"/>
        <w:rPr>
          <w:sz w:val="20"/>
          <w:szCs w:val="20"/>
          <w:color w:val="auto"/>
        </w:rPr>
      </w:pPr>
      <w:r>
        <w:rPr>
          <w:rFonts w:ascii="Times New Roman" w:cs="Times New Roman" w:eastAsia="Times New Roman" w:hAnsi="Times New Roman"/>
          <w:sz w:val="13"/>
          <w:szCs w:val="13"/>
          <w:color w:val="auto"/>
        </w:rPr>
        <w:t xml:space="preserve">The SEC maintains an internet site that contains reports, proxy and information statements, and other information regarding issuers that file electronically with the SEC on www.sec.gov. You can also find information on our website </w:t>
      </w:r>
      <w:r>
        <w:rPr>
          <w:rFonts w:ascii="Times New Roman" w:cs="Times New Roman" w:eastAsia="Times New Roman" w:hAnsi="Times New Roman"/>
          <w:sz w:val="13"/>
          <w:szCs w:val="13"/>
          <w:i w:val="1"/>
          <w:iCs w:val="1"/>
          <w:color w:val="auto"/>
        </w:rPr>
        <w:t>www.ehang.com</w:t>
      </w:r>
      <w:r>
        <w:rPr>
          <w:rFonts w:ascii="Times New Roman" w:cs="Times New Roman" w:eastAsia="Times New Roman" w:hAnsi="Times New Roman"/>
          <w:sz w:val="13"/>
          <w:szCs w:val="13"/>
          <w:color w:val="auto"/>
        </w:rPr>
        <w:t>. The information on our website should not be deemed a part of this annual report.</w:t>
      </w:r>
    </w:p>
    <w:p>
      <w:pPr>
        <w:spacing w:after="0" w:line="20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 xml:space="preserve">B. </w:t>
      </w:r>
      <w:r>
        <w:rPr>
          <w:rFonts w:ascii="Times New Roman" w:cs="Times New Roman" w:eastAsia="Times New Roman" w:hAnsi="Times New Roman"/>
          <w:sz w:val="13"/>
          <w:szCs w:val="13"/>
          <w:b w:val="1"/>
          <w:bCs w:val="1"/>
          <w:u w:val="single" w:color="auto"/>
          <w:color w:val="auto"/>
        </w:rPr>
        <w:t>Business Overview</w:t>
      </w:r>
    </w:p>
    <w:p>
      <w:pPr>
        <w:spacing w:after="0" w:line="86" w:lineRule="exact"/>
        <w:rPr>
          <w:sz w:val="20"/>
          <w:szCs w:val="20"/>
          <w:color w:val="auto"/>
        </w:rPr>
      </w:pPr>
    </w:p>
    <w:p>
      <w:pPr>
        <w:ind w:left="1680" w:right="559" w:firstLine="317"/>
        <w:spacing w:after="0" w:line="257" w:lineRule="auto"/>
        <w:rPr>
          <w:sz w:val="20"/>
          <w:szCs w:val="20"/>
          <w:color w:val="auto"/>
        </w:rPr>
      </w:pPr>
      <w:r>
        <w:rPr>
          <w:rFonts w:ascii="Times New Roman" w:cs="Times New Roman" w:eastAsia="Times New Roman" w:hAnsi="Times New Roman"/>
          <w:sz w:val="13"/>
          <w:szCs w:val="13"/>
          <w:color w:val="auto"/>
        </w:rPr>
        <w:t>We are an autonomous aerial vehicle technology platform company, positioning to be an urban air mobility platform operator. We are pioneering the future of transportation through our proprietarily developed AAVs, related commercial solutions and services. We believe we are the first in the world to launch passenger-grade AAVs, setting a new milestone in AAV technologies and the UAM market. Our mission is to make safe, autonomous and eco-friendly air mobility accessible to everyone. We believe our technologies and products have the potential to benefit the society and communities by enabling a safe, clean and efficient mode of air transportation.</w:t>
      </w:r>
    </w:p>
    <w:p>
      <w:pPr>
        <w:spacing w:after="0" w:line="133" w:lineRule="exact"/>
        <w:rPr>
          <w:sz w:val="20"/>
          <w:szCs w:val="20"/>
          <w:color w:val="auto"/>
        </w:rPr>
      </w:pPr>
    </w:p>
    <w:p>
      <w:pPr>
        <w:ind w:left="1680" w:right="599" w:firstLine="317"/>
        <w:spacing w:after="0" w:line="254" w:lineRule="auto"/>
        <w:rPr>
          <w:sz w:val="20"/>
          <w:szCs w:val="20"/>
          <w:color w:val="auto"/>
        </w:rPr>
      </w:pPr>
      <w:r>
        <w:rPr>
          <w:rFonts w:ascii="Times New Roman" w:cs="Times New Roman" w:eastAsia="Times New Roman" w:hAnsi="Times New Roman"/>
          <w:sz w:val="13"/>
          <w:szCs w:val="13"/>
          <w:color w:val="auto"/>
        </w:rPr>
        <w:t>In today’s increasingly populated and interconnected world, traditional modes of urban transportation continue to contribute to congestion and pollution, and they are largely confined to land-based infrastructure. Mobility for the future requires a revolutionary solution. While the sky above has always been a possibility, we brought a safe, eco-friendly, cost-effective, easy-to-use and efficient air mobility solution one step closer to reality when we unveiled our first passenger-grade AAV in 2016. Our AAVs require minimal space for vertical take-off and landing, enabling urban travel to expand to the three-dimensional space. Our AAV technologies have the potential to reduce road traffic and associated congestion by taking transportation to the skies while utilizing electric power to reduce pollution. We believe AAV technologies will transform the future of transportation, improving lives and creating new industries.</w:t>
      </w:r>
    </w:p>
    <w:p>
      <w:pPr>
        <w:spacing w:after="0" w:line="138" w:lineRule="exact"/>
        <w:rPr>
          <w:sz w:val="20"/>
          <w:szCs w:val="20"/>
          <w:color w:val="auto"/>
        </w:rPr>
      </w:pPr>
    </w:p>
    <w:p>
      <w:pPr>
        <w:ind w:left="1680" w:right="659" w:firstLine="317"/>
        <w:spacing w:after="0" w:line="264" w:lineRule="auto"/>
        <w:rPr>
          <w:sz w:val="20"/>
          <w:szCs w:val="20"/>
          <w:color w:val="auto"/>
        </w:rPr>
      </w:pPr>
      <w:r>
        <w:rPr>
          <w:rFonts w:ascii="Times New Roman" w:cs="Times New Roman" w:eastAsia="Times New Roman" w:hAnsi="Times New Roman"/>
          <w:sz w:val="13"/>
          <w:szCs w:val="13"/>
          <w:color w:val="auto"/>
        </w:rPr>
        <w:t>We, the VIE and its subsidiaries design, develop, manufacture, sell and operate AAVs and their supporting systems and infrastructure for a broad range of industries and applications, including air mobility (consisting of passenger transportation and logistics), smart city management and aerial media solutions. We aim to make it safe and convenient for both passengers and goods to take to the 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102235</wp:posOffset>
            </wp:positionV>
            <wp:extent cx="1667510" cy="9385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667510" cy="93853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102235</wp:posOffset>
            </wp:positionV>
            <wp:extent cx="1661160" cy="9385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661160" cy="938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340"/>
        <w:spacing w:after="0"/>
        <w:tabs>
          <w:tab w:leader="none" w:pos="7980" w:val="left"/>
        </w:tabs>
        <w:rPr>
          <w:sz w:val="20"/>
          <w:szCs w:val="20"/>
          <w:color w:val="auto"/>
        </w:rPr>
      </w:pPr>
      <w:r>
        <w:rPr>
          <w:rFonts w:ascii="Times New Roman" w:cs="Times New Roman" w:eastAsia="Times New Roman" w:hAnsi="Times New Roman"/>
          <w:sz w:val="13"/>
          <w:szCs w:val="13"/>
          <w:color w:val="auto"/>
        </w:rPr>
        <w:t>Passenger Transportation</w:t>
      </w:r>
      <w:r>
        <w:rPr>
          <w:sz w:val="20"/>
          <w:szCs w:val="20"/>
          <w:color w:val="auto"/>
        </w:rPr>
        <w:tab/>
      </w:r>
      <w:r>
        <w:rPr>
          <w:rFonts w:ascii="Times New Roman" w:cs="Times New Roman" w:eastAsia="Times New Roman" w:hAnsi="Times New Roman"/>
          <w:sz w:val="12"/>
          <w:szCs w:val="12"/>
          <w:color w:val="auto"/>
        </w:rPr>
        <w:t>Logistics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73660</wp:posOffset>
            </wp:positionV>
            <wp:extent cx="1661160" cy="9385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661160" cy="93853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73660</wp:posOffset>
            </wp:positionV>
            <wp:extent cx="1661160" cy="9385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661160" cy="938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360"/>
        <w:spacing w:after="0"/>
        <w:tabs>
          <w:tab w:leader="none" w:pos="7600" w:val="left"/>
        </w:tabs>
        <w:rPr>
          <w:sz w:val="20"/>
          <w:szCs w:val="20"/>
          <w:color w:val="auto"/>
        </w:rPr>
      </w:pPr>
      <w:r>
        <w:rPr>
          <w:rFonts w:ascii="Times New Roman" w:cs="Times New Roman" w:eastAsia="Times New Roman" w:hAnsi="Times New Roman"/>
          <w:sz w:val="13"/>
          <w:szCs w:val="13"/>
          <w:color w:val="auto"/>
        </w:rPr>
        <w:t>Smart City Management</w:t>
      </w:r>
      <w:r>
        <w:rPr>
          <w:sz w:val="20"/>
          <w:szCs w:val="20"/>
          <w:color w:val="auto"/>
        </w:rPr>
        <w:tab/>
      </w:r>
      <w:r>
        <w:rPr>
          <w:rFonts w:ascii="Times New Roman" w:cs="Times New Roman" w:eastAsia="Times New Roman" w:hAnsi="Times New Roman"/>
          <w:sz w:val="13"/>
          <w:szCs w:val="13"/>
          <w:color w:val="auto"/>
        </w:rPr>
        <w:t>Aerial Media Solutions</w:t>
      </w:r>
    </w:p>
    <w:p>
      <w:pPr>
        <w:spacing w:after="0" w:line="171" w:lineRule="exact"/>
        <w:rPr>
          <w:sz w:val="20"/>
          <w:szCs w:val="20"/>
          <w:color w:val="auto"/>
        </w:rPr>
      </w:pPr>
    </w:p>
    <w:p>
      <w:pPr>
        <w:jc w:val="both"/>
        <w:ind w:left="1680" w:right="559" w:firstLine="317"/>
        <w:spacing w:after="0" w:line="259" w:lineRule="auto"/>
        <w:rPr>
          <w:sz w:val="20"/>
          <w:szCs w:val="20"/>
          <w:color w:val="auto"/>
        </w:rPr>
      </w:pPr>
      <w:r>
        <w:rPr>
          <w:rFonts w:ascii="Times New Roman" w:cs="Times New Roman" w:eastAsia="Times New Roman" w:hAnsi="Times New Roman"/>
          <w:sz w:val="13"/>
          <w:szCs w:val="13"/>
          <w:color w:val="auto"/>
        </w:rPr>
        <w:t>We are the first mover in AAV technologies and solutions. In January 2016, we unveiled the electric passenger-grade AAV, EHang 184, a single-seat model, at CES. In March 2018, we delivered a unit of our dual-seat EHang 216 to a customer for testing, training and demonstration purposes. This was our first delivery of a passenger-grade AAV. In addition, we and the VIE have developed a number of non-passenger-grade AAV models suitable for a variety of industrial and commercial applications.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67</w:t>
      </w:r>
    </w:p>
    <w:p>
      <w:pPr>
        <w:sectPr>
          <w:pgSz w:w="11900" w:h="16838" w:orient="portrait"/>
          <w:cols w:equalWidth="0" w:num="1">
            <w:col w:w="10159"/>
          </w:cols>
          <w:pgMar w:left="300" w:top="388"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559" w:firstLine="317"/>
        <w:spacing w:after="0" w:line="257" w:lineRule="auto"/>
        <w:rPr>
          <w:sz w:val="20"/>
          <w:szCs w:val="20"/>
          <w:color w:val="auto"/>
        </w:rPr>
      </w:pPr>
      <w:r>
        <w:rPr>
          <w:rFonts w:ascii="Times New Roman" w:cs="Times New Roman" w:eastAsia="Times New Roman" w:hAnsi="Times New Roman"/>
          <w:sz w:val="13"/>
          <w:szCs w:val="13"/>
          <w:color w:val="auto"/>
        </w:rPr>
        <w:t>Unlike manually controlled UAVs, our intelligent AAVs can fly and operate autonomously from take-off to landing in pre-determined flight routes. Our and the VIE’s proprietary in-flight operating systems and on-the-ground infrastructure enable reliable and simultaneous management of a fleet of AAVs at scale. The operating systems installed on each AAV consist of an autopilot and flight control system, communication systems, a battery management system and a safety management system. Our on-the-ground infrastructure consists primarily of centralized command-and-control systems, handheld and computer-based ground stations, vertiports and AAV charging equipment.</w:t>
      </w:r>
    </w:p>
    <w:p>
      <w:pPr>
        <w:spacing w:after="0" w:line="133" w:lineRule="exact"/>
        <w:rPr>
          <w:sz w:val="20"/>
          <w:szCs w:val="20"/>
          <w:color w:val="auto"/>
        </w:rPr>
      </w:pPr>
    </w:p>
    <w:p>
      <w:pPr>
        <w:ind w:left="1680" w:right="579" w:firstLine="317"/>
        <w:spacing w:after="0" w:line="257" w:lineRule="auto"/>
        <w:rPr>
          <w:sz w:val="20"/>
          <w:szCs w:val="20"/>
          <w:color w:val="auto"/>
        </w:rPr>
      </w:pPr>
      <w:r>
        <w:rPr>
          <w:rFonts w:ascii="Times New Roman" w:cs="Times New Roman" w:eastAsia="Times New Roman" w:hAnsi="Times New Roman"/>
          <w:sz w:val="13"/>
          <w:szCs w:val="13"/>
          <w:color w:val="auto"/>
        </w:rPr>
        <w:t>We strive to design safe, reliable and functional products. At our design and testing center, we have conducted a multitude of AAV flight tests, including climbing flight tests, high maneuverability tests, speed tests, night flying tests, as well as flight tests in harsh weather conditions. Our passenger-grade AAVs have conducted trial or demo flights in 11 countries across Asia, Europe and North America, predominantly in China. These trial or demo flights include a large number of passenger-carrying flights and flight tests in winds of up to 70 kilometers per hour, in fog with a visibility of approximately 50 meters, and at a flight altitude of 4,100 meters above sea level.</w:t>
      </w:r>
    </w:p>
    <w:p>
      <w:pPr>
        <w:spacing w:after="0" w:line="133" w:lineRule="exact"/>
        <w:rPr>
          <w:sz w:val="20"/>
          <w:szCs w:val="20"/>
          <w:color w:val="auto"/>
        </w:rPr>
      </w:pPr>
    </w:p>
    <w:p>
      <w:pPr>
        <w:ind w:left="1680" w:right="599" w:firstLine="317"/>
        <w:spacing w:after="0" w:line="280" w:lineRule="auto"/>
        <w:rPr>
          <w:sz w:val="20"/>
          <w:szCs w:val="20"/>
          <w:color w:val="auto"/>
        </w:rPr>
      </w:pPr>
      <w:r>
        <w:rPr>
          <w:rFonts w:ascii="Times New Roman" w:cs="Times New Roman" w:eastAsia="Times New Roman" w:hAnsi="Times New Roman"/>
          <w:sz w:val="12"/>
          <w:szCs w:val="12"/>
          <w:color w:val="auto"/>
        </w:rPr>
        <w:t>Driven by our strategic goal to be a UAM platform operator as well as government planning in sustainable air mobility and smart city management, we are currently expanding our UAM Pilot City Initiative and the 100 Air Mobility Routes Initiative. We and the VIE have established strategic partnerships with five city governments on UAM programs in China and Europe, including Guangzhou in China, Linz in Austria and Seville, Llíria and Zaragoza in Spain. In addition, we have established partnerships with state-owned enterprises, such as Shenzhen Expressway and Guangzhou Development District Communications Investment Group, to jointly develop UAM and smart city programs in China. We expect to establish strategic partnerships with more city governments or state-owned enterprises in the future to expand our UAM network in China and globally.</w:t>
      </w:r>
    </w:p>
    <w:p>
      <w:pPr>
        <w:spacing w:after="0" w:line="19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Significant Market Opportunities.</w:t>
      </w:r>
    </w:p>
    <w:p>
      <w:pPr>
        <w:spacing w:after="0" w:line="86" w:lineRule="exact"/>
        <w:rPr>
          <w:sz w:val="20"/>
          <w:szCs w:val="20"/>
          <w:color w:val="auto"/>
        </w:rPr>
      </w:pPr>
    </w:p>
    <w:p>
      <w:pPr>
        <w:ind w:left="1680" w:right="559" w:firstLine="317"/>
        <w:spacing w:after="0" w:line="264" w:lineRule="auto"/>
        <w:rPr>
          <w:sz w:val="20"/>
          <w:szCs w:val="20"/>
          <w:color w:val="auto"/>
        </w:rPr>
      </w:pPr>
      <w:r>
        <w:rPr>
          <w:rFonts w:ascii="Times New Roman" w:cs="Times New Roman" w:eastAsia="Times New Roman" w:hAnsi="Times New Roman"/>
          <w:sz w:val="13"/>
          <w:szCs w:val="13"/>
          <w:color w:val="auto"/>
        </w:rPr>
        <w:t>The market opportunities created by our technologies are significant. According to Morgan Stanley Research, the global urban air mobility market is expected to reach US$1.0 trillion by 2040 and to reach US$9.0 trillion by 2050. To capture the significant growth potential in the AAV market, we strive to continue to innovate and expand the boundaries for air mobility.</w:t>
      </w:r>
    </w:p>
    <w:p>
      <w:pPr>
        <w:spacing w:after="0" w:line="20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Orders, Delivery and Financial Results.</w:t>
      </w:r>
    </w:p>
    <w:p>
      <w:pPr>
        <w:spacing w:after="0" w:line="86" w:lineRule="exact"/>
        <w:rPr>
          <w:sz w:val="20"/>
          <w:szCs w:val="20"/>
          <w:color w:val="auto"/>
        </w:rPr>
      </w:pPr>
    </w:p>
    <w:p>
      <w:pPr>
        <w:jc w:val="both"/>
        <w:ind w:left="1680" w:right="659" w:firstLine="317"/>
        <w:spacing w:after="0" w:line="264" w:lineRule="auto"/>
        <w:rPr>
          <w:sz w:val="20"/>
          <w:szCs w:val="20"/>
          <w:color w:val="auto"/>
        </w:rPr>
      </w:pPr>
      <w:r>
        <w:rPr>
          <w:rFonts w:ascii="Times New Roman" w:cs="Times New Roman" w:eastAsia="Times New Roman" w:hAnsi="Times New Roman"/>
          <w:sz w:val="13"/>
          <w:szCs w:val="13"/>
          <w:color w:val="auto"/>
        </w:rPr>
        <w:t>As of December 31, 2021, we had cumulatively delivered 164 units of passenger-grade AAVs, mainly operated on a limited trial basis in tourism locations in China, for testing, training and demonstration purposes, and we and the VIE had also developed and delivered four command-and-control centers or systems for smart city management.</w:t>
      </w:r>
    </w:p>
    <w:p>
      <w:pPr>
        <w:spacing w:after="0" w:line="129" w:lineRule="exact"/>
        <w:rPr>
          <w:sz w:val="20"/>
          <w:szCs w:val="20"/>
          <w:color w:val="auto"/>
        </w:rPr>
      </w:pPr>
    </w:p>
    <w:p>
      <w:pPr>
        <w:jc w:val="both"/>
        <w:ind w:left="1680" w:right="779" w:firstLine="317"/>
        <w:spacing w:after="0" w:line="322" w:lineRule="auto"/>
        <w:rPr>
          <w:sz w:val="20"/>
          <w:szCs w:val="20"/>
          <w:color w:val="auto"/>
        </w:rPr>
      </w:pPr>
      <w:r>
        <w:rPr>
          <w:rFonts w:ascii="Times New Roman" w:cs="Times New Roman" w:eastAsia="Times New Roman" w:hAnsi="Times New Roman"/>
          <w:sz w:val="12"/>
          <w:szCs w:val="12"/>
          <w:color w:val="auto"/>
        </w:rPr>
        <w:t>The major source of our revenue is our core business, air mobility solutions. Since early 2019, we have continued deliveries of our passenger-grade AAVs in air mobility solutions. Despite the challenges posed by the COVID-19 pandemic, we sold 30 units of passenger-grade AAVs in 2021.</w:t>
      </w:r>
    </w:p>
    <w:p>
      <w:pPr>
        <w:spacing w:after="0" w:line="97" w:lineRule="exact"/>
        <w:rPr>
          <w:sz w:val="20"/>
          <w:szCs w:val="20"/>
          <w:color w:val="auto"/>
        </w:rPr>
      </w:pPr>
    </w:p>
    <w:p>
      <w:pPr>
        <w:ind w:left="1680" w:right="619" w:firstLine="317"/>
        <w:spacing w:after="0" w:line="296" w:lineRule="auto"/>
        <w:rPr>
          <w:sz w:val="20"/>
          <w:szCs w:val="20"/>
          <w:color w:val="auto"/>
        </w:rPr>
      </w:pPr>
      <w:r>
        <w:rPr>
          <w:rFonts w:ascii="Times New Roman" w:cs="Times New Roman" w:eastAsia="Times New Roman" w:hAnsi="Times New Roman"/>
          <w:sz w:val="12"/>
          <w:szCs w:val="12"/>
          <w:color w:val="auto"/>
        </w:rPr>
        <w:t>As of March 31, 2022, we have unfulfilled pre-orders for over 1,000 units of our passenger-grade AAV products, including EHang 216 series and VT-30, on a cumulative basis. Pre-orders do not obligate the customers to purchase our AAVs unless certain conditions are satisfied. Fulfilment is expected to take several years and is conditional upon, among other things, achievement of performance milestones and receipt of regulatory approvals.</w:t>
      </w:r>
    </w:p>
    <w:p>
      <w:pPr>
        <w:spacing w:after="0" w:line="112" w:lineRule="exact"/>
        <w:rPr>
          <w:sz w:val="20"/>
          <w:szCs w:val="20"/>
          <w:color w:val="auto"/>
        </w:rPr>
      </w:pPr>
    </w:p>
    <w:p>
      <w:pPr>
        <w:ind w:left="1680" w:right="559" w:firstLine="317"/>
        <w:spacing w:after="0" w:line="255" w:lineRule="auto"/>
        <w:rPr>
          <w:sz w:val="20"/>
          <w:szCs w:val="20"/>
          <w:color w:val="auto"/>
        </w:rPr>
      </w:pPr>
      <w:r>
        <w:rPr>
          <w:rFonts w:ascii="Times New Roman" w:cs="Times New Roman" w:eastAsia="Times New Roman" w:hAnsi="Times New Roman"/>
          <w:sz w:val="13"/>
          <w:szCs w:val="13"/>
          <w:color w:val="auto"/>
        </w:rPr>
        <w:t>Our revenues increased by 47.8% from RMB121.8 million in 2019 to RMB180.1 million in 2020, and decreased by 68.5% to RMB56.8 million (US$8.9 million) in 2021. Our net loss increased by 91.8% from RMB48.0 million in 2019 to RMB92.0 million (US$14.1 million) in 2020, and further increased by 241.0% to RMB 313.9 million (US$49.3 million) in 2021. In 2021, revenues generated by air mobility solutions, smart city management solutions and aerial media solutions were RMB48.2 million (US$7.6 million), RMB7.1 million (US$1.1 million) and RMB1.1 million (US$0.2 million), representing 84.8%, 12.6% and 1.9% of our total revenues, respectively. As of December 31, 2021, our accumulated deficit amounted to RMB1,122.2 million (US$176.1 million).</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68</w:t>
      </w:r>
    </w:p>
    <w:p>
      <w:pPr>
        <w:sectPr>
          <w:pgSz w:w="11900" w:h="16838" w:orient="portrait"/>
          <w:cols w:equalWidth="0" w:num="1">
            <w:col w:w="10159"/>
          </w:cols>
          <w:pgMar w:left="300" w:top="388"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Regulatory Updates</w:t>
      </w:r>
    </w:p>
    <w:p>
      <w:pPr>
        <w:spacing w:after="0" w:line="86" w:lineRule="exact"/>
        <w:rPr>
          <w:sz w:val="20"/>
          <w:szCs w:val="20"/>
          <w:color w:val="auto"/>
        </w:rPr>
      </w:pPr>
    </w:p>
    <w:p>
      <w:pPr>
        <w:ind w:left="1680" w:right="599" w:firstLine="317"/>
        <w:spacing w:after="0" w:line="278" w:lineRule="auto"/>
        <w:rPr>
          <w:sz w:val="20"/>
          <w:szCs w:val="20"/>
          <w:color w:val="auto"/>
        </w:rPr>
      </w:pPr>
      <w:r>
        <w:rPr>
          <w:rFonts w:ascii="Times New Roman" w:cs="Times New Roman" w:eastAsia="Times New Roman" w:hAnsi="Times New Roman"/>
          <w:sz w:val="13"/>
          <w:szCs w:val="13"/>
          <w:color w:val="auto"/>
        </w:rPr>
        <w:t>In 2021, we and our local partners made significant progress in obtaining regulatory approvals to conduct trial or test AAV operations or flights in several jurisdictions, and the certification process of the EHang 216 AAV progressed well with the CAAC in China.</w:t>
      </w:r>
    </w:p>
    <w:p>
      <w:pPr>
        <w:spacing w:after="0" w:line="50" w:lineRule="exact"/>
        <w:rPr>
          <w:sz w:val="20"/>
          <w:szCs w:val="20"/>
          <w:color w:val="auto"/>
        </w:rPr>
      </w:pPr>
    </w:p>
    <w:p>
      <w:pPr>
        <w:ind w:left="2380" w:right="559" w:hanging="315"/>
        <w:spacing w:after="0" w:line="252" w:lineRule="auto"/>
        <w:tabs>
          <w:tab w:leader="none" w:pos="238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China. </w:t>
      </w:r>
      <w:r>
        <w:rPr>
          <w:rFonts w:ascii="Times New Roman" w:cs="Times New Roman" w:eastAsia="Times New Roman" w:hAnsi="Times New Roman"/>
          <w:sz w:val="13"/>
          <w:szCs w:val="13"/>
          <w:color w:val="auto"/>
        </w:rPr>
        <w:t>In January 2021, the CAAC accepted our official submission of EHang 216 Type Certificate application, and established a Type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Certification team in April 2021 to further advance the certification process of EHang 216 passenger-grade AAV. Expert members of the CAAC Type Certification team investigated and evaluated the design features, technical points, safety performance and other aspects of EHang 216, and conducted field trip to our Research and Development Center and test sites. In February 2022, the CAAC formally adopted the Special Conditions for EHang 216 Type Certification. We made critical contributions of our technological expertise and know-how. The Special Conditions provided clear safety requirements for the certification of EHang 216, including flight performance, aircraft structures, design and constructions, propulsion systems, systems and equipment, data link, ground control station, etc. With specified requirements set out, we progressed to the compliance review phase and submitted to the CAAC the Project Specific Certification Plan and the Certification Plan with solid means of compliance. During the certification process, we, the VIE and our partners carried out operational trial flights under the CAAC’s guiding principles and in accordance with its compliance requirements. As of March 31, 2022, over 4,000 operational trial flights have been conducted with EHang 216 AAVs in practical scenarios of aerial sightseeing at selected 9 operation spots in cities such as Guangzhou, Hezhou, Shenzhen, Zhaoqing, Sanya under our 100 Air Mobility Routes Initiative in China.</w:t>
      </w:r>
    </w:p>
    <w:p>
      <w:pPr>
        <w:spacing w:after="0" w:line="70" w:lineRule="exact"/>
        <w:rPr>
          <w:rFonts w:ascii="Times New Roman" w:cs="Times New Roman" w:eastAsia="Times New Roman" w:hAnsi="Times New Roman"/>
          <w:sz w:val="13"/>
          <w:szCs w:val="13"/>
          <w:color w:val="auto"/>
        </w:rPr>
      </w:pPr>
    </w:p>
    <w:p>
      <w:pPr>
        <w:ind w:left="2380" w:right="659" w:hanging="315"/>
        <w:spacing w:after="0" w:line="255" w:lineRule="auto"/>
        <w:tabs>
          <w:tab w:leader="none" w:pos="238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Japan. </w:t>
      </w:r>
      <w:r>
        <w:rPr>
          <w:rFonts w:ascii="Times New Roman" w:cs="Times New Roman" w:eastAsia="Times New Roman" w:hAnsi="Times New Roman"/>
          <w:sz w:val="13"/>
          <w:szCs w:val="13"/>
          <w:color w:val="auto"/>
        </w:rPr>
        <w:t>In June 2021, EHang 216 debuted in Japan with an unmanned and autonomous trial flight , as part of the “Leading the Revolution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 Urban Air Mobility” event, organized by our local partner the Okayama Kurashiki Mizushima Aero &amp; Space Industry Cluster Study Group, or MASC, and us at Kasaoka Air Station in Okayama Prefecture, Japan. In December 2021, we and MASC further conducted unmanned and autonomous flight demonstrations of EHang 216 successively at the Fukushima Robot Test Field in Fukushima and at Kasaoka Air Station in Okayama, Japan. These AAV flights were conducted with trial flight permits issued by the Ministry of Land, Infrastructure, Transport and Tourism of Japan, or MLIT, to our local partner. EHang 216 was the first passenger-grade AAV granted permission for outdoor open airspace trial flights in Japan.</w:t>
      </w:r>
    </w:p>
    <w:p>
      <w:pPr>
        <w:spacing w:after="0" w:line="65" w:lineRule="exact"/>
        <w:rPr>
          <w:rFonts w:ascii="Times New Roman" w:cs="Times New Roman" w:eastAsia="Times New Roman" w:hAnsi="Times New Roman"/>
          <w:sz w:val="13"/>
          <w:szCs w:val="13"/>
          <w:color w:val="auto"/>
        </w:rPr>
      </w:pPr>
    </w:p>
    <w:p>
      <w:pPr>
        <w:jc w:val="both"/>
        <w:ind w:left="2380" w:right="719" w:hanging="315"/>
        <w:spacing w:after="0" w:line="278" w:lineRule="auto"/>
        <w:tabs>
          <w:tab w:leader="none" w:pos="238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Estonia. </w:t>
      </w:r>
      <w:r>
        <w:rPr>
          <w:rFonts w:ascii="Times New Roman" w:cs="Times New Roman" w:eastAsia="Times New Roman" w:hAnsi="Times New Roman"/>
          <w:sz w:val="12"/>
          <w:szCs w:val="12"/>
          <w:color w:val="auto"/>
        </w:rPr>
        <w:t>In September 2021, EHang 216 and Falcon logistics model completed Beyond Visual Line of Sight, or BVLOS, trial flights for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airport transport and parcel delivery in Estonia under the European Union’s GOF 2.0 Integrated Urban Airspace Validation project. The Estonian Transport Administration issued a Special Permit to us for trial flights in designated Estonian airspace until the end of 2021.</w:t>
      </w:r>
    </w:p>
    <w:p>
      <w:pPr>
        <w:spacing w:after="0" w:line="1" w:lineRule="exact"/>
        <w:rPr>
          <w:rFonts w:ascii="Times New Roman" w:cs="Times New Roman" w:eastAsia="Times New Roman" w:hAnsi="Times New Roman"/>
          <w:sz w:val="12"/>
          <w:szCs w:val="12"/>
          <w:color w:val="auto"/>
        </w:rPr>
      </w:pPr>
    </w:p>
    <w:p>
      <w:pPr>
        <w:ind w:left="23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EHang 216 is the first kind of passenger-grade AAV to have conducted BVLOS trial flights in Estonian airspace.</w:t>
      </w:r>
    </w:p>
    <w:p>
      <w:pPr>
        <w:spacing w:after="0" w:line="79" w:lineRule="exact"/>
        <w:rPr>
          <w:rFonts w:ascii="Times New Roman" w:cs="Times New Roman" w:eastAsia="Times New Roman" w:hAnsi="Times New Roman"/>
          <w:sz w:val="12"/>
          <w:szCs w:val="12"/>
          <w:color w:val="auto"/>
        </w:rPr>
      </w:pPr>
    </w:p>
    <w:p>
      <w:pPr>
        <w:ind w:left="2380" w:right="659" w:hanging="315"/>
        <w:spacing w:after="0" w:line="265" w:lineRule="auto"/>
        <w:tabs>
          <w:tab w:leader="none" w:pos="238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Indonesia. </w:t>
      </w:r>
      <w:r>
        <w:rPr>
          <w:rFonts w:ascii="Times New Roman" w:cs="Times New Roman" w:eastAsia="Times New Roman" w:hAnsi="Times New Roman"/>
          <w:sz w:val="13"/>
          <w:szCs w:val="13"/>
          <w:color w:val="auto"/>
        </w:rPr>
        <w:t>In November 2021, we and our local partner Prestige Aviation conducted a debut flight demonstration of EHang 216 for aerial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sightseeing in Bali, Indonesia, with a Special Certificate of Airworthiness issued by the Directorate General of Civil Aviation from the Ministry of Transportation of the Republic of Indonesia.</w:t>
      </w:r>
    </w:p>
    <w:p>
      <w:pPr>
        <w:spacing w:after="0" w:line="59" w:lineRule="exact"/>
        <w:rPr>
          <w:rFonts w:ascii="Times New Roman" w:cs="Times New Roman" w:eastAsia="Times New Roman" w:hAnsi="Times New Roman"/>
          <w:sz w:val="13"/>
          <w:szCs w:val="13"/>
          <w:color w:val="auto"/>
        </w:rPr>
      </w:pPr>
    </w:p>
    <w:p>
      <w:pPr>
        <w:ind w:left="2380" w:right="739" w:hanging="315"/>
        <w:spacing w:after="0" w:line="282" w:lineRule="auto"/>
        <w:tabs>
          <w:tab w:leader="none" w:pos="238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Austria. </w:t>
      </w:r>
      <w:r>
        <w:rPr>
          <w:rFonts w:ascii="Times New Roman" w:cs="Times New Roman" w:eastAsia="Times New Roman" w:hAnsi="Times New Roman"/>
          <w:sz w:val="13"/>
          <w:szCs w:val="13"/>
          <w:color w:val="auto"/>
        </w:rPr>
        <w:t>In December 2021, we received the Austria’s first aerial media permit from the Civil Aviation Authority of Austria. The permit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allows us to operate commercial aerial media shows across all EU member states.</w:t>
      </w:r>
    </w:p>
    <w:p>
      <w:pPr>
        <w:spacing w:after="0" w:line="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69</w:t>
      </w:r>
    </w:p>
    <w:p>
      <w:pPr>
        <w:sectPr>
          <w:pgSz w:w="11900" w:h="16838" w:orient="portrait"/>
          <w:cols w:equalWidth="0" w:num="1">
            <w:col w:w="10159"/>
          </w:cols>
          <w:pgMar w:left="300" w:top="388"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Our Business</w:t>
      </w:r>
    </w:p>
    <w:p>
      <w:pPr>
        <w:spacing w:after="0" w:line="86" w:lineRule="exact"/>
        <w:rPr>
          <w:sz w:val="20"/>
          <w:szCs w:val="20"/>
          <w:color w:val="auto"/>
        </w:rPr>
      </w:pPr>
    </w:p>
    <w:p>
      <w:pPr>
        <w:ind w:left="1680" w:right="659" w:firstLine="317"/>
        <w:spacing w:after="0" w:line="278" w:lineRule="auto"/>
        <w:rPr>
          <w:sz w:val="20"/>
          <w:szCs w:val="20"/>
          <w:color w:val="auto"/>
        </w:rPr>
      </w:pPr>
      <w:r>
        <w:rPr>
          <w:rFonts w:ascii="Times New Roman" w:cs="Times New Roman" w:eastAsia="Times New Roman" w:hAnsi="Times New Roman"/>
          <w:sz w:val="13"/>
          <w:szCs w:val="13"/>
          <w:color w:val="auto"/>
        </w:rPr>
        <w:t>Our business is built on our technology platform comprising our AAVs and AAV operating systems and infrastructure through which we provide AAV commercial solutions and services.</w:t>
      </w:r>
    </w:p>
    <w:p>
      <w:pPr>
        <w:spacing w:after="0" w:line="19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Our AAVs</w:t>
      </w:r>
    </w:p>
    <w:p>
      <w:pPr>
        <w:spacing w:after="0" w:line="88" w:lineRule="exact"/>
        <w:rPr>
          <w:sz w:val="20"/>
          <w:szCs w:val="20"/>
          <w:color w:val="auto"/>
        </w:rPr>
      </w:pPr>
    </w:p>
    <w:p>
      <w:pPr>
        <w:ind w:left="1680" w:right="559" w:firstLine="317"/>
        <w:spacing w:after="0" w:line="257" w:lineRule="auto"/>
        <w:rPr>
          <w:sz w:val="20"/>
          <w:szCs w:val="20"/>
          <w:color w:val="auto"/>
        </w:rPr>
      </w:pPr>
      <w:r>
        <w:rPr>
          <w:rFonts w:ascii="Times New Roman" w:cs="Times New Roman" w:eastAsia="Times New Roman" w:hAnsi="Times New Roman"/>
          <w:sz w:val="13"/>
          <w:szCs w:val="13"/>
          <w:color w:val="auto"/>
        </w:rPr>
        <w:t>Our AAVs consist of passenger-grade AAVs, and non-passenger-grade AAVs. Our passenger-grade AAV models include dual-seat EHang 216 and single-seat EHang 116, which are electronic models designed for short- to medium-range intra-city air transportation, and VT-30, which is an electric dual-seat model designed for long-range inter-city air transportation. Based on EHang 216 (standard model), we and the VIE further developed and launched EHang 216F (firefighting model) and EHang 216L (logistics model). Our non-passenger-grade AAV models, including Falcon B, GD 2.0X and V100, are designed for a variety of commercial applications, such as aerial logistics, smart city management and aerial media solutions.</w:t>
      </w:r>
    </w:p>
    <w:p>
      <w:pPr>
        <w:spacing w:after="0" w:line="133" w:lineRule="exact"/>
        <w:rPr>
          <w:sz w:val="20"/>
          <w:szCs w:val="20"/>
          <w:color w:val="auto"/>
        </w:rPr>
      </w:pPr>
    </w:p>
    <w:p>
      <w:pPr>
        <w:ind w:left="1680" w:right="559" w:firstLine="317"/>
        <w:spacing w:after="0" w:line="253" w:lineRule="auto"/>
        <w:rPr>
          <w:sz w:val="20"/>
          <w:szCs w:val="20"/>
          <w:color w:val="auto"/>
        </w:rPr>
      </w:pPr>
      <w:r>
        <w:rPr>
          <w:rFonts w:ascii="Times New Roman" w:cs="Times New Roman" w:eastAsia="Times New Roman" w:hAnsi="Times New Roman"/>
          <w:sz w:val="13"/>
          <w:szCs w:val="13"/>
          <w:color w:val="auto"/>
        </w:rPr>
        <w:t>We strive to design safe, reliable and functional AAVs. We adopt aerodynamic designs in our AAV construction to reduce wind resistance, noise and to maximize safety. Our AAVs are constructed using carbon fiber, composite materials and aviation-grade aluminum alloy to ensure strength, safety and high-level performance. For our EHang 216 and EHang 116 passenger-grade AAV models, we adopt a full redundancy safety design with backups for all the key components and sub-systems, as well as a distributed electric propulsion configuration with 16 independent motors and propellers coaxially mounted on eight arms. We have designed a modularized structure with an upper cabin for passengers and a lower compartment to house major components and sub-systems to ensure structural safety and ease of customization for different applications. Our AAVs are connected to 4G or 5G telecommunication networks, which enables real-time monitoring, management and operations remotely through our on-the-ground centralized command-and-control system or standalone handheld and computer-based ground stations to ensure flight safety.</w:t>
      </w:r>
    </w:p>
    <w:p>
      <w:pPr>
        <w:spacing w:after="0" w:line="21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Passenger-grade AAVs</w:t>
      </w:r>
    </w:p>
    <w:p>
      <w:pPr>
        <w:spacing w:after="0" w:line="88" w:lineRule="exact"/>
        <w:rPr>
          <w:sz w:val="20"/>
          <w:szCs w:val="20"/>
          <w:color w:val="auto"/>
        </w:rPr>
      </w:pPr>
    </w:p>
    <w:p>
      <w:pPr>
        <w:ind w:left="1680" w:right="579" w:firstLine="317"/>
        <w:spacing w:after="0" w:line="254" w:lineRule="auto"/>
        <w:rPr>
          <w:sz w:val="20"/>
          <w:szCs w:val="20"/>
          <w:color w:val="auto"/>
        </w:rPr>
      </w:pPr>
      <w:r>
        <w:rPr>
          <w:rFonts w:ascii="Times New Roman" w:cs="Times New Roman" w:eastAsia="Times New Roman" w:hAnsi="Times New Roman"/>
          <w:sz w:val="13"/>
          <w:szCs w:val="13"/>
          <w:color w:val="auto"/>
        </w:rPr>
        <w:t>We and the VIE have developed and released six models of passenger-grade AAVs, EHang 184, EHang 116, EHang 216, EHang 216F, EHang 216L and VT-30. In January 2016, we announced EHang 184, a single-seat electric passenger-grade AAV. In 2018, we announced EHang 216, our dual-seat passenger-grade AAV model, and EHang 116, our enhanced single-seat passenger-grade AAV model, which replaced the EHang 184. Our passenger-grade AAVs can also be customized for large-payload logistics and firefighting to meet market demand. For example, in September 2020, we unveiled EHang 216L, a version of EHang 216 that is specially designed for aerial logistics. In July 2020, we announced EHang 216F, a version of EHang 216 that is specially designed for high-rise firefighting. In May 2021, we unveiled VT-30, the first model of electric passenger-grade AAV in our product suite designed for long-range inter-city transportation.</w:t>
      </w:r>
    </w:p>
    <w:p>
      <w:pPr>
        <w:spacing w:after="0" w:line="13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following table sets forth selected information about our passenger-grade AAVs:</w:t>
      </w:r>
    </w:p>
    <w:p>
      <w:pPr>
        <w:spacing w:after="0" w:line="11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70</w:t>
      </w:r>
    </w:p>
    <w:p>
      <w:pPr>
        <w:sectPr>
          <w:pgSz w:w="11900" w:h="16838" w:orient="portrait"/>
          <w:cols w:equalWidth="0" w:num="1">
            <w:col w:w="10159"/>
          </w:cols>
          <w:pgMar w:left="300" w:top="388"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right"/>
        <w:ind w:right="1099"/>
        <w:spacing w:after="0"/>
        <w:tabs>
          <w:tab w:leader="none" w:pos="2620" w:val="left"/>
          <w:tab w:leader="none" w:pos="680" w:val="left"/>
        </w:tabs>
        <w:rPr>
          <w:sz w:val="20"/>
          <w:szCs w:val="20"/>
          <w:color w:val="auto"/>
        </w:rPr>
      </w:pPr>
      <w:r>
        <w:rPr>
          <w:rFonts w:ascii="Times New Roman" w:cs="Times New Roman" w:eastAsia="Times New Roman" w:hAnsi="Times New Roman"/>
          <w:sz w:val="13"/>
          <w:szCs w:val="13"/>
          <w:b w:val="1"/>
          <w:bCs w:val="1"/>
          <w:color w:val="auto"/>
        </w:rPr>
        <w:t>EHang 216</w:t>
      </w:r>
      <w:r>
        <w:rPr>
          <w:sz w:val="20"/>
          <w:szCs w:val="20"/>
          <w:color w:val="auto"/>
        </w:rPr>
        <w:tab/>
      </w:r>
      <w:r>
        <w:rPr>
          <w:rFonts w:ascii="Times New Roman" w:cs="Times New Roman" w:eastAsia="Times New Roman" w:hAnsi="Times New Roman"/>
          <w:sz w:val="13"/>
          <w:szCs w:val="13"/>
          <w:b w:val="1"/>
          <w:bCs w:val="1"/>
          <w:color w:val="auto"/>
        </w:rPr>
        <w:t>EHang 216F</w:t>
      </w:r>
      <w:r>
        <w:rPr>
          <w:sz w:val="20"/>
          <w:szCs w:val="20"/>
          <w:color w:val="auto"/>
        </w:rPr>
        <w:tab/>
      </w:r>
      <w:r>
        <w:rPr>
          <w:rFonts w:ascii="Times New Roman" w:cs="Times New Roman" w:eastAsia="Times New Roman" w:hAnsi="Times New Roman"/>
          <w:sz w:val="12"/>
          <w:szCs w:val="12"/>
          <w:b w:val="1"/>
          <w:bCs w:val="1"/>
          <w:color w:val="auto"/>
        </w:rPr>
        <w:t>EHang 216L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2438400</wp:posOffset>
            </wp:positionH>
            <wp:positionV relativeFrom="paragraph">
              <wp:posOffset>62865</wp:posOffset>
            </wp:positionV>
            <wp:extent cx="3465195" cy="5124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65195" cy="512445"/>
                    </a:xfrm>
                    <a:prstGeom prst="rect">
                      <a:avLst/>
                    </a:prstGeom>
                    <a:noFill/>
                  </pic:spPr>
                </pic:pic>
              </a:graphicData>
            </a:graphic>
          </wp:anchor>
        </w:drawing>
      </w:r>
    </w:p>
    <w:p>
      <w:pPr>
        <w:sectPr>
          <w:pgSz w:w="11900" w:h="16838" w:orient="portrait"/>
          <w:cols w:equalWidth="0" w:num="1">
            <w:col w:w="10159"/>
          </w:cols>
          <w:pgMar w:left="300" w:top="38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2"/>
          <w:szCs w:val="12"/>
          <w:b w:val="1"/>
          <w:bCs w:val="1"/>
          <w:color w:val="auto"/>
        </w:rPr>
        <w:t>Delivery Status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3"/>
          <w:szCs w:val="13"/>
          <w:b w:val="1"/>
          <w:bCs w:val="1"/>
          <w:color w:val="auto"/>
        </w:rPr>
        <w:t>Design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3"/>
          <w:szCs w:val="13"/>
          <w:color w:val="auto"/>
        </w:rPr>
        <w:t>As of December 31, 2021, we had cumulatively delivered 153 units to customers for testing, training and demonstration purposes, mainly operated on a limited trial basis in tourism locations in China. Currently we are working to obtain regulatory approvals in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60"/>
        <w:spacing w:after="0" w:line="322" w:lineRule="auto"/>
        <w:rPr>
          <w:sz w:val="20"/>
          <w:szCs w:val="20"/>
          <w:color w:val="auto"/>
        </w:rPr>
      </w:pPr>
      <w:r>
        <w:rPr>
          <w:rFonts w:ascii="Times New Roman" w:cs="Times New Roman" w:eastAsia="Times New Roman" w:hAnsi="Times New Roman"/>
          <w:sz w:val="12"/>
          <w:szCs w:val="12"/>
          <w:color w:val="auto"/>
        </w:rPr>
        <w:t>Dual seats, 16 independent motors and propellers over eight arms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3"/>
          <w:szCs w:val="13"/>
          <w:color w:val="auto"/>
        </w:rPr>
        <w:t>As of December 31, 2021, we had cumulatively delivered five units to customers for testing, training and demonstration purposes. In July 2021, we completed a comprehensive 10-month technical examination on EHang 216F through 52 different types of tests by the China National Fire-Fighting Equipment Quality Supervision Testing Center, which is under the Ministry of Emergency Management of China.</w:t>
      </w:r>
    </w:p>
    <w:p>
      <w:pPr>
        <w:spacing w:after="0" w:line="6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3"/>
          <w:szCs w:val="13"/>
          <w:color w:val="auto"/>
        </w:rPr>
        <w:t>16 independent motors and propellers over eight arms; a high-pressure nozzle, a laser aiming device, six fire extinguishing projectile launchers above the cabin; a firefighting foam tank below cabin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599"/>
        <w:spacing w:after="0" w:line="259" w:lineRule="auto"/>
        <w:rPr>
          <w:sz w:val="20"/>
          <w:szCs w:val="20"/>
          <w:color w:val="auto"/>
        </w:rPr>
      </w:pPr>
      <w:r>
        <w:rPr>
          <w:rFonts w:ascii="Times New Roman" w:cs="Times New Roman" w:eastAsia="Times New Roman" w:hAnsi="Times New Roman"/>
          <w:sz w:val="13"/>
          <w:szCs w:val="13"/>
          <w:color w:val="auto"/>
        </w:rPr>
        <w:t>As of December 31, 2021, we had delivered five units to customers for testing, training and demonstration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559"/>
        <w:spacing w:after="0" w:line="264" w:lineRule="auto"/>
        <w:rPr>
          <w:sz w:val="20"/>
          <w:szCs w:val="20"/>
          <w:color w:val="auto"/>
        </w:rPr>
      </w:pPr>
      <w:r>
        <w:rPr>
          <w:rFonts w:ascii="Times New Roman" w:cs="Times New Roman" w:eastAsia="Times New Roman" w:hAnsi="Times New Roman"/>
          <w:sz w:val="13"/>
          <w:szCs w:val="13"/>
          <w:color w:val="auto"/>
        </w:rPr>
        <w:t>16 independent motors and propellers over eight arms, a cargo compartment</w:t>
      </w:r>
    </w:p>
    <w:p>
      <w:pPr>
        <w:spacing w:after="0" w:line="672" w:lineRule="exact"/>
        <w:rPr>
          <w:sz w:val="20"/>
          <w:szCs w:val="20"/>
          <w:color w:val="auto"/>
        </w:rPr>
      </w:pPr>
    </w:p>
    <w:p>
      <w:pPr>
        <w:sectPr>
          <w:pgSz w:w="11900" w:h="16838" w:orient="portrait"/>
          <w:cols w:equalWidth="0" w:num="4">
            <w:col w:w="3120" w:space="720"/>
            <w:col w:w="1840" w:space="140"/>
            <w:col w:w="1860" w:space="120"/>
            <w:col w:w="2359"/>
          </w:cols>
          <w:pgMar w:left="300" w:top="388" w:right="1440" w:bottom="1440" w:gutter="0" w:footer="0" w:header="0"/>
          <w:type w:val="continuous"/>
        </w:sectPr>
      </w:pPr>
    </w:p>
    <w:p>
      <w:pPr>
        <w:ind w:left="1680"/>
        <w:spacing w:after="0"/>
        <w:rPr>
          <w:sz w:val="20"/>
          <w:szCs w:val="20"/>
          <w:color w:val="auto"/>
        </w:rPr>
      </w:pPr>
      <w:r>
        <w:rPr>
          <w:rFonts w:ascii="Times New Roman" w:cs="Times New Roman" w:eastAsia="Times New Roman" w:hAnsi="Times New Roman"/>
          <w:sz w:val="13"/>
          <w:szCs w:val="13"/>
          <w:b w:val="1"/>
          <w:bCs w:val="1"/>
          <w:color w:val="auto"/>
        </w:rPr>
        <w:t>Applications</w:t>
      </w:r>
    </w:p>
    <w:p>
      <w:pPr>
        <w:spacing w:after="0" w:line="39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Specifications</w:t>
      </w:r>
    </w:p>
    <w:p>
      <w:pPr>
        <w:spacing w:after="0" w:line="8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Maximum speed</w:t>
      </w:r>
    </w:p>
    <w:p>
      <w:pPr>
        <w:spacing w:after="0" w:line="8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Cruising speed</w:t>
      </w:r>
    </w:p>
    <w:p>
      <w:pPr>
        <w:spacing w:after="0" w:line="8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2"/>
          <w:szCs w:val="12"/>
          <w:color w:val="auto"/>
        </w:rPr>
        <w:t>Designed flight time with maximum</w:t>
      </w:r>
    </w:p>
    <w:p>
      <w:pPr>
        <w:spacing w:after="0" w:line="3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payload</w:t>
      </w:r>
    </w:p>
    <w:p>
      <w:pPr>
        <w:spacing w:after="0" w:line="7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Designed flight distance with</w:t>
      </w:r>
    </w:p>
    <w:p>
      <w:pPr>
        <w:spacing w:after="0" w:line="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maximum payload</w:t>
      </w:r>
    </w:p>
    <w:p>
      <w:pPr>
        <w:spacing w:after="0" w:line="7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Maximum payload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1940" w:type="dxa"/>
            <w:vAlign w:val="bottom"/>
          </w:tcPr>
          <w:p>
            <w:pPr>
              <w:spacing w:after="0"/>
              <w:rPr>
                <w:sz w:val="20"/>
                <w:szCs w:val="20"/>
                <w:color w:val="auto"/>
              </w:rPr>
            </w:pPr>
            <w:r>
              <w:rPr>
                <w:rFonts w:ascii="Times New Roman" w:cs="Times New Roman" w:eastAsia="Times New Roman" w:hAnsi="Times New Roman"/>
                <w:sz w:val="13"/>
                <w:szCs w:val="13"/>
                <w:color w:val="auto"/>
              </w:rPr>
              <w:t>Aerial sightseeing, passenger</w:t>
            </w:r>
          </w:p>
        </w:tc>
        <w:tc>
          <w:tcPr>
            <w:tcW w:w="19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High-rise firefighting</w:t>
            </w:r>
          </w:p>
        </w:tc>
        <w:tc>
          <w:tcPr>
            <w:tcW w:w="15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8"/>
              </w:rPr>
              <w:t>Aerial logistics, emergency</w:t>
            </w:r>
          </w:p>
        </w:tc>
      </w:tr>
      <w:tr>
        <w:trPr>
          <w:trHeight w:val="156"/>
        </w:trPr>
        <w:tc>
          <w:tcPr>
            <w:tcW w:w="1940" w:type="dxa"/>
            <w:vAlign w:val="bottom"/>
          </w:tcPr>
          <w:p>
            <w:pPr>
              <w:spacing w:after="0"/>
              <w:rPr>
                <w:sz w:val="20"/>
                <w:szCs w:val="20"/>
                <w:color w:val="auto"/>
              </w:rPr>
            </w:pPr>
            <w:r>
              <w:rPr>
                <w:rFonts w:ascii="Times New Roman" w:cs="Times New Roman" w:eastAsia="Times New Roman" w:hAnsi="Times New Roman"/>
                <w:sz w:val="13"/>
                <w:szCs w:val="13"/>
                <w:color w:val="auto"/>
              </w:rPr>
              <w:t>transportation, aerial logistics,</w:t>
            </w:r>
          </w:p>
        </w:tc>
        <w:tc>
          <w:tcPr>
            <w:tcW w:w="1940" w:type="dxa"/>
            <w:vAlign w:val="bottom"/>
          </w:tcPr>
          <w:p>
            <w:pPr>
              <w:spacing w:after="0"/>
              <w:rPr>
                <w:sz w:val="13"/>
                <w:szCs w:val="13"/>
                <w:color w:val="auto"/>
              </w:rPr>
            </w:pPr>
          </w:p>
        </w:tc>
        <w:tc>
          <w:tcPr>
            <w:tcW w:w="15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8"/>
              </w:rPr>
              <w:t>medical service, and others</w:t>
            </w:r>
          </w:p>
        </w:tc>
      </w:tr>
      <w:tr>
        <w:trPr>
          <w:trHeight w:val="168"/>
        </w:trPr>
        <w:tc>
          <w:tcPr>
            <w:tcW w:w="1940" w:type="dxa"/>
            <w:vAlign w:val="bottom"/>
          </w:tcPr>
          <w:p>
            <w:pPr>
              <w:spacing w:after="0"/>
              <w:rPr>
                <w:sz w:val="20"/>
                <w:szCs w:val="20"/>
                <w:color w:val="auto"/>
              </w:rPr>
            </w:pPr>
            <w:r>
              <w:rPr>
                <w:rFonts w:ascii="Times New Roman" w:cs="Times New Roman" w:eastAsia="Times New Roman" w:hAnsi="Times New Roman"/>
                <w:sz w:val="13"/>
                <w:szCs w:val="13"/>
                <w:color w:val="auto"/>
              </w:rPr>
              <w:t>emergency transportation and others</w:t>
            </w:r>
          </w:p>
        </w:tc>
        <w:tc>
          <w:tcPr>
            <w:tcW w:w="19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467"/>
        </w:trPr>
        <w:tc>
          <w:tcPr>
            <w:tcW w:w="1940" w:type="dxa"/>
            <w:vAlign w:val="bottom"/>
          </w:tcPr>
          <w:p>
            <w:pPr>
              <w:spacing w:after="0"/>
              <w:rPr>
                <w:sz w:val="20"/>
                <w:szCs w:val="20"/>
                <w:color w:val="auto"/>
              </w:rPr>
            </w:pPr>
            <w:r>
              <w:rPr>
                <w:rFonts w:ascii="Times New Roman" w:cs="Times New Roman" w:eastAsia="Times New Roman" w:hAnsi="Times New Roman"/>
                <w:sz w:val="13"/>
                <w:szCs w:val="13"/>
                <w:color w:val="auto"/>
              </w:rPr>
              <w:t>130 km/h</w:t>
            </w:r>
          </w:p>
        </w:tc>
        <w:tc>
          <w:tcPr>
            <w:tcW w:w="19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130 km/h</w:t>
            </w:r>
          </w:p>
        </w:tc>
        <w:tc>
          <w:tcPr>
            <w:tcW w:w="1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130 km/h</w:t>
            </w:r>
          </w:p>
        </w:tc>
      </w:tr>
      <w:tr>
        <w:trPr>
          <w:trHeight w:val="233"/>
        </w:trPr>
        <w:tc>
          <w:tcPr>
            <w:tcW w:w="1940" w:type="dxa"/>
            <w:vAlign w:val="bottom"/>
          </w:tcPr>
          <w:p>
            <w:pPr>
              <w:spacing w:after="0"/>
              <w:rPr>
                <w:sz w:val="20"/>
                <w:szCs w:val="20"/>
                <w:color w:val="auto"/>
              </w:rPr>
            </w:pPr>
            <w:r>
              <w:rPr>
                <w:rFonts w:ascii="Times New Roman" w:cs="Times New Roman" w:eastAsia="Times New Roman" w:hAnsi="Times New Roman"/>
                <w:sz w:val="13"/>
                <w:szCs w:val="13"/>
                <w:color w:val="auto"/>
              </w:rPr>
              <w:t>100 km/h</w:t>
            </w:r>
          </w:p>
        </w:tc>
        <w:tc>
          <w:tcPr>
            <w:tcW w:w="19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100 km/h</w:t>
            </w:r>
          </w:p>
        </w:tc>
        <w:tc>
          <w:tcPr>
            <w:tcW w:w="1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100 km/h</w:t>
            </w:r>
          </w:p>
        </w:tc>
      </w:tr>
      <w:tr>
        <w:trPr>
          <w:trHeight w:val="233"/>
        </w:trPr>
        <w:tc>
          <w:tcPr>
            <w:tcW w:w="1940" w:type="dxa"/>
            <w:vAlign w:val="bottom"/>
          </w:tcPr>
          <w:p>
            <w:pPr>
              <w:spacing w:after="0"/>
              <w:rPr>
                <w:sz w:val="20"/>
                <w:szCs w:val="20"/>
                <w:color w:val="auto"/>
              </w:rPr>
            </w:pPr>
            <w:r>
              <w:rPr>
                <w:rFonts w:ascii="Times New Roman" w:cs="Times New Roman" w:eastAsia="Times New Roman" w:hAnsi="Times New Roman"/>
                <w:sz w:val="13"/>
                <w:szCs w:val="13"/>
                <w:color w:val="auto"/>
              </w:rPr>
              <w:t>25 minutes</w:t>
            </w:r>
          </w:p>
        </w:tc>
        <w:tc>
          <w:tcPr>
            <w:tcW w:w="19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21 minutes</w:t>
            </w:r>
          </w:p>
        </w:tc>
        <w:tc>
          <w:tcPr>
            <w:tcW w:w="1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21 minutes</w:t>
            </w:r>
          </w:p>
        </w:tc>
      </w:tr>
      <w:tr>
        <w:trPr>
          <w:trHeight w:val="389"/>
        </w:trPr>
        <w:tc>
          <w:tcPr>
            <w:tcW w:w="1940" w:type="dxa"/>
            <w:vAlign w:val="bottom"/>
          </w:tcPr>
          <w:p>
            <w:pPr>
              <w:spacing w:after="0"/>
              <w:rPr>
                <w:sz w:val="20"/>
                <w:szCs w:val="20"/>
                <w:color w:val="auto"/>
              </w:rPr>
            </w:pPr>
            <w:r>
              <w:rPr>
                <w:rFonts w:ascii="Times New Roman" w:cs="Times New Roman" w:eastAsia="Times New Roman" w:hAnsi="Times New Roman"/>
                <w:sz w:val="13"/>
                <w:szCs w:val="13"/>
                <w:color w:val="auto"/>
              </w:rPr>
              <w:t>30 km</w:t>
            </w:r>
          </w:p>
        </w:tc>
        <w:tc>
          <w:tcPr>
            <w:tcW w:w="19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35 km</w:t>
            </w:r>
          </w:p>
        </w:tc>
        <w:tc>
          <w:tcPr>
            <w:tcW w:w="1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35 km</w:t>
            </w:r>
          </w:p>
        </w:tc>
      </w:tr>
      <w:tr>
        <w:trPr>
          <w:trHeight w:val="377"/>
        </w:trPr>
        <w:tc>
          <w:tcPr>
            <w:tcW w:w="1940" w:type="dxa"/>
            <w:vAlign w:val="bottom"/>
          </w:tcPr>
          <w:p>
            <w:pPr>
              <w:spacing w:after="0"/>
              <w:rPr>
                <w:sz w:val="20"/>
                <w:szCs w:val="20"/>
                <w:color w:val="auto"/>
              </w:rPr>
            </w:pPr>
            <w:r>
              <w:rPr>
                <w:rFonts w:ascii="Times New Roman" w:cs="Times New Roman" w:eastAsia="Times New Roman" w:hAnsi="Times New Roman"/>
                <w:sz w:val="13"/>
                <w:szCs w:val="13"/>
                <w:color w:val="auto"/>
              </w:rPr>
              <w:t>220 kg</w:t>
            </w:r>
          </w:p>
        </w:tc>
        <w:tc>
          <w:tcPr>
            <w:tcW w:w="19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150 liters of firefighting foams and</w:t>
            </w:r>
          </w:p>
        </w:tc>
        <w:tc>
          <w:tcPr>
            <w:tcW w:w="1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250 kg</w:t>
            </w:r>
          </w:p>
        </w:tc>
      </w:tr>
      <w:tr>
        <w:trPr>
          <w:trHeight w:val="168"/>
        </w:trPr>
        <w:tc>
          <w:tcPr>
            <w:tcW w:w="194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6 fire extinguishing projectiles</w:t>
            </w:r>
          </w:p>
        </w:tc>
        <w:tc>
          <w:tcPr>
            <w:tcW w:w="1500" w:type="dxa"/>
            <w:vAlign w:val="bottom"/>
          </w:tcPr>
          <w:p>
            <w:pPr>
              <w:spacing w:after="0"/>
              <w:rPr>
                <w:sz w:val="14"/>
                <w:szCs w:val="14"/>
                <w:color w:val="auto"/>
              </w:rPr>
            </w:pPr>
          </w:p>
        </w:tc>
      </w:tr>
      <w:tr>
        <w:trPr>
          <w:trHeight w:val="263"/>
        </w:trPr>
        <w:tc>
          <w:tcPr>
            <w:tcW w:w="194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71</w:t>
            </w:r>
          </w:p>
        </w:tc>
        <w:tc>
          <w:tcPr>
            <w:tcW w:w="1940" w:type="dxa"/>
            <w:vAlign w:val="bottom"/>
          </w:tcPr>
          <w:p>
            <w:pPr>
              <w:spacing w:after="0"/>
              <w:rPr>
                <w:sz w:val="22"/>
                <w:szCs w:val="22"/>
                <w:color w:val="auto"/>
              </w:rPr>
            </w:pPr>
          </w:p>
        </w:tc>
        <w:tc>
          <w:tcPr>
            <w:tcW w:w="1500" w:type="dxa"/>
            <w:vAlign w:val="bottom"/>
          </w:tcPr>
          <w:p>
            <w:pPr>
              <w:spacing w:after="0"/>
              <w:rPr>
                <w:sz w:val="22"/>
                <w:szCs w:val="22"/>
                <w:color w:val="auto"/>
              </w:rPr>
            </w:pPr>
          </w:p>
        </w:tc>
      </w:tr>
    </w:tbl>
    <w:p>
      <w:pPr>
        <w:sectPr>
          <w:pgSz w:w="11900" w:h="16838" w:orient="portrait"/>
          <w:cols w:equalWidth="0" w:num="2">
            <w:col w:w="3560" w:space="280"/>
            <w:col w:w="6319"/>
          </w:cols>
          <w:pgMar w:left="300" w:top="388" w:right="1440"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Maximum altitude (above sea level)</w:t>
      </w:r>
    </w:p>
    <w:p>
      <w:pPr>
        <w:spacing w:after="0" w:line="8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2"/>
          <w:szCs w:val="12"/>
          <w:color w:val="auto"/>
        </w:rPr>
        <w:t>Time to full charge (standard charging)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Delivery Status</w:t>
      </w:r>
    </w:p>
    <w:p>
      <w:pPr>
        <w:spacing w:after="0" w:line="8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Design</w:t>
      </w:r>
    </w:p>
    <w:p>
      <w:pPr>
        <w:spacing w:after="0" w:line="39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Applications</w:t>
      </w:r>
    </w:p>
    <w:p>
      <w:pPr>
        <w:spacing w:after="0" w:line="24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Specifications</w:t>
      </w:r>
    </w:p>
    <w:p>
      <w:pPr>
        <w:spacing w:after="0" w:line="8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Designed flight time</w:t>
      </w:r>
    </w:p>
    <w:p>
      <w:pPr>
        <w:spacing w:after="0" w:line="8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Designed flight distance</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ind w:left="760"/>
        <w:spacing w:after="0"/>
        <w:tabs>
          <w:tab w:leader="none" w:pos="2920" w:val="left"/>
          <w:tab w:leader="none" w:pos="4500" w:val="left"/>
        </w:tabs>
        <w:rPr>
          <w:sz w:val="20"/>
          <w:szCs w:val="20"/>
          <w:color w:val="auto"/>
        </w:rPr>
      </w:pPr>
      <w:r>
        <w:rPr>
          <w:rFonts w:ascii="Times New Roman" w:cs="Times New Roman" w:eastAsia="Times New Roman" w:hAnsi="Times New Roman"/>
          <w:sz w:val="13"/>
          <w:szCs w:val="13"/>
          <w:b w:val="1"/>
          <w:bCs w:val="1"/>
          <w:color w:val="auto"/>
        </w:rPr>
        <w:t>EHang 216</w:t>
      </w:r>
      <w:r>
        <w:rPr>
          <w:sz w:val="20"/>
          <w:szCs w:val="20"/>
          <w:color w:val="auto"/>
        </w:rPr>
        <w:tab/>
      </w:r>
      <w:r>
        <w:rPr>
          <w:rFonts w:ascii="Times New Roman" w:cs="Times New Roman" w:eastAsia="Times New Roman" w:hAnsi="Times New Roman"/>
          <w:sz w:val="13"/>
          <w:szCs w:val="13"/>
          <w:b w:val="1"/>
          <w:bCs w:val="1"/>
          <w:color w:val="auto"/>
        </w:rPr>
        <w:t>EHang 216F</w:t>
      </w:r>
      <w:r>
        <w:rPr>
          <w:sz w:val="20"/>
          <w:szCs w:val="20"/>
          <w:color w:val="auto"/>
        </w:rPr>
        <w:tab/>
      </w:r>
      <w:r>
        <w:rPr>
          <w:rFonts w:ascii="Times New Roman" w:cs="Times New Roman" w:eastAsia="Times New Roman" w:hAnsi="Times New Roman"/>
          <w:sz w:val="13"/>
          <w:szCs w:val="13"/>
          <w:b w:val="1"/>
          <w:bCs w:val="1"/>
          <w:color w:val="auto"/>
        </w:rPr>
        <w:t>EHang 216L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-2743835</wp:posOffset>
            </wp:positionH>
            <wp:positionV relativeFrom="paragraph">
              <wp:posOffset>-486410</wp:posOffset>
            </wp:positionV>
            <wp:extent cx="7208520" cy="438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8520" cy="43815"/>
                    </a:xfrm>
                    <a:prstGeom prst="rect">
                      <a:avLst/>
                    </a:prstGeom>
                    <a:noFill/>
                  </pic:spPr>
                </pic:pic>
              </a:graphicData>
            </a:graphic>
          </wp:anchor>
        </w:drawing>
      </w:r>
    </w:p>
    <w:p>
      <w:pPr>
        <w:spacing w:after="0" w:line="66" w:lineRule="exact"/>
        <w:rPr>
          <w:sz w:val="20"/>
          <w:szCs w:val="20"/>
          <w:color w:val="auto"/>
        </w:rPr>
      </w:pPr>
    </w:p>
    <w:p>
      <w:pPr>
        <w:spacing w:after="0"/>
        <w:tabs>
          <w:tab w:leader="none" w:pos="2180" w:val="left"/>
          <w:tab w:leader="none" w:pos="4420" w:val="left"/>
        </w:tabs>
        <w:rPr>
          <w:sz w:val="20"/>
          <w:szCs w:val="20"/>
          <w:color w:val="auto"/>
        </w:rPr>
      </w:pPr>
      <w:r>
        <w:rPr>
          <w:rFonts w:ascii="Times New Roman" w:cs="Times New Roman" w:eastAsia="Times New Roman" w:hAnsi="Times New Roman"/>
          <w:sz w:val="13"/>
          <w:szCs w:val="13"/>
          <w:color w:val="auto"/>
        </w:rPr>
        <w:t>3,000 meters</w:t>
      </w:r>
      <w:r>
        <w:rPr>
          <w:sz w:val="20"/>
          <w:szCs w:val="20"/>
          <w:color w:val="auto"/>
        </w:rPr>
        <w:tab/>
      </w:r>
      <w:r>
        <w:rPr>
          <w:rFonts w:ascii="Times New Roman" w:cs="Times New Roman" w:eastAsia="Times New Roman" w:hAnsi="Times New Roman"/>
          <w:sz w:val="13"/>
          <w:szCs w:val="13"/>
          <w:color w:val="auto"/>
        </w:rPr>
        <w:t>3,000 meters</w:t>
      </w:r>
      <w:r>
        <w:rPr>
          <w:sz w:val="20"/>
          <w:szCs w:val="20"/>
          <w:color w:val="auto"/>
        </w:rPr>
        <w:tab/>
      </w:r>
      <w:r>
        <w:rPr>
          <w:rFonts w:ascii="Times New Roman" w:cs="Times New Roman" w:eastAsia="Times New Roman" w:hAnsi="Times New Roman"/>
          <w:sz w:val="13"/>
          <w:szCs w:val="13"/>
          <w:color w:val="auto"/>
        </w:rPr>
        <w:t>3,000 meters</w:t>
      </w:r>
    </w:p>
    <w:p>
      <w:pPr>
        <w:spacing w:after="0" w:line="84" w:lineRule="exact"/>
        <w:rPr>
          <w:sz w:val="20"/>
          <w:szCs w:val="20"/>
          <w:color w:val="auto"/>
        </w:rPr>
      </w:pPr>
    </w:p>
    <w:p>
      <w:pPr>
        <w:spacing w:after="0"/>
        <w:tabs>
          <w:tab w:leader="none" w:pos="2180" w:val="left"/>
          <w:tab w:leader="none" w:pos="4420" w:val="left"/>
        </w:tabs>
        <w:rPr>
          <w:sz w:val="20"/>
          <w:szCs w:val="20"/>
          <w:color w:val="auto"/>
        </w:rPr>
      </w:pPr>
      <w:r>
        <w:rPr>
          <w:rFonts w:ascii="Times New Roman" w:cs="Times New Roman" w:eastAsia="Times New Roman" w:hAnsi="Times New Roman"/>
          <w:sz w:val="13"/>
          <w:szCs w:val="13"/>
          <w:color w:val="auto"/>
        </w:rPr>
        <w:t>≤ 120 minutes</w:t>
      </w:r>
      <w:r>
        <w:rPr>
          <w:sz w:val="20"/>
          <w:szCs w:val="20"/>
          <w:color w:val="auto"/>
        </w:rPr>
        <w:tab/>
      </w:r>
      <w:r>
        <w:rPr>
          <w:rFonts w:ascii="Times New Roman" w:cs="Times New Roman" w:eastAsia="Times New Roman" w:hAnsi="Times New Roman"/>
          <w:sz w:val="13"/>
          <w:szCs w:val="13"/>
          <w:color w:val="auto"/>
        </w:rPr>
        <w:t>&lt; 120 minutes</w:t>
      </w:r>
      <w:r>
        <w:rPr>
          <w:sz w:val="20"/>
          <w:szCs w:val="20"/>
          <w:color w:val="auto"/>
        </w:rPr>
        <w:tab/>
      </w:r>
      <w:r>
        <w:rPr>
          <w:rFonts w:ascii="Times New Roman" w:cs="Times New Roman" w:eastAsia="Times New Roman" w:hAnsi="Times New Roman"/>
          <w:sz w:val="12"/>
          <w:szCs w:val="12"/>
          <w:color w:val="auto"/>
        </w:rPr>
        <w:t>&lt; 120 minutes</w:t>
      </w:r>
    </w:p>
    <w:p>
      <w:pPr>
        <w:spacing w:after="0" w:line="17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3"/>
          <w:szCs w:val="13"/>
          <w:b w:val="1"/>
          <w:bCs w:val="1"/>
          <w:color w:val="auto"/>
        </w:rPr>
        <w:t>VT-30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1233170</wp:posOffset>
            </wp:positionH>
            <wp:positionV relativeFrom="paragraph">
              <wp:posOffset>13335</wp:posOffset>
            </wp:positionV>
            <wp:extent cx="1111885" cy="7410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11885" cy="741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As of December 31, 2021, we had not delivered any unit to customers.</w:t>
      </w:r>
    </w:p>
    <w:p>
      <w:pPr>
        <w:spacing w:after="0" w:line="84" w:lineRule="exact"/>
        <w:rPr>
          <w:sz w:val="20"/>
          <w:szCs w:val="20"/>
          <w:color w:val="auto"/>
        </w:rPr>
      </w:pPr>
    </w:p>
    <w:p>
      <w:pPr>
        <w:ind w:left="320" w:right="619"/>
        <w:spacing w:after="0" w:line="264" w:lineRule="auto"/>
        <w:rPr>
          <w:sz w:val="20"/>
          <w:szCs w:val="20"/>
          <w:color w:val="auto"/>
        </w:rPr>
      </w:pPr>
      <w:r>
        <w:rPr>
          <w:rFonts w:ascii="Times New Roman" w:cs="Times New Roman" w:eastAsia="Times New Roman" w:hAnsi="Times New Roman"/>
          <w:sz w:val="13"/>
          <w:szCs w:val="13"/>
          <w:color w:val="auto"/>
        </w:rPr>
        <w:t>Streamlined fuselage with a combined lifting rudder surface at the tail; eight propellers on both sides; a pair of fixed wings; a propelling propeller at the rear, which are designed to achieve a maximum balance of hybrid lift and push.</w:t>
      </w:r>
    </w:p>
    <w:p>
      <w:pPr>
        <w:spacing w:after="0" w:line="51" w:lineRule="exact"/>
        <w:rPr>
          <w:sz w:val="20"/>
          <w:szCs w:val="20"/>
          <w:color w:val="auto"/>
        </w:rPr>
      </w:pPr>
    </w:p>
    <w:p>
      <w:pPr>
        <w:ind w:left="320" w:right="859"/>
        <w:spacing w:after="0" w:line="278" w:lineRule="auto"/>
        <w:rPr>
          <w:sz w:val="20"/>
          <w:szCs w:val="20"/>
          <w:color w:val="auto"/>
        </w:rPr>
      </w:pPr>
      <w:r>
        <w:rPr>
          <w:rFonts w:ascii="Times New Roman" w:cs="Times New Roman" w:eastAsia="Times New Roman" w:hAnsi="Times New Roman"/>
          <w:sz w:val="13"/>
          <w:szCs w:val="13"/>
          <w:color w:val="auto"/>
        </w:rPr>
        <w:t>Aerial sightseeing, passenger transportation, aerial logistics, emergency transportation and others</w:t>
      </w:r>
    </w:p>
    <w:p>
      <w:pPr>
        <w:spacing w:after="0" w:line="276" w:lineRule="exact"/>
        <w:rPr>
          <w:sz w:val="20"/>
          <w:szCs w:val="20"/>
          <w:color w:val="auto"/>
        </w:rPr>
      </w:pPr>
    </w:p>
    <w:p>
      <w:pPr>
        <w:ind w:left="540" w:hanging="227"/>
        <w:spacing w:after="0"/>
        <w:tabs>
          <w:tab w:leader="none" w:pos="54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minutes</w:t>
      </w:r>
    </w:p>
    <w:p>
      <w:pPr>
        <w:spacing w:after="0" w:line="83" w:lineRule="exact"/>
        <w:rPr>
          <w:rFonts w:ascii="Times New Roman" w:cs="Times New Roman" w:eastAsia="Times New Roman" w:hAnsi="Times New Roman"/>
          <w:sz w:val="13"/>
          <w:szCs w:val="13"/>
          <w:color w:val="auto"/>
        </w:rPr>
      </w:pPr>
    </w:p>
    <w:p>
      <w:pPr>
        <w:ind w:left="540" w:hanging="227"/>
        <w:spacing w:after="0"/>
        <w:tabs>
          <w:tab w:leader="none" w:pos="54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km</w:t>
      </w:r>
    </w:p>
    <w:p>
      <w:pPr>
        <w:spacing w:after="0" w:line="11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color w:val="auto"/>
        </w:rPr>
        <w:t>72</w:t>
      </w:r>
    </w:p>
    <w:p>
      <w:pPr>
        <w:sectPr>
          <w:pgSz w:w="11900" w:h="16838" w:orient="portrait"/>
          <w:cols w:equalWidth="0" w:num="2">
            <w:col w:w="3700" w:space="600"/>
            <w:col w:w="5859"/>
          </w:cols>
          <w:pgMar w:left="300" w:top="388"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859" w:firstLine="317"/>
        <w:spacing w:after="0" w:line="264" w:lineRule="auto"/>
        <w:rPr>
          <w:sz w:val="20"/>
          <w:szCs w:val="20"/>
          <w:color w:val="auto"/>
        </w:rPr>
      </w:pPr>
      <w:r>
        <w:rPr>
          <w:rFonts w:ascii="Times New Roman" w:cs="Times New Roman" w:eastAsia="Times New Roman" w:hAnsi="Times New Roman"/>
          <w:sz w:val="13"/>
          <w:szCs w:val="13"/>
          <w:color w:val="auto"/>
        </w:rPr>
        <w:t>Each of our streamlined passenger-grade AAVs, except for EHang 216L, is equipped with a large panoramic windshield for wide vision. The interior design of our passenger-grade AAVs boasts simplicity, comfort and convenience. Passengers can select their destinations from several pre-programmed options through an intuitive operating interface in front of their seats.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1480820</wp:posOffset>
            </wp:positionH>
            <wp:positionV relativeFrom="paragraph">
              <wp:posOffset>102235</wp:posOffset>
            </wp:positionV>
            <wp:extent cx="4224655" cy="8896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224655" cy="889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720"/>
        <w:spacing w:after="0"/>
        <w:tabs>
          <w:tab w:leader="none" w:pos="6280" w:val="left"/>
        </w:tabs>
        <w:rPr>
          <w:sz w:val="20"/>
          <w:szCs w:val="20"/>
          <w:color w:val="auto"/>
        </w:rPr>
      </w:pPr>
      <w:r>
        <w:rPr>
          <w:rFonts w:ascii="Times New Roman" w:cs="Times New Roman" w:eastAsia="Times New Roman" w:hAnsi="Times New Roman"/>
          <w:sz w:val="13"/>
          <w:szCs w:val="13"/>
          <w:color w:val="auto"/>
        </w:rPr>
        <w:t>Passenger Cabin of EHang 216</w:t>
      </w:r>
      <w:r>
        <w:rPr>
          <w:sz w:val="20"/>
          <w:szCs w:val="20"/>
          <w:color w:val="auto"/>
        </w:rPr>
        <w:tab/>
      </w:r>
      <w:r>
        <w:rPr>
          <w:rFonts w:ascii="Times New Roman" w:cs="Times New Roman" w:eastAsia="Times New Roman" w:hAnsi="Times New Roman"/>
          <w:sz w:val="12"/>
          <w:szCs w:val="12"/>
          <w:color w:val="auto"/>
        </w:rPr>
        <w:t>Operating System Interface of EHang 216</w:t>
      </w:r>
    </w:p>
    <w:p>
      <w:pPr>
        <w:spacing w:after="0" w:line="23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Non-passenger-grade AAVs</w:t>
      </w:r>
    </w:p>
    <w:p>
      <w:pPr>
        <w:spacing w:after="0" w:line="88" w:lineRule="exact"/>
        <w:rPr>
          <w:sz w:val="20"/>
          <w:szCs w:val="20"/>
          <w:color w:val="auto"/>
        </w:rPr>
      </w:pPr>
    </w:p>
    <w:p>
      <w:pPr>
        <w:ind w:left="1680" w:right="579" w:firstLine="317"/>
        <w:spacing w:after="0" w:line="259" w:lineRule="auto"/>
        <w:rPr>
          <w:sz w:val="20"/>
          <w:szCs w:val="20"/>
          <w:color w:val="auto"/>
        </w:rPr>
      </w:pPr>
      <w:r>
        <w:rPr>
          <w:rFonts w:ascii="Times New Roman" w:cs="Times New Roman" w:eastAsia="Times New Roman" w:hAnsi="Times New Roman"/>
          <w:sz w:val="13"/>
          <w:szCs w:val="13"/>
          <w:color w:val="auto"/>
        </w:rPr>
        <w:t>We offer small and medium-sized non-passenger-grade AAVs, including Falcon B, GD 2.0X and V100. They are designed to operate below 1,000 meters above ground level, are capable of resisting unfavorable environmental conditions and fulfilling a variety of commercial missions. We and the VIE are also developing large non-passenger grade AAVs with fixed wings, such as EH580 and FS200, which are designed for long range and heavy-payload applications.</w:t>
      </w:r>
    </w:p>
    <w:p>
      <w:pPr>
        <w:spacing w:after="0" w:line="13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3"/>
          <w:szCs w:val="13"/>
          <w:color w:val="auto"/>
        </w:rPr>
        <w:t>The following table sets forth selected information about our non-passenger-grade AAVs that are currently in production:</w:t>
      </w:r>
    </w:p>
    <w:p>
      <w:pPr>
        <w:spacing w:after="0" w:line="11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73</w:t>
      </w:r>
    </w:p>
    <w:p>
      <w:pPr>
        <w:sectPr>
          <w:pgSz w:w="11900" w:h="16838" w:orient="portrait"/>
          <w:cols w:equalWidth="0" w:num="1">
            <w:col w:w="10159"/>
          </w:cols>
          <w:pgMar w:left="300" w:top="388"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ind w:left="4680"/>
        <w:spacing w:after="0"/>
        <w:tabs>
          <w:tab w:leader="none" w:pos="6640" w:val="left"/>
          <w:tab w:leader="none" w:pos="8620" w:val="left"/>
        </w:tabs>
        <w:rPr>
          <w:sz w:val="20"/>
          <w:szCs w:val="20"/>
          <w:color w:val="auto"/>
        </w:rPr>
      </w:pPr>
      <w:r>
        <w:rPr>
          <w:rFonts w:ascii="Times New Roman" w:cs="Times New Roman" w:eastAsia="Times New Roman" w:hAnsi="Times New Roman"/>
          <w:sz w:val="13"/>
          <w:szCs w:val="13"/>
          <w:b w:val="1"/>
          <w:bCs w:val="1"/>
          <w:color w:val="auto"/>
        </w:rPr>
        <w:t>Falcon B</w:t>
      </w:r>
      <w:r>
        <w:rPr>
          <w:sz w:val="20"/>
          <w:szCs w:val="20"/>
          <w:color w:val="auto"/>
        </w:rPr>
        <w:tab/>
      </w:r>
      <w:r>
        <w:rPr>
          <w:rFonts w:ascii="Times New Roman" w:cs="Times New Roman" w:eastAsia="Times New Roman" w:hAnsi="Times New Roman"/>
          <w:sz w:val="13"/>
          <w:szCs w:val="13"/>
          <w:b w:val="1"/>
          <w:bCs w:val="1"/>
          <w:color w:val="auto"/>
        </w:rPr>
        <w:t>GD 2.0X</w:t>
      </w:r>
      <w:r>
        <w:rPr>
          <w:sz w:val="20"/>
          <w:szCs w:val="20"/>
          <w:color w:val="auto"/>
        </w:rPr>
        <w:tab/>
      </w:r>
      <w:r>
        <w:rPr>
          <w:rFonts w:ascii="Times New Roman" w:cs="Times New Roman" w:eastAsia="Times New Roman" w:hAnsi="Times New Roman"/>
          <w:sz w:val="12"/>
          <w:szCs w:val="12"/>
          <w:b w:val="1"/>
          <w:bCs w:val="1"/>
          <w:color w:val="auto"/>
        </w:rPr>
        <w:t>V100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2647950</wp:posOffset>
            </wp:positionH>
            <wp:positionV relativeFrom="paragraph">
              <wp:posOffset>13335</wp:posOffset>
            </wp:positionV>
            <wp:extent cx="3402965" cy="6546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02965" cy="654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680" w:type="dxa"/>
        <w:tblCellMar>
          <w:top w:w="0" w:type="dxa"/>
          <w:left w:w="0" w:type="dxa"/>
          <w:bottom w:w="0" w:type="dxa"/>
          <w:right w:w="0" w:type="dxa"/>
        </w:tblCellMar>
      </w:tblPr>
      <w:tr>
        <w:trPr>
          <w:trHeight w:val="158"/>
        </w:trPr>
        <w:tc>
          <w:tcPr>
            <w:tcW w:w="2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Design</w:t>
            </w:r>
          </w:p>
        </w:tc>
        <w:tc>
          <w:tcPr>
            <w:tcW w:w="19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Four-arm co-axial octorotor</w:t>
            </w:r>
          </w:p>
        </w:tc>
        <w:tc>
          <w:tcPr>
            <w:tcW w:w="19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Quadrotor configuration</w:t>
            </w:r>
          </w:p>
        </w:tc>
        <w:tc>
          <w:tcPr>
            <w:tcW w:w="180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98"/>
              </w:rPr>
              <w:t>Quadrotor &amp; fixed-wing hybrid</w:t>
            </w:r>
          </w:p>
        </w:tc>
      </w:tr>
      <w:tr>
        <w:trPr>
          <w:trHeight w:val="168"/>
        </w:trPr>
        <w:tc>
          <w:tcPr>
            <w:tcW w:w="2220" w:type="dxa"/>
            <w:vAlign w:val="bottom"/>
          </w:tcPr>
          <w:p>
            <w:pPr>
              <w:spacing w:after="0"/>
              <w:rPr>
                <w:sz w:val="14"/>
                <w:szCs w:val="14"/>
                <w:color w:val="auto"/>
              </w:rPr>
            </w:pPr>
          </w:p>
        </w:tc>
        <w:tc>
          <w:tcPr>
            <w:tcW w:w="19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configuration</w:t>
            </w:r>
          </w:p>
        </w:tc>
        <w:tc>
          <w:tcPr>
            <w:tcW w:w="1940" w:type="dxa"/>
            <w:vAlign w:val="bottom"/>
          </w:tcPr>
          <w:p>
            <w:pPr>
              <w:spacing w:after="0"/>
              <w:rPr>
                <w:sz w:val="14"/>
                <w:szCs w:val="14"/>
                <w:color w:val="auto"/>
              </w:rPr>
            </w:pPr>
          </w:p>
        </w:tc>
        <w:tc>
          <w:tcPr>
            <w:tcW w:w="18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configuration</w:t>
            </w:r>
          </w:p>
        </w:tc>
      </w:tr>
      <w:tr>
        <w:trPr>
          <w:trHeight w:val="222"/>
        </w:trPr>
        <w:tc>
          <w:tcPr>
            <w:tcW w:w="2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Applications</w:t>
            </w:r>
          </w:p>
        </w:tc>
        <w:tc>
          <w:tcPr>
            <w:tcW w:w="19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Surveillance, fire extinguishment,</w:t>
            </w:r>
          </w:p>
        </w:tc>
        <w:tc>
          <w:tcPr>
            <w:tcW w:w="19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Surveillance, last-mile delivery,</w:t>
            </w:r>
          </w:p>
        </w:tc>
        <w:tc>
          <w:tcPr>
            <w:tcW w:w="18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Surveillance, power line</w:t>
            </w:r>
          </w:p>
        </w:tc>
      </w:tr>
      <w:tr>
        <w:trPr>
          <w:trHeight w:val="156"/>
        </w:trPr>
        <w:tc>
          <w:tcPr>
            <w:tcW w:w="2220" w:type="dxa"/>
            <w:vAlign w:val="bottom"/>
          </w:tcPr>
          <w:p>
            <w:pPr>
              <w:spacing w:after="0"/>
              <w:rPr>
                <w:sz w:val="13"/>
                <w:szCs w:val="13"/>
                <w:color w:val="auto"/>
              </w:rPr>
            </w:pPr>
          </w:p>
        </w:tc>
        <w:tc>
          <w:tcPr>
            <w:tcW w:w="19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last-mile delivery and others</w:t>
            </w:r>
          </w:p>
        </w:tc>
        <w:tc>
          <w:tcPr>
            <w:tcW w:w="19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aerial media shows and others</w:t>
            </w:r>
          </w:p>
        </w:tc>
        <w:tc>
          <w:tcPr>
            <w:tcW w:w="18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inspection, medium-range</w:t>
            </w:r>
          </w:p>
        </w:tc>
      </w:tr>
      <w:tr>
        <w:trPr>
          <w:trHeight w:val="168"/>
        </w:trPr>
        <w:tc>
          <w:tcPr>
            <w:tcW w:w="22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delivery and others</w:t>
            </w:r>
          </w:p>
        </w:tc>
      </w:tr>
      <w:tr>
        <w:trPr>
          <w:trHeight w:val="233"/>
        </w:trPr>
        <w:tc>
          <w:tcPr>
            <w:tcW w:w="2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Specifications</w:t>
            </w:r>
          </w:p>
        </w:tc>
        <w:tc>
          <w:tcPr>
            <w:tcW w:w="19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3"/>
        </w:trPr>
        <w:tc>
          <w:tcPr>
            <w:tcW w:w="22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Maximum speed</w:t>
            </w:r>
          </w:p>
        </w:tc>
        <w:tc>
          <w:tcPr>
            <w:tcW w:w="19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80 km/h</w:t>
            </w:r>
          </w:p>
        </w:tc>
        <w:tc>
          <w:tcPr>
            <w:tcW w:w="19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40 km/h</w:t>
            </w:r>
          </w:p>
        </w:tc>
        <w:tc>
          <w:tcPr>
            <w:tcW w:w="18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100 km/h</w:t>
            </w:r>
          </w:p>
        </w:tc>
      </w:tr>
      <w:tr>
        <w:trPr>
          <w:trHeight w:val="222"/>
        </w:trPr>
        <w:tc>
          <w:tcPr>
            <w:tcW w:w="22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Designed flight time with maximum</w:t>
            </w:r>
          </w:p>
        </w:tc>
        <w:tc>
          <w:tcPr>
            <w:tcW w:w="19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17 minutes</w:t>
            </w:r>
          </w:p>
        </w:tc>
        <w:tc>
          <w:tcPr>
            <w:tcW w:w="19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19 minutes</w:t>
            </w:r>
          </w:p>
        </w:tc>
        <w:tc>
          <w:tcPr>
            <w:tcW w:w="18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1 hour</w:t>
            </w:r>
          </w:p>
        </w:tc>
      </w:tr>
      <w:tr>
        <w:trPr>
          <w:trHeight w:val="168"/>
        </w:trPr>
        <w:tc>
          <w:tcPr>
            <w:tcW w:w="22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payload</w:t>
            </w:r>
          </w:p>
        </w:tc>
        <w:tc>
          <w:tcPr>
            <w:tcW w:w="19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222"/>
        </w:trPr>
        <w:tc>
          <w:tcPr>
            <w:tcW w:w="22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Designed flight distance with</w:t>
            </w:r>
          </w:p>
        </w:tc>
        <w:tc>
          <w:tcPr>
            <w:tcW w:w="19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19 km</w:t>
            </w:r>
          </w:p>
        </w:tc>
        <w:tc>
          <w:tcPr>
            <w:tcW w:w="19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10 km</w:t>
            </w:r>
          </w:p>
        </w:tc>
        <w:tc>
          <w:tcPr>
            <w:tcW w:w="18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80 km</w:t>
            </w:r>
          </w:p>
        </w:tc>
      </w:tr>
      <w:tr>
        <w:trPr>
          <w:trHeight w:val="168"/>
        </w:trPr>
        <w:tc>
          <w:tcPr>
            <w:tcW w:w="22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maximum payload</w:t>
            </w:r>
          </w:p>
        </w:tc>
        <w:tc>
          <w:tcPr>
            <w:tcW w:w="19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233"/>
        </w:trPr>
        <w:tc>
          <w:tcPr>
            <w:tcW w:w="22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Maximum payload</w:t>
            </w:r>
          </w:p>
        </w:tc>
        <w:tc>
          <w:tcPr>
            <w:tcW w:w="19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5 kg</w:t>
            </w:r>
          </w:p>
        </w:tc>
        <w:tc>
          <w:tcPr>
            <w:tcW w:w="19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0.45 kg</w:t>
            </w:r>
          </w:p>
        </w:tc>
        <w:tc>
          <w:tcPr>
            <w:tcW w:w="18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2 kg</w:t>
            </w:r>
          </w:p>
        </w:tc>
      </w:tr>
      <w:tr>
        <w:trPr>
          <w:trHeight w:val="233"/>
        </w:trPr>
        <w:tc>
          <w:tcPr>
            <w:tcW w:w="22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Time to full charge</w:t>
            </w:r>
          </w:p>
        </w:tc>
        <w:tc>
          <w:tcPr>
            <w:tcW w:w="19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 90 minutes</w:t>
            </w:r>
          </w:p>
        </w:tc>
        <w:tc>
          <w:tcPr>
            <w:tcW w:w="19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 90 minutes</w:t>
            </w:r>
          </w:p>
        </w:tc>
        <w:tc>
          <w:tcPr>
            <w:tcW w:w="18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 90 minutes</w:t>
            </w:r>
          </w:p>
        </w:tc>
      </w:tr>
      <w:tr>
        <w:trPr>
          <w:trHeight w:val="263"/>
        </w:trPr>
        <w:tc>
          <w:tcPr>
            <w:tcW w:w="2220" w:type="dxa"/>
            <w:vAlign w:val="bottom"/>
          </w:tcPr>
          <w:p>
            <w:pPr>
              <w:spacing w:after="0"/>
              <w:rPr>
                <w:sz w:val="22"/>
                <w:szCs w:val="22"/>
                <w:color w:val="auto"/>
              </w:rPr>
            </w:pPr>
          </w:p>
        </w:tc>
        <w:tc>
          <w:tcPr>
            <w:tcW w:w="1940" w:type="dxa"/>
            <w:vAlign w:val="bottom"/>
          </w:tcPr>
          <w:p>
            <w:pPr>
              <w:ind w:left="1680"/>
              <w:spacing w:after="0"/>
              <w:rPr>
                <w:sz w:val="20"/>
                <w:szCs w:val="20"/>
                <w:color w:val="auto"/>
              </w:rPr>
            </w:pPr>
            <w:r>
              <w:rPr>
                <w:rFonts w:ascii="Times New Roman" w:cs="Times New Roman" w:eastAsia="Times New Roman" w:hAnsi="Times New Roman"/>
                <w:sz w:val="13"/>
                <w:szCs w:val="13"/>
                <w:color w:val="auto"/>
              </w:rPr>
              <w:t>74</w:t>
            </w:r>
          </w:p>
        </w:tc>
        <w:tc>
          <w:tcPr>
            <w:tcW w:w="1940" w:type="dxa"/>
            <w:vAlign w:val="bottom"/>
          </w:tcPr>
          <w:p>
            <w:pPr>
              <w:spacing w:after="0"/>
              <w:rPr>
                <w:sz w:val="22"/>
                <w:szCs w:val="22"/>
                <w:color w:val="auto"/>
              </w:rPr>
            </w:pPr>
          </w:p>
        </w:tc>
        <w:tc>
          <w:tcPr>
            <w:tcW w:w="1800" w:type="dxa"/>
            <w:vAlign w:val="bottom"/>
          </w:tcPr>
          <w:p>
            <w:pPr>
              <w:spacing w:after="0"/>
              <w:rPr>
                <w:sz w:val="22"/>
                <w:szCs w:val="22"/>
                <w:color w:val="auto"/>
              </w:rPr>
            </w:pPr>
          </w:p>
        </w:tc>
      </w:tr>
    </w:tbl>
    <w:p>
      <w:pPr>
        <w:sectPr>
          <w:pgSz w:w="11900" w:h="16838" w:orient="portrait"/>
          <w:cols w:equalWidth="0" w:num="1">
            <w:col w:w="10159"/>
          </w:cols>
          <w:pgMar w:left="300" w:top="388"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739" w:firstLine="317"/>
        <w:spacing w:after="0" w:line="278" w:lineRule="auto"/>
        <w:rPr>
          <w:sz w:val="20"/>
          <w:szCs w:val="20"/>
          <w:color w:val="auto"/>
        </w:rPr>
      </w:pPr>
      <w:r>
        <w:rPr>
          <w:rFonts w:ascii="Times New Roman" w:cs="Times New Roman" w:eastAsia="Times New Roman" w:hAnsi="Times New Roman"/>
          <w:sz w:val="13"/>
          <w:szCs w:val="13"/>
          <w:color w:val="auto"/>
        </w:rPr>
        <w:t>Non-passenger-grade AAVs are mainly used in our smart city management and aerial media solutions. We sell non-passenger-grade AAVs on a standalone basis or together with our command-and-control systems in our smart city management solutions.</w:t>
      </w:r>
    </w:p>
    <w:p>
      <w:pPr>
        <w:spacing w:after="0" w:line="19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AAV Operating Systems and Infrastructure</w:t>
      </w:r>
    </w:p>
    <w:p>
      <w:pPr>
        <w:spacing w:after="0" w:line="86" w:lineRule="exact"/>
        <w:rPr>
          <w:sz w:val="20"/>
          <w:szCs w:val="20"/>
          <w:color w:val="auto"/>
        </w:rPr>
      </w:pPr>
    </w:p>
    <w:p>
      <w:pPr>
        <w:ind w:left="1680" w:right="659" w:firstLine="317"/>
        <w:spacing w:after="0" w:line="264" w:lineRule="auto"/>
        <w:rPr>
          <w:sz w:val="20"/>
          <w:szCs w:val="20"/>
          <w:color w:val="auto"/>
        </w:rPr>
      </w:pPr>
      <w:r>
        <w:rPr>
          <w:rFonts w:ascii="Times New Roman" w:cs="Times New Roman" w:eastAsia="Times New Roman" w:hAnsi="Times New Roman"/>
          <w:sz w:val="13"/>
          <w:szCs w:val="13"/>
          <w:color w:val="auto"/>
        </w:rPr>
        <w:t>We have in-flight operating systems installed in our AAVs and on-the-ground infrastructure that we and the VIE have proprietarily designed to allow our AAVs to operate in various scenarios. The AAV operating systems and infrastructure for different AAV commercial solutions share the same underlying technological architecture.</w:t>
      </w:r>
    </w:p>
    <w:p>
      <w:pPr>
        <w:spacing w:after="0" w:line="129" w:lineRule="exact"/>
        <w:rPr>
          <w:sz w:val="20"/>
          <w:szCs w:val="20"/>
          <w:color w:val="auto"/>
        </w:rPr>
      </w:pPr>
    </w:p>
    <w:p>
      <w:pPr>
        <w:ind w:left="1680" w:right="699" w:firstLine="317"/>
        <w:spacing w:after="0" w:line="259" w:lineRule="auto"/>
        <w:rPr>
          <w:sz w:val="20"/>
          <w:szCs w:val="20"/>
          <w:color w:val="auto"/>
        </w:rPr>
      </w:pPr>
      <w:r>
        <w:rPr>
          <w:rFonts w:ascii="Times New Roman" w:cs="Times New Roman" w:eastAsia="Times New Roman" w:hAnsi="Times New Roman"/>
          <w:sz w:val="13"/>
          <w:szCs w:val="13"/>
          <w:color w:val="auto"/>
        </w:rPr>
        <w:t>Our AAV operating systems include an autopilot and flight control system, a communication system, a battery management system and a safety management system, among other things. The AAV operating systems are installed on each of our AAVs to enable autopilot, navigation, real-time control and performance adjustment. Human control can be exercised from the ground using smartphones, tablets or computers as well as through our command-and-control system, meeting the varied demands of our customers or passengers and contingencies.</w:t>
      </w:r>
    </w:p>
    <w:p>
      <w:pPr>
        <w:spacing w:after="0" w:line="63" w:lineRule="exact"/>
        <w:rPr>
          <w:sz w:val="20"/>
          <w:szCs w:val="20"/>
          <w:color w:val="auto"/>
        </w:rPr>
      </w:pPr>
    </w:p>
    <w:p>
      <w:pPr>
        <w:ind w:left="2380" w:right="619" w:hanging="315"/>
        <w:spacing w:after="0" w:line="255" w:lineRule="auto"/>
        <w:tabs>
          <w:tab w:leader="none" w:pos="238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Autopilot and Flight Control System, Including Course Correction and Traffic Avoidance</w:t>
      </w:r>
      <w:r>
        <w:rPr>
          <w:rFonts w:ascii="Times New Roman" w:cs="Times New Roman" w:eastAsia="Times New Roman" w:hAnsi="Times New Roman"/>
          <w:sz w:val="13"/>
          <w:szCs w:val="13"/>
          <w:color w:val="auto"/>
        </w:rPr>
        <w:t>. The autopilot and flight control system enables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autonomous operation of our AAVs without a human pilot and helps to ensure that our AAVs fly in a pre-determined inverted U-shape path from the origin to the destination with precise vertical take-off and landing. Our autopilot and flight control system collects and analyzes data from sensors installed on our AAVs, including accelerometers, gyroscopes, magnetic compass, barometers, visual sensors, Global Navigation Satellite System (GNSS) receivers and millimeter wave radars. Informed by the extensive data collected by these sensors, our AAVs use advanced algorithms to make intelligent navigation decisions, including correcting courses, adapting to weather conditions and avoiding obstacles during flight.</w:t>
      </w:r>
    </w:p>
    <w:p>
      <w:pPr>
        <w:spacing w:after="0" w:line="65" w:lineRule="exact"/>
        <w:rPr>
          <w:rFonts w:ascii="Times New Roman" w:cs="Times New Roman" w:eastAsia="Times New Roman" w:hAnsi="Times New Roman"/>
          <w:sz w:val="13"/>
          <w:szCs w:val="13"/>
          <w:color w:val="auto"/>
        </w:rPr>
      </w:pPr>
    </w:p>
    <w:p>
      <w:pPr>
        <w:ind w:left="2380" w:right="559" w:hanging="315"/>
        <w:spacing w:after="0" w:line="256" w:lineRule="auto"/>
        <w:tabs>
          <w:tab w:leader="none" w:pos="238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Communication System</w:t>
      </w:r>
      <w:r>
        <w:rPr>
          <w:rFonts w:ascii="Times New Roman" w:cs="Times New Roman" w:eastAsia="Times New Roman" w:hAnsi="Times New Roman"/>
          <w:sz w:val="13"/>
          <w:szCs w:val="13"/>
          <w:color w:val="auto"/>
        </w:rPr>
        <w:t>. We have developed proprietary network protocols based on advanced communication technologies to support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cloud-based information exchanges between our AAVs and ground command-and-control systems. We install our proprietary communication module with LTE transceivers on our AAVs to take full advantage of high-speed wireless networks. We use an ultra-long-distance transmission link for the communication of control data and flight data between our AAVs and command-and-control centers or systems in real time. Our communication system is secured with data-encryption technologies for data security. We also use redundant data transmission links, which enable us to switch to a backup communication system if the primary system is breached.</w:t>
      </w:r>
    </w:p>
    <w:p>
      <w:pPr>
        <w:spacing w:after="0" w:line="64" w:lineRule="exact"/>
        <w:rPr>
          <w:rFonts w:ascii="Times New Roman" w:cs="Times New Roman" w:eastAsia="Times New Roman" w:hAnsi="Times New Roman"/>
          <w:sz w:val="13"/>
          <w:szCs w:val="13"/>
          <w:color w:val="auto"/>
        </w:rPr>
      </w:pPr>
    </w:p>
    <w:p>
      <w:pPr>
        <w:ind w:left="2380" w:right="619" w:hanging="315"/>
        <w:spacing w:after="0" w:line="257" w:lineRule="auto"/>
        <w:tabs>
          <w:tab w:leader="none" w:pos="238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Battery Management System</w:t>
      </w:r>
      <w:r>
        <w:rPr>
          <w:rFonts w:ascii="Times New Roman" w:cs="Times New Roman" w:eastAsia="Times New Roman" w:hAnsi="Times New Roman"/>
          <w:sz w:val="13"/>
          <w:szCs w:val="13"/>
          <w:color w:val="auto"/>
        </w:rPr>
        <w:t>. Our intelligent battery management system, or BMS, is an industrial-grade solution that monitors all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parameters of AAV batteries, including temperature, capacity and voltage. The core of our BMS is the self-adaptive smart battery management algorithm that optimizes the balance between performance and battery life and provides accurate predictions based on data and analysis of flight status. To ensure effective management of battery performance and battery life, an onboard battery management unit transmits real-time BMS data to the flight control system and command-and-control centers or systems.</w:t>
      </w:r>
    </w:p>
    <w:p>
      <w:pPr>
        <w:spacing w:after="0" w:line="65" w:lineRule="exact"/>
        <w:rPr>
          <w:rFonts w:ascii="Times New Roman" w:cs="Times New Roman" w:eastAsia="Times New Roman" w:hAnsi="Times New Roman"/>
          <w:sz w:val="13"/>
          <w:szCs w:val="13"/>
          <w:color w:val="auto"/>
        </w:rPr>
      </w:pPr>
    </w:p>
    <w:p>
      <w:pPr>
        <w:ind w:left="2380" w:right="579" w:hanging="315"/>
        <w:spacing w:after="0" w:line="284" w:lineRule="auto"/>
        <w:tabs>
          <w:tab w:leader="none" w:pos="238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Safety Management System</w:t>
      </w:r>
      <w:r>
        <w:rPr>
          <w:rFonts w:ascii="Times New Roman" w:cs="Times New Roman" w:eastAsia="Times New Roman" w:hAnsi="Times New Roman"/>
          <w:sz w:val="12"/>
          <w:szCs w:val="12"/>
          <w:color w:val="auto"/>
        </w:rPr>
        <w:t>. Our AAVs use full-redundancy safety technologies in their flight control systems, sensors, propulsion systems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and battery management systems. Our proprietary redundancy control algorithms are based on a real-time voting mechanism. Our passenger-grade AAVs are designed with distributed electric propulsion, or DEP, an advanced propulsion technology defined by NASA with an aim of achieving the highest level of safety through redundancy and efficiency. In the event of malfunction of certain parts of our AAVs, the operating systems automatically activate the backup components to ensure proper functioning and performance of our AAVs.</w:t>
      </w:r>
    </w:p>
    <w:p>
      <w:pPr>
        <w:spacing w:after="0" w:line="119" w:lineRule="exact"/>
        <w:rPr>
          <w:sz w:val="20"/>
          <w:szCs w:val="20"/>
          <w:color w:val="auto"/>
        </w:rPr>
      </w:pPr>
    </w:p>
    <w:p>
      <w:pPr>
        <w:ind w:left="1680" w:right="679" w:firstLine="317"/>
        <w:spacing w:after="0" w:line="257" w:lineRule="auto"/>
        <w:rPr>
          <w:sz w:val="20"/>
          <w:szCs w:val="20"/>
          <w:color w:val="auto"/>
        </w:rPr>
      </w:pPr>
      <w:r>
        <w:rPr>
          <w:rFonts w:ascii="Times New Roman" w:cs="Times New Roman" w:eastAsia="Times New Roman" w:hAnsi="Times New Roman"/>
          <w:sz w:val="13"/>
          <w:szCs w:val="13"/>
          <w:color w:val="auto"/>
        </w:rPr>
        <w:t>Our infrastructure consists of command-and-control centers or systems, handheld and computer-based ground stations, and AAV charging equipment, among other things. Although some of our non-passenger-grade AAVs can be operated on a standalone basis, the full functionalities of our AAVs require the support of our infrastructure. For early adopters of our air mobility solutions, we generally provide them with the required software free of charge. We may start charging customers for such software and related services in the future. For smart city management, we can provide customers with all required software and hardware products as a turnkey solution.</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75</w:t>
      </w:r>
    </w:p>
    <w:p>
      <w:pPr>
        <w:sectPr>
          <w:pgSz w:w="11900" w:h="16838" w:orient="portrait"/>
          <w:cols w:equalWidth="0" w:num="1">
            <w:col w:w="10159"/>
          </w:cols>
          <w:pgMar w:left="300" w:top="388"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ind w:left="2380" w:right="599" w:hanging="315"/>
        <w:spacing w:after="0" w:line="256" w:lineRule="auto"/>
        <w:tabs>
          <w:tab w:leader="none" w:pos="238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Command-and-Control System</w:t>
      </w:r>
      <w:r>
        <w:rPr>
          <w:rFonts w:ascii="Times New Roman" w:cs="Times New Roman" w:eastAsia="Times New Roman" w:hAnsi="Times New Roman"/>
          <w:sz w:val="13"/>
          <w:szCs w:val="13"/>
          <w:color w:val="auto"/>
        </w:rPr>
        <w:t>. We have extensive expertise in command-and-control systems. We have developed and delivered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integrated command-and-control centers and systems for smart city operation and management that centrally coordinates a wide range of AAV applications. Powered by advanced low-altitude AAV control technologies, our command-and-control systems allow for adaptability and scalability. Through continuous uplinks maintained between AAVs and the command-and-control center, our system can simultaneously manage more than 3,500 non-passenger-grade AAVs with precision and accuracy to complete pre-defined actions and movements.</w:t>
      </w:r>
    </w:p>
    <w:p>
      <w:pPr>
        <w:spacing w:after="0" w:line="56" w:lineRule="exact"/>
        <w:rPr>
          <w:rFonts w:ascii="Times New Roman" w:cs="Times New Roman" w:eastAsia="Times New Roman" w:hAnsi="Times New Roman"/>
          <w:sz w:val="13"/>
          <w:szCs w:val="13"/>
          <w:color w:val="auto"/>
        </w:rPr>
      </w:pPr>
    </w:p>
    <w:p>
      <w:pPr>
        <w:ind w:left="2400" w:right="599"/>
        <w:spacing w:after="0" w:line="287" w:lineRule="auto"/>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Our command-and-control system can accurately monitor flight status, dispatch air traffic, effect pre-warning and contingency measures, manage the AAV network and record flight data. The system ensures that our AAVs fly in pre-determined routes and maintain smooth and efficient operation even in harsh weather conditions. It also has the capability to monitor and detect irregularity in the status and operation of our AAVs and to activate contingency measures to restrict and limit actions or movements of our AAVs in emergency situations.</w:t>
      </w:r>
    </w:p>
    <w:p>
      <w:pPr>
        <w:spacing w:after="0" w:line="47" w:lineRule="exact"/>
        <w:rPr>
          <w:rFonts w:ascii="Times New Roman" w:cs="Times New Roman" w:eastAsia="Times New Roman" w:hAnsi="Times New Roman"/>
          <w:sz w:val="13"/>
          <w:szCs w:val="13"/>
          <w:color w:val="auto"/>
        </w:rPr>
      </w:pPr>
    </w:p>
    <w:p>
      <w:pPr>
        <w:ind w:left="2380" w:right="619" w:hanging="315"/>
        <w:spacing w:after="0" w:line="282" w:lineRule="auto"/>
        <w:tabs>
          <w:tab w:leader="none" w:pos="238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EHang Pro App</w:t>
      </w:r>
      <w:r>
        <w:rPr>
          <w:rFonts w:ascii="Times New Roman" w:cs="Times New Roman" w:eastAsia="Times New Roman" w:hAnsi="Times New Roman"/>
          <w:sz w:val="13"/>
          <w:szCs w:val="13"/>
          <w:color w:val="auto"/>
        </w:rPr>
        <w:t>. For standalone operations, some of our non-passenger-grade AAVs, such as Falcon B, GD 2.0X, can also be individually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controlled by our smartphone- or tablet- or computer-based controller app.</w:t>
      </w:r>
    </w:p>
    <w:p>
      <w:pPr>
        <w:spacing w:after="0" w:line="47" w:lineRule="exact"/>
        <w:rPr>
          <w:rFonts w:ascii="Times New Roman" w:cs="Times New Roman" w:eastAsia="Times New Roman" w:hAnsi="Times New Roman"/>
          <w:sz w:val="13"/>
          <w:szCs w:val="13"/>
          <w:color w:val="auto"/>
        </w:rPr>
      </w:pPr>
    </w:p>
    <w:p>
      <w:pPr>
        <w:ind w:left="2380" w:right="659" w:hanging="315"/>
        <w:spacing w:after="0" w:line="260" w:lineRule="auto"/>
        <w:tabs>
          <w:tab w:leader="none" w:pos="238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Charging Equipment</w:t>
      </w:r>
      <w:r>
        <w:rPr>
          <w:rFonts w:ascii="Times New Roman" w:cs="Times New Roman" w:eastAsia="Times New Roman" w:hAnsi="Times New Roman"/>
          <w:sz w:val="13"/>
          <w:szCs w:val="13"/>
          <w:color w:val="auto"/>
        </w:rPr>
        <w:t>. Our passenger-grade AAVs can be charged with our charging stations. We have also been developing a charging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platform powered by fast charging technologies for our non-passenger-grade AAVs. The waterproof and dustproof charging platform can monitor real-time charging status and battery health. Our charging platform is expected to be put into service as a part of our smart city management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1598295</wp:posOffset>
            </wp:positionH>
            <wp:positionV relativeFrom="paragraph">
              <wp:posOffset>104775</wp:posOffset>
            </wp:positionV>
            <wp:extent cx="4002405" cy="6362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00240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520"/>
        <w:spacing w:after="0"/>
        <w:tabs>
          <w:tab w:leader="none" w:pos="4840" w:val="left"/>
          <w:tab w:leader="none" w:pos="7500" w:val="left"/>
        </w:tabs>
        <w:rPr>
          <w:sz w:val="20"/>
          <w:szCs w:val="20"/>
          <w:color w:val="auto"/>
        </w:rPr>
      </w:pPr>
      <w:r>
        <w:rPr>
          <w:rFonts w:ascii="Times New Roman" w:cs="Times New Roman" w:eastAsia="Times New Roman" w:hAnsi="Times New Roman"/>
          <w:sz w:val="13"/>
          <w:szCs w:val="13"/>
          <w:color w:val="auto"/>
        </w:rPr>
        <w:t>Command-and-Control System</w:t>
      </w:r>
      <w:r>
        <w:rPr>
          <w:sz w:val="20"/>
          <w:szCs w:val="20"/>
          <w:color w:val="auto"/>
        </w:rPr>
        <w:tab/>
      </w:r>
      <w:r>
        <w:rPr>
          <w:rFonts w:ascii="Times New Roman" w:cs="Times New Roman" w:eastAsia="Times New Roman" w:hAnsi="Times New Roman"/>
          <w:sz w:val="13"/>
          <w:szCs w:val="13"/>
          <w:color w:val="auto"/>
        </w:rPr>
        <w:t>Command-and-Control Center</w:t>
      </w:r>
      <w:r>
        <w:rPr>
          <w:sz w:val="20"/>
          <w:szCs w:val="20"/>
          <w:color w:val="auto"/>
        </w:rPr>
        <w:tab/>
      </w:r>
      <w:r>
        <w:rPr>
          <w:rFonts w:ascii="Times New Roman" w:cs="Times New Roman" w:eastAsia="Times New Roman" w:hAnsi="Times New Roman"/>
          <w:sz w:val="12"/>
          <w:szCs w:val="12"/>
          <w:color w:val="auto"/>
        </w:rPr>
        <w:t>Charging Station</w:t>
      </w:r>
    </w:p>
    <w:p>
      <w:pPr>
        <w:spacing w:after="0" w:line="24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Our AAV Commercial Solutions</w:t>
      </w:r>
    </w:p>
    <w:p>
      <w:pPr>
        <w:spacing w:after="0" w:line="8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Air Mobility</w:t>
      </w:r>
    </w:p>
    <w:p>
      <w:pPr>
        <w:spacing w:after="0" w:line="8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Passenger Transportation</w:t>
      </w:r>
    </w:p>
    <w:p>
      <w:pPr>
        <w:spacing w:after="0" w:line="88" w:lineRule="exact"/>
        <w:rPr>
          <w:sz w:val="20"/>
          <w:szCs w:val="20"/>
          <w:color w:val="auto"/>
        </w:rPr>
      </w:pPr>
    </w:p>
    <w:p>
      <w:pPr>
        <w:ind w:left="1680" w:right="579" w:firstLine="317"/>
        <w:spacing w:after="0" w:line="264" w:lineRule="auto"/>
        <w:rPr>
          <w:sz w:val="20"/>
          <w:szCs w:val="20"/>
          <w:color w:val="auto"/>
        </w:rPr>
      </w:pPr>
      <w:r>
        <w:rPr>
          <w:rFonts w:ascii="Times New Roman" w:cs="Times New Roman" w:eastAsia="Times New Roman" w:hAnsi="Times New Roman"/>
          <w:sz w:val="13"/>
          <w:szCs w:val="13"/>
          <w:color w:val="auto"/>
        </w:rPr>
        <w:t>Our passenger-grade AAVs offer safe and efficient options for short- to medium- to long-range air transportation. They fly autonomously and land with precision. With an intuitive and user-friendly application system on board, passengers can select their destinations from several pre-programmed options.</w:t>
      </w:r>
    </w:p>
    <w:p>
      <w:pPr>
        <w:spacing w:after="0" w:line="12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following illustration sets forth the vision of our passenger transportation solutions and services:</w:t>
      </w:r>
    </w:p>
    <w:p>
      <w:pPr>
        <w:spacing w:after="0" w:line="11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76</w:t>
      </w:r>
    </w:p>
    <w:p>
      <w:pPr>
        <w:sectPr>
          <w:pgSz w:w="11900" w:h="16838" w:orient="portrait"/>
          <w:cols w:equalWidth="0" w:num="1">
            <w:col w:w="10159"/>
          </w:cols>
          <w:pgMar w:left="300" w:top="388"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1567180</wp:posOffset>
            </wp:positionH>
            <wp:positionV relativeFrom="paragraph">
              <wp:posOffset>148590</wp:posOffset>
            </wp:positionV>
            <wp:extent cx="4039235" cy="18961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039235" cy="189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680" w:right="559" w:firstLine="317"/>
        <w:spacing w:after="0" w:line="253" w:lineRule="auto"/>
        <w:rPr>
          <w:sz w:val="20"/>
          <w:szCs w:val="20"/>
          <w:color w:val="auto"/>
        </w:rPr>
      </w:pPr>
      <w:r>
        <w:rPr>
          <w:rFonts w:ascii="Times New Roman" w:cs="Times New Roman" w:eastAsia="Times New Roman" w:hAnsi="Times New Roman"/>
          <w:sz w:val="13"/>
          <w:szCs w:val="13"/>
          <w:color w:val="auto"/>
        </w:rPr>
        <w:t>We are collaborating with our customers and partners to explore a variety of application scenarios of passenger transportation solution and launched the 100 Air Mobility Routes Initiative in China in April 2021 to initiate trial operational flights for aerial sightseeing, island hopping, etc. We partnered with a PRC subsidiary of Greenland Hong Kong Holdings Limited (SEHK: 00337), an HKEX-listed real estate company, in December 2020, and operational trial flights for aerial sightseeing have been regularly carried out in Greenland’s Forest Lake project in Zhaoqing city, Guangdong, China. Besides, our local partners in the Hengqin New Area, the largest of the islands surrounding Zhuhai city in the Guangdong-Hong Kong-Macao Greater Bay Area of China, or Greater Bay Area, carried out trial flights between islands over the sea in January 2021. Moreover, we partnered with HELI-EASTERN, a major low-altitude general aviation carrier and helicopter service provider in the Greater Bay Area, in September 2021, and have conducted operational trial flights for aerial sightseeing regularly at the oceanfront Maluan Hill base in Shenzhen, China. Also, in partnership with Guangzhou Development District Communications Investment Group, we launched a 5G Intelligent Air Mobility Experience Center in the urban area of Guangzhou, China, in December 2021, as one of our UAM operation spots for city sightseeing, passenger transportation, etc.</w:t>
      </w:r>
    </w:p>
    <w:p>
      <w:pPr>
        <w:spacing w:after="0" w:line="136" w:lineRule="exact"/>
        <w:rPr>
          <w:sz w:val="20"/>
          <w:szCs w:val="20"/>
          <w:color w:val="auto"/>
        </w:rPr>
      </w:pPr>
    </w:p>
    <w:p>
      <w:pPr>
        <w:ind w:left="1680" w:right="579" w:firstLine="317"/>
        <w:spacing w:after="0" w:line="255" w:lineRule="auto"/>
        <w:rPr>
          <w:sz w:val="20"/>
          <w:szCs w:val="20"/>
          <w:color w:val="auto"/>
        </w:rPr>
      </w:pPr>
      <w:r>
        <w:rPr>
          <w:rFonts w:ascii="Times New Roman" w:cs="Times New Roman" w:eastAsia="Times New Roman" w:hAnsi="Times New Roman"/>
          <w:sz w:val="13"/>
          <w:szCs w:val="13"/>
          <w:color w:val="auto"/>
        </w:rPr>
        <w:t>In Asia, we are expanding our UAM partnership network and receiving increasing market demand with sizable pre-orders for our passenger-grade AAVs in more Asian countries. For example, in Japan, we cooperated with local partners, such as MASC and AirX Inc., a Japanese air mobility digital platform company, to develop UAM projects and secured the first order for VT-30 and a pre-order for 50 units of EHang 216 series. In Indonesia, we partnered with Prestige Aviation, an Indonesian aviation company, and received a pre-order for 100 units of EHang 216. In Malaysia, we entered into a strategic partnership with AEROTREE, a Malaysian aviation company, for developing UAM businesses, including Maintenance, Repair and Overhaul, or MRO, and training, and obtained a pre-order for 50 units of EHang 216 series and 10 units of VT-30.</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77</w:t>
      </w:r>
    </w:p>
    <w:p>
      <w:pPr>
        <w:sectPr>
          <w:pgSz w:w="11900" w:h="16838" w:orient="portrait"/>
          <w:cols w:equalWidth="0" w:num="1">
            <w:col w:w="10159"/>
          </w:cols>
          <w:pgMar w:left="300" w:top="388"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559" w:firstLine="317"/>
        <w:spacing w:after="0" w:line="253" w:lineRule="auto"/>
        <w:rPr>
          <w:sz w:val="20"/>
          <w:szCs w:val="20"/>
          <w:color w:val="auto"/>
        </w:rPr>
      </w:pPr>
      <w:r>
        <w:rPr>
          <w:rFonts w:ascii="Times New Roman" w:cs="Times New Roman" w:eastAsia="Times New Roman" w:hAnsi="Times New Roman"/>
          <w:sz w:val="13"/>
          <w:szCs w:val="13"/>
          <w:color w:val="auto"/>
        </w:rPr>
        <w:t>In Europe, we were selected to participate in a series of UAM projects supported by the European Union in 2021 to demonstrate ways to achieve safe, sustainable, socially acceptable, and effective UAM. These projects include: i) the Air Mobility Urban—Large Experimental Demonstration project; ii) the Re-Invent Air Mobility initiative; iii) the Safe and Flexible Integration of Advanced U-Space Services for Medical Air Mobility project; and iv) the GOF 2.0 Integrated Urban Airspace VLD. Moreover, we continued to expand our partnership network to develop and deploy UAM projects around our AAV products, with European partners, including AENA, an IBEX-listed Spain-based global leading airport operator; Spanish National Police; Openvia, the innovative mobility services subsidiary of Globalvia, a world leader in transport infrastructure concessions; Aeroports de Catalunya, a Spanish public airport management company of the Government of Catalonia; Giancarlo Zema Design Group, a leading Italian architecture firm, etc.</w:t>
      </w:r>
    </w:p>
    <w:p>
      <w:pPr>
        <w:spacing w:after="0" w:line="21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Logistics</w:t>
      </w:r>
    </w:p>
    <w:p>
      <w:pPr>
        <w:spacing w:after="0" w:line="88" w:lineRule="exact"/>
        <w:rPr>
          <w:sz w:val="20"/>
          <w:szCs w:val="20"/>
          <w:color w:val="auto"/>
        </w:rPr>
      </w:pPr>
    </w:p>
    <w:p>
      <w:pPr>
        <w:ind w:left="1680" w:right="579" w:firstLine="317"/>
        <w:spacing w:after="0" w:line="259" w:lineRule="auto"/>
        <w:rPr>
          <w:sz w:val="20"/>
          <w:szCs w:val="20"/>
          <w:color w:val="auto"/>
        </w:rPr>
      </w:pPr>
      <w:r>
        <w:rPr>
          <w:rFonts w:ascii="Times New Roman" w:cs="Times New Roman" w:eastAsia="Times New Roman" w:hAnsi="Times New Roman"/>
          <w:sz w:val="13"/>
          <w:szCs w:val="13"/>
          <w:color w:val="auto"/>
        </w:rPr>
        <w:t>Both our non-passenger-grade and passenger-grade AAVs are capable of providing aerial logistics solutions and services, covering from last-mile deliveries to inter-city or inter-provincial logistics transportation. Our AAVs are designed to carry and deliver goods and cargo. In addition to offering AAVs, we and the VIE also design and develop customized logistics solutions and command-and-control systems on the back-end. The target customers of our logistics solutions are logistics or delivery service providers.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1524000</wp:posOffset>
            </wp:positionH>
            <wp:positionV relativeFrom="paragraph">
              <wp:posOffset>104775</wp:posOffset>
            </wp:positionV>
            <wp:extent cx="4119880" cy="1185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119880" cy="1185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940"/>
        <w:spacing w:after="0"/>
        <w:tabs>
          <w:tab w:leader="none" w:pos="6320" w:val="left"/>
        </w:tabs>
        <w:rPr>
          <w:sz w:val="20"/>
          <w:szCs w:val="20"/>
          <w:color w:val="auto"/>
        </w:rPr>
      </w:pPr>
      <w:r>
        <w:rPr>
          <w:rFonts w:ascii="Times New Roman" w:cs="Times New Roman" w:eastAsia="Times New Roman" w:hAnsi="Times New Roman"/>
          <w:sz w:val="13"/>
          <w:szCs w:val="13"/>
          <w:color w:val="auto"/>
        </w:rPr>
        <w:t>Partnership with DHL-Sinotrans</w:t>
      </w:r>
      <w:r>
        <w:rPr>
          <w:sz w:val="20"/>
          <w:szCs w:val="20"/>
          <w:color w:val="auto"/>
        </w:rPr>
        <w:tab/>
      </w:r>
      <w:r>
        <w:rPr>
          <w:rFonts w:ascii="Times New Roman" w:cs="Times New Roman" w:eastAsia="Times New Roman" w:hAnsi="Times New Roman"/>
          <w:sz w:val="13"/>
          <w:szCs w:val="13"/>
          <w:color w:val="auto"/>
        </w:rPr>
        <w:t>Partnership with Dongfeng USharing</w:t>
      </w:r>
    </w:p>
    <w:p>
      <w:pPr>
        <w:spacing w:after="0" w:line="162" w:lineRule="exact"/>
        <w:rPr>
          <w:sz w:val="20"/>
          <w:szCs w:val="20"/>
          <w:color w:val="auto"/>
        </w:rPr>
      </w:pPr>
    </w:p>
    <w:p>
      <w:pPr>
        <w:ind w:left="1680" w:right="659" w:firstLine="317"/>
        <w:spacing w:after="0" w:line="259" w:lineRule="auto"/>
        <w:rPr>
          <w:sz w:val="20"/>
          <w:szCs w:val="20"/>
          <w:color w:val="auto"/>
        </w:rPr>
      </w:pPr>
      <w:r>
        <w:rPr>
          <w:rFonts w:ascii="Times New Roman" w:cs="Times New Roman" w:eastAsia="Times New Roman" w:hAnsi="Times New Roman"/>
          <w:sz w:val="13"/>
          <w:szCs w:val="13"/>
          <w:color w:val="auto"/>
        </w:rPr>
        <w:t>In May 2016, we entered into a development and purchase agreement with Lung Biotechnology PBC, a wholly-owned subsidiary of United Therapeutics Corporation in the United States, to enable routine fully-autonomous organ delivery missions on low-level VFR/IFR flight routes by leveraging the Manufactured Organ Transport e-Helicopter System, or MOTH. In August 2020, the first trial operations of EHang 216 were conducted in Canada with the customer as the operator, under a Special Flight Operation Certificate delivered by Transport Canada Civil Aviation.</w:t>
      </w:r>
    </w:p>
    <w:p>
      <w:pPr>
        <w:spacing w:after="0" w:line="133" w:lineRule="exact"/>
        <w:rPr>
          <w:sz w:val="20"/>
          <w:szCs w:val="20"/>
          <w:color w:val="auto"/>
        </w:rPr>
      </w:pPr>
    </w:p>
    <w:p>
      <w:pPr>
        <w:ind w:left="1680" w:right="559" w:firstLine="317"/>
        <w:spacing w:after="0" w:line="255" w:lineRule="auto"/>
        <w:rPr>
          <w:sz w:val="20"/>
          <w:szCs w:val="20"/>
          <w:color w:val="auto"/>
        </w:rPr>
      </w:pPr>
      <w:r>
        <w:rPr>
          <w:rFonts w:ascii="Times New Roman" w:cs="Times New Roman" w:eastAsia="Times New Roman" w:hAnsi="Times New Roman"/>
          <w:sz w:val="13"/>
          <w:szCs w:val="13"/>
          <w:color w:val="auto"/>
        </w:rPr>
        <w:t>In February 2019, we entered into a comprehensive unmanned delivery solution and service contract with DHL-Sinotrans, a joint venture between DHL Express and Chinese logistics company Sinotrans. In May 2019, we announced that we and DHL-Sinotrans entered into a strategic partnership and jointly launched a fully automated, smart and efficient aerial delivery solution, which integrates the customized Falcon B logistics model, command-and-control system and automated delivery lockers with a AAV landing pad, to tackle the last-mile delivery challenges in urban areas of China. In the same month, we started trial delivery services with this solution for a DHL-Sinotrans’s customer along an eight-kilometer flight route in Dongguan, Guangdong, China.</w:t>
      </w:r>
    </w:p>
    <w:p>
      <w:pPr>
        <w:spacing w:after="0" w:line="136" w:lineRule="exact"/>
        <w:rPr>
          <w:sz w:val="20"/>
          <w:szCs w:val="20"/>
          <w:color w:val="auto"/>
        </w:rPr>
      </w:pPr>
    </w:p>
    <w:p>
      <w:pPr>
        <w:ind w:left="1680" w:right="619" w:firstLine="317"/>
        <w:spacing w:after="0" w:line="259" w:lineRule="auto"/>
        <w:rPr>
          <w:sz w:val="20"/>
          <w:szCs w:val="20"/>
          <w:color w:val="auto"/>
        </w:rPr>
      </w:pPr>
      <w:r>
        <w:rPr>
          <w:rFonts w:ascii="Times New Roman" w:cs="Times New Roman" w:eastAsia="Times New Roman" w:hAnsi="Times New Roman"/>
          <w:sz w:val="13"/>
          <w:szCs w:val="13"/>
          <w:color w:val="auto"/>
        </w:rPr>
        <w:t>In September 2020, we unveiled EHang 216L, the logistics version of our flagship product EHang 216, for short-to-medium-haul air logistics in both urban and rural areas. EHang 216L boasts a payload of 250kg. In March 2021, we entered into a partnership with Dongfeng USharing Technology Co., Ltd., or Dongfeng USharing, a subsidiary of Dongfeng Motor Corporation, a Fortune Global 500 company and one of the largest auto makers in China, to co-develop a solution for Seamlessly Connected Mobility Services for logistics using EHang 216L.</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78</w:t>
      </w:r>
    </w:p>
    <w:p>
      <w:pPr>
        <w:sectPr>
          <w:pgSz w:w="11900" w:h="16838" w:orient="portrait"/>
          <w:cols w:equalWidth="0" w:num="1">
            <w:col w:w="10159"/>
          </w:cols>
          <w:pgMar w:left="300" w:top="388"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1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Smart City Management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1598295</wp:posOffset>
            </wp:positionH>
            <wp:positionV relativeFrom="paragraph">
              <wp:posOffset>125730</wp:posOffset>
            </wp:positionV>
            <wp:extent cx="4045585" cy="10255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045585" cy="1025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560"/>
        <w:spacing w:after="0"/>
        <w:tabs>
          <w:tab w:leader="none" w:pos="6620" w:val="left"/>
        </w:tabs>
        <w:rPr>
          <w:sz w:val="20"/>
          <w:szCs w:val="20"/>
          <w:color w:val="auto"/>
        </w:rPr>
      </w:pPr>
      <w:r>
        <w:rPr>
          <w:rFonts w:ascii="Times New Roman" w:cs="Times New Roman" w:eastAsia="Times New Roman" w:hAnsi="Times New Roman"/>
          <w:sz w:val="13"/>
          <w:szCs w:val="13"/>
          <w:color w:val="auto"/>
        </w:rPr>
        <w:t>Lianyungang Command-and-Control Center</w:t>
      </w:r>
      <w:r>
        <w:rPr>
          <w:sz w:val="20"/>
          <w:szCs w:val="20"/>
          <w:color w:val="auto"/>
        </w:rPr>
        <w:tab/>
      </w:r>
      <w:r>
        <w:rPr>
          <w:rFonts w:ascii="Times New Roman" w:cs="Times New Roman" w:eastAsia="Times New Roman" w:hAnsi="Times New Roman"/>
          <w:sz w:val="13"/>
          <w:szCs w:val="13"/>
          <w:color w:val="auto"/>
        </w:rPr>
        <w:t>Shaoguan Command-and-Control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1542415</wp:posOffset>
            </wp:positionH>
            <wp:positionV relativeFrom="paragraph">
              <wp:posOffset>116840</wp:posOffset>
            </wp:positionV>
            <wp:extent cx="4051935" cy="9575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051935" cy="957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700"/>
        <w:spacing w:after="0"/>
        <w:tabs>
          <w:tab w:leader="none" w:pos="6300" w:val="left"/>
        </w:tabs>
        <w:rPr>
          <w:sz w:val="20"/>
          <w:szCs w:val="20"/>
          <w:color w:val="auto"/>
        </w:rPr>
      </w:pPr>
      <w:r>
        <w:rPr>
          <w:rFonts w:ascii="Times New Roman" w:cs="Times New Roman" w:eastAsia="Times New Roman" w:hAnsi="Times New Roman"/>
          <w:sz w:val="13"/>
          <w:szCs w:val="13"/>
          <w:color w:val="auto"/>
        </w:rPr>
        <w:t>Hezhou Command-and-Control Center</w:t>
      </w:r>
      <w:r>
        <w:rPr>
          <w:sz w:val="20"/>
          <w:szCs w:val="20"/>
          <w:color w:val="auto"/>
        </w:rPr>
        <w:tab/>
      </w:r>
      <w:r>
        <w:rPr>
          <w:rFonts w:ascii="Times New Roman" w:cs="Times New Roman" w:eastAsia="Times New Roman" w:hAnsi="Times New Roman"/>
          <w:sz w:val="12"/>
          <w:szCs w:val="12"/>
          <w:color w:val="auto"/>
        </w:rPr>
        <w:t>Shenzhen Expressway Command-and-Control Center</w:t>
      </w:r>
    </w:p>
    <w:p>
      <w:pPr>
        <w:spacing w:after="0" w:line="171" w:lineRule="exact"/>
        <w:rPr>
          <w:sz w:val="20"/>
          <w:szCs w:val="20"/>
          <w:color w:val="auto"/>
        </w:rPr>
      </w:pPr>
    </w:p>
    <w:p>
      <w:pPr>
        <w:ind w:left="1680" w:right="559" w:firstLine="317"/>
        <w:spacing w:after="0" w:line="254" w:lineRule="auto"/>
        <w:rPr>
          <w:sz w:val="20"/>
          <w:szCs w:val="20"/>
          <w:color w:val="auto"/>
        </w:rPr>
      </w:pPr>
      <w:r>
        <w:rPr>
          <w:rFonts w:ascii="Times New Roman" w:cs="Times New Roman" w:eastAsia="Times New Roman" w:hAnsi="Times New Roman"/>
          <w:sz w:val="13"/>
          <w:szCs w:val="13"/>
          <w:color w:val="auto"/>
        </w:rPr>
        <w:t>Our smart city management solutions encompass, among other things, traffic management, public safety surveillance, emergency response and disaster relief, and firefighting. We adapt our non-passenger-grade AAVs to capture live videos and images generated by attached cameras and electro-optical, infrared or other sensors. These videos and images are wirelessly transmitted to the command-and-control systems we develop for our municipal customers, enabling the operators to receive crucial information 24/7 and, to a large extent, regardless of weather conditions. Through smart city management solutions, we and the VIE provide a platform for the monitoring and management of ordinary municipal functions and public facilities and utilities, as well as dealing with emergencies. We and the VIE have developed and delivered four integrated command-and-control centers or systems that centralize and coordinate a wide range of UAV applications simultaneously.</w:t>
      </w:r>
    </w:p>
    <w:p>
      <w:pPr>
        <w:spacing w:after="0" w:line="136" w:lineRule="exact"/>
        <w:rPr>
          <w:sz w:val="20"/>
          <w:szCs w:val="20"/>
          <w:color w:val="auto"/>
        </w:rPr>
      </w:pPr>
    </w:p>
    <w:p>
      <w:pPr>
        <w:jc w:val="both"/>
        <w:ind w:left="1680" w:right="719" w:firstLine="317"/>
        <w:spacing w:after="0" w:line="298" w:lineRule="auto"/>
        <w:rPr>
          <w:sz w:val="20"/>
          <w:szCs w:val="20"/>
          <w:color w:val="auto"/>
        </w:rPr>
      </w:pPr>
      <w:r>
        <w:rPr>
          <w:rFonts w:ascii="Times New Roman" w:cs="Times New Roman" w:eastAsia="Times New Roman" w:hAnsi="Times New Roman"/>
          <w:sz w:val="12"/>
          <w:szCs w:val="12"/>
          <w:i w:val="1"/>
          <w:iCs w:val="1"/>
          <w:color w:val="auto"/>
        </w:rPr>
        <w:t xml:space="preserve">Traffic management. </w:t>
      </w:r>
      <w:r>
        <w:rPr>
          <w:rFonts w:ascii="Times New Roman" w:cs="Times New Roman" w:eastAsia="Times New Roman" w:hAnsi="Times New Roman"/>
          <w:sz w:val="12"/>
          <w:szCs w:val="12"/>
          <w:color w:val="auto"/>
        </w:rPr>
        <w:t>Our non-passenger-grade AAVs can be used for assisting with traffic management. They are capable of monitoring traffic</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flows during peak hours and detecting traffic accidents with high-definition (HD) cameras, as well as directing traffic with loudspeaker and headlamp modules. With the HD zooming camera and gimbal modules, our non-passenger-grade AAVs can recognize car plate numbers and identify vehicles.</w:t>
      </w:r>
    </w:p>
    <w:p>
      <w:pPr>
        <w:spacing w:after="0" w:line="108" w:lineRule="exact"/>
        <w:rPr>
          <w:sz w:val="20"/>
          <w:szCs w:val="20"/>
          <w:color w:val="auto"/>
        </w:rPr>
      </w:pPr>
    </w:p>
    <w:p>
      <w:pPr>
        <w:ind w:left="1680" w:right="579" w:firstLine="317"/>
        <w:spacing w:after="0" w:line="253" w:lineRule="auto"/>
        <w:rPr>
          <w:sz w:val="20"/>
          <w:szCs w:val="20"/>
          <w:color w:val="auto"/>
        </w:rPr>
      </w:pPr>
      <w:r>
        <w:rPr>
          <w:rFonts w:ascii="Times New Roman" w:cs="Times New Roman" w:eastAsia="Times New Roman" w:hAnsi="Times New Roman"/>
          <w:sz w:val="13"/>
          <w:szCs w:val="13"/>
          <w:i w:val="1"/>
          <w:iCs w:val="1"/>
          <w:color w:val="auto"/>
        </w:rPr>
        <w:t xml:space="preserve">Emergency response &amp; disaster relief. </w:t>
      </w:r>
      <w:r>
        <w:rPr>
          <w:rFonts w:ascii="Times New Roman" w:cs="Times New Roman" w:eastAsia="Times New Roman" w:hAnsi="Times New Roman"/>
          <w:sz w:val="13"/>
          <w:szCs w:val="13"/>
          <w:color w:val="auto"/>
        </w:rPr>
        <w:t>Using infrared cameras, our AAVs can perform critical tasks as emergencies or disasters unfold, including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transmitting real-time image and video captures and, most valuably, spotting survivors and people in need of urgent help. Our AAVs can also be deployed to deliver sustenance and other relief supplies, such as rescue ropes and life jackets, in areas that are too dangerous or difficult for ground-based rescuers to reach. In addition, where communication is required but unavailable, our AAVs can be utilized as temporary communication bases. Our AAVs also play an important role in the aftermath of disasters. They can perform functions such as assessing damages to buildings and utilities, and monitoring the status of critical infrastructure including roads, bridges and levees. For example, in April 2020, we and the VIE participated in a flood emergency response exercise organized by the local government in Shaoguan, China in preparation of the upcoming flood season. In the assumed scenario of the Wujiang Riverbanks having collapsed, we responded quickly by sending ten remotely-managed AAVs to four emergency sites. Controlled from a remote command-and-control center, our AAVs livestreamed the process of emergency repair, flood discharge and staff transfer via built-in high-definition cameras. Furthermore, our AAVs were able to accurately drop life jackets and other relief materials to the victims, which was one of the critical emergency response capabilities for flood relief.</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79</w:t>
      </w:r>
    </w:p>
    <w:p>
      <w:pPr>
        <w:sectPr>
          <w:pgSz w:w="11900" w:h="16838" w:orient="portrait"/>
          <w:cols w:equalWidth="0" w:num="1">
            <w:col w:w="10159"/>
          </w:cols>
          <w:pgMar w:left="300" w:top="388"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ind w:left="1680" w:right="559" w:firstLine="317"/>
        <w:spacing w:after="0" w:line="252" w:lineRule="auto"/>
        <w:rPr>
          <w:sz w:val="20"/>
          <w:szCs w:val="20"/>
          <w:color w:val="auto"/>
        </w:rPr>
      </w:pPr>
      <w:r>
        <w:rPr>
          <w:rFonts w:ascii="Times New Roman" w:cs="Times New Roman" w:eastAsia="Times New Roman" w:hAnsi="Times New Roman"/>
          <w:sz w:val="13"/>
          <w:szCs w:val="13"/>
          <w:i w:val="1"/>
          <w:iCs w:val="1"/>
          <w:color w:val="auto"/>
        </w:rPr>
        <w:t xml:space="preserve">Firefighting. </w:t>
      </w:r>
      <w:r>
        <w:rPr>
          <w:rFonts w:ascii="Times New Roman" w:cs="Times New Roman" w:eastAsia="Times New Roman" w:hAnsi="Times New Roman"/>
          <w:sz w:val="13"/>
          <w:szCs w:val="13"/>
          <w:color w:val="auto"/>
        </w:rPr>
        <w:t>Our AAVs add significant value to forest and high-rise firefighting activities. Our AAVs can be widely used in forest surveillance,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forest fire monitoring and other scenarios. Our non-passenger-grade AAVs can conduct large-scale routine forest inspections and provide high-resolution live feedback and infrared video recording. They can monitor fire in locations that are too dangerous or difficult for people to access. In addition to surveillance, our AAVs can also carry and transport emergency supplies to firefighters. In July 2020, we announced EHang 216F, a version of EHang 216 that is specially designed for high-rise firefighting. At a global launch ceremony in Yunfu, China, we demonstrated its capability to extinguish a high-rise fire. With a maximum flight altitude of 600 meters, the EHang 216F can carry up to 150 liters of firefighting foams and 6 fire extinguishing projectiles in a single trip. The EHang 216F uses a visible light zoom camera to quickly identify the location of fire. It can then hover precisely in position and use a laser aiming device to fire, in succession, a window breaker, fire extinguishing projectiles and then a full-range spray of firefighting foam. In July 2021, we completed a comprehensive 10-month technical examination on the EHang 216F through 52 different types of tests by the China National Fire-Fighting Equipment Quality Supervision Testing Center, which is under the Ministry of Emergency Management of China. Afterwards, the EHang 216F AAVs were utilized in several urban fire rescue drills organized by local emergency or fire departments in cities such as Guangzhou, Qingdao, Hezhou, Qingyuan in China.</w:t>
      </w:r>
    </w:p>
    <w:p>
      <w:pPr>
        <w:spacing w:after="0" w:line="140" w:lineRule="exact"/>
        <w:rPr>
          <w:sz w:val="20"/>
          <w:szCs w:val="20"/>
          <w:color w:val="auto"/>
        </w:rPr>
      </w:pPr>
    </w:p>
    <w:p>
      <w:pPr>
        <w:ind w:left="1680" w:right="599" w:firstLine="317"/>
        <w:spacing w:after="0" w:line="253" w:lineRule="auto"/>
        <w:rPr>
          <w:sz w:val="20"/>
          <w:szCs w:val="20"/>
          <w:color w:val="auto"/>
        </w:rPr>
      </w:pPr>
      <w:r>
        <w:rPr>
          <w:rFonts w:ascii="Times New Roman" w:cs="Times New Roman" w:eastAsia="Times New Roman" w:hAnsi="Times New Roman"/>
          <w:sz w:val="13"/>
          <w:szCs w:val="13"/>
          <w:i w:val="1"/>
          <w:iCs w:val="1"/>
          <w:color w:val="auto"/>
        </w:rPr>
        <w:t>Medical Emergency</w:t>
      </w:r>
      <w:r>
        <w:rPr>
          <w:rFonts w:ascii="Times New Roman" w:cs="Times New Roman" w:eastAsia="Times New Roman" w:hAnsi="Times New Roman"/>
          <w:sz w:val="13"/>
          <w:szCs w:val="13"/>
          <w:color w:val="auto"/>
        </w:rPr>
        <w:t>. Our AAVs have the potential to be used in emergency medical situations including non-contact delivery of medical supplies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 medical personnel transportation. For example, one of our AAVs successfully provided non-contact delivery of medical supplies from a city center in China to the rooftop of a 25-story hospital four kilometers away during the COVID-19 outbreak in February 2020. This exercise has helped us identify use-case opportunities in a space currently served by ambulance vehicles and helicopters. In addition, Edward Xu, our Chief Strategy Officer, was also transported in an AAV along the same four-kilometer route. This was one of a series of test cases to demonstrate our AAVs’ ability to transport medical personnel at cruise speeds of up to 90 kilometers per hour and at night. In August 2020, we were selected to join Ambular, an international project supported by the International Civil Aviation Organization, or ICAO, which is dedicated to the development of air ambulance for emergency medical uses. In June 2021, we participated in the anti-COVID-19 campaign in Guangzhou by transporting emergency supplies to quarantine areas using EHang 216 and EHang 216L.</w:t>
      </w:r>
    </w:p>
    <w:p>
      <w:pPr>
        <w:spacing w:after="0" w:line="138" w:lineRule="exact"/>
        <w:rPr>
          <w:sz w:val="20"/>
          <w:szCs w:val="20"/>
          <w:color w:val="auto"/>
        </w:rPr>
      </w:pPr>
    </w:p>
    <w:p>
      <w:pPr>
        <w:ind w:left="1680" w:right="579" w:firstLine="317"/>
        <w:spacing w:after="0" w:line="260" w:lineRule="auto"/>
        <w:rPr>
          <w:sz w:val="20"/>
          <w:szCs w:val="20"/>
          <w:color w:val="auto"/>
        </w:rPr>
      </w:pPr>
      <w:r>
        <w:rPr>
          <w:rFonts w:ascii="Times New Roman" w:cs="Times New Roman" w:eastAsia="Times New Roman" w:hAnsi="Times New Roman"/>
          <w:sz w:val="13"/>
          <w:szCs w:val="13"/>
          <w:i w:val="1"/>
          <w:iCs w:val="1"/>
          <w:color w:val="auto"/>
        </w:rPr>
        <w:t xml:space="preserve">Other industrial applications. </w:t>
      </w:r>
      <w:r>
        <w:rPr>
          <w:rFonts w:ascii="Times New Roman" w:cs="Times New Roman" w:eastAsia="Times New Roman" w:hAnsi="Times New Roman"/>
          <w:sz w:val="13"/>
          <w:szCs w:val="13"/>
          <w:color w:val="auto"/>
        </w:rPr>
        <w:t>Customers can choose from a broad line-up of non-passenger-grade AAVs based on the desired freight size,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distance and frequency of delivery. Our other industrial applications include (i) aerial mapping; (ii) public safety surveillance and inspection; (iii) three-dimensional modeling; (iv) remote asset inspection; and (v) news reporting. Leveraging our state-of-the-art technologies, we expected our AAVs will be used in an increasing number of scenarios to address different customer needs.</w:t>
      </w:r>
    </w:p>
    <w:p>
      <w:pPr>
        <w:spacing w:after="0" w:line="132" w:lineRule="exact"/>
        <w:rPr>
          <w:sz w:val="20"/>
          <w:szCs w:val="20"/>
          <w:color w:val="auto"/>
        </w:rPr>
      </w:pPr>
    </w:p>
    <w:p>
      <w:pPr>
        <w:ind w:left="1680" w:right="559" w:firstLine="317"/>
        <w:spacing w:after="0" w:line="279" w:lineRule="auto"/>
        <w:rPr>
          <w:sz w:val="20"/>
          <w:szCs w:val="20"/>
          <w:color w:val="auto"/>
        </w:rPr>
      </w:pPr>
      <w:r>
        <w:rPr>
          <w:rFonts w:ascii="Times New Roman" w:cs="Times New Roman" w:eastAsia="Times New Roman" w:hAnsi="Times New Roman"/>
          <w:sz w:val="12"/>
          <w:szCs w:val="12"/>
          <w:color w:val="auto"/>
        </w:rPr>
        <w:t>As of December 31, 2021, we and the VIE had delivered four command-and-control centers or systems for smart city management in China, located in the cities of Shaoguan, Lianyungang, Hezhou and Shenzhen, respectively. For each of these project, our smart city management solutions provide, among others, traffic management, public safety surveillance, environmental inspection, emergency response or certain law enforcement services. These four command-and-control centers or systems are currently operated by the employees of the respective customers. We and the VIE provide training and other technical support to facilitate a smooth transition. We plan to offer customers operational services for subscription fees should they choose to outsource the operations of the command-and-control centers or systems. We and the VIE also sell AAVs to some smart city management customers on a standalone basis. These AAVs can be used to perform tasks such as traffic management under the control of our EHang Pro app.</w:t>
      </w:r>
    </w:p>
    <w:p>
      <w:pPr>
        <w:spacing w:after="0" w:line="122" w:lineRule="exact"/>
        <w:rPr>
          <w:sz w:val="20"/>
          <w:szCs w:val="20"/>
          <w:color w:val="auto"/>
        </w:rPr>
      </w:pPr>
    </w:p>
    <w:p>
      <w:pPr>
        <w:ind w:left="1680" w:right="559" w:firstLine="317"/>
        <w:spacing w:after="0" w:line="255" w:lineRule="auto"/>
        <w:rPr>
          <w:sz w:val="20"/>
          <w:szCs w:val="20"/>
          <w:color w:val="auto"/>
        </w:rPr>
      </w:pPr>
      <w:r>
        <w:rPr>
          <w:rFonts w:ascii="Times New Roman" w:cs="Times New Roman" w:eastAsia="Times New Roman" w:hAnsi="Times New Roman"/>
          <w:sz w:val="13"/>
          <w:szCs w:val="13"/>
          <w:color w:val="auto"/>
        </w:rPr>
        <w:t>In October 2019, we entered into an agreement to establish a command-and-control center in the international airport of Baku, the capital of Azerbaijan. Under the agreement, we are currently deploying an unmanned aerial system traffic management system, or UTM system, which is expected to be fully integrated with the national air traffic control system. The UTM system can be used to monitor and control unauthorized UAV traffic on the airport’s premises, minimizing the risk of disrupting the normal operations of civil aviation posed by the increasingly widespread use of UAVs. In addition, we are developing a website that includes the features of UAV and pilot registration, certification documents and permissions for flight procedures.</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80</w:t>
      </w:r>
    </w:p>
    <w:p>
      <w:pPr>
        <w:sectPr>
          <w:pgSz w:w="11900" w:h="16838" w:orient="portrait"/>
          <w:cols w:equalWidth="0" w:num="1">
            <w:col w:w="10159"/>
          </w:cols>
          <w:pgMar w:left="300" w:top="388"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Aerial Media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1388110</wp:posOffset>
            </wp:positionH>
            <wp:positionV relativeFrom="paragraph">
              <wp:posOffset>125730</wp:posOffset>
            </wp:positionV>
            <wp:extent cx="4478020" cy="10934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478020" cy="1093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720"/>
        <w:spacing w:after="0"/>
        <w:tabs>
          <w:tab w:leader="none" w:pos="6320" w:val="left"/>
        </w:tabs>
        <w:rPr>
          <w:sz w:val="20"/>
          <w:szCs w:val="20"/>
          <w:color w:val="auto"/>
        </w:rPr>
      </w:pPr>
      <w:r>
        <w:rPr>
          <w:rFonts w:ascii="Times New Roman" w:cs="Times New Roman" w:eastAsia="Times New Roman" w:hAnsi="Times New Roman"/>
          <w:sz w:val="13"/>
          <w:szCs w:val="13"/>
          <w:color w:val="auto"/>
        </w:rPr>
        <w:t>Celebration for 2021 Tokyo Olympics</w:t>
      </w:r>
      <w:r>
        <w:rPr>
          <w:sz w:val="20"/>
          <w:szCs w:val="20"/>
          <w:color w:val="auto"/>
        </w:rPr>
        <w:tab/>
      </w:r>
      <w:r>
        <w:rPr>
          <w:rFonts w:ascii="Times New Roman" w:cs="Times New Roman" w:eastAsia="Times New Roman" w:hAnsi="Times New Roman"/>
          <w:sz w:val="12"/>
          <w:szCs w:val="12"/>
          <w:color w:val="auto"/>
        </w:rPr>
        <w:t>Aerial Media Show of Butterfly at the Canton 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1400810</wp:posOffset>
            </wp:positionH>
            <wp:positionV relativeFrom="paragraph">
              <wp:posOffset>18415</wp:posOffset>
            </wp:positionV>
            <wp:extent cx="4453255" cy="10871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453255" cy="108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540"/>
        <w:spacing w:after="0"/>
        <w:tabs>
          <w:tab w:leader="none" w:pos="6480" w:val="left"/>
        </w:tabs>
        <w:rPr>
          <w:sz w:val="20"/>
          <w:szCs w:val="20"/>
          <w:color w:val="auto"/>
        </w:rPr>
      </w:pPr>
      <w:r>
        <w:rPr>
          <w:rFonts w:ascii="Times New Roman" w:cs="Times New Roman" w:eastAsia="Times New Roman" w:hAnsi="Times New Roman"/>
          <w:sz w:val="13"/>
          <w:szCs w:val="13"/>
          <w:color w:val="auto"/>
        </w:rPr>
        <w:t>Celebration for Spring Lantern Festival 2022</w:t>
      </w:r>
      <w:r>
        <w:rPr>
          <w:sz w:val="20"/>
          <w:szCs w:val="20"/>
          <w:color w:val="auto"/>
        </w:rPr>
        <w:tab/>
      </w:r>
      <w:r>
        <w:rPr>
          <w:rFonts w:ascii="Times New Roman" w:cs="Times New Roman" w:eastAsia="Times New Roman" w:hAnsi="Times New Roman"/>
          <w:sz w:val="12"/>
          <w:szCs w:val="12"/>
          <w:color w:val="auto"/>
        </w:rPr>
        <w:t>Celebration for 2022 Beijing Winter Olympics</w:t>
      </w:r>
    </w:p>
    <w:p>
      <w:pPr>
        <w:spacing w:after="0" w:line="171" w:lineRule="exact"/>
        <w:rPr>
          <w:sz w:val="20"/>
          <w:szCs w:val="20"/>
          <w:color w:val="auto"/>
        </w:rPr>
      </w:pPr>
    </w:p>
    <w:p>
      <w:pPr>
        <w:ind w:left="1680" w:right="579" w:firstLine="317"/>
        <w:spacing w:after="0" w:line="255" w:lineRule="auto"/>
        <w:rPr>
          <w:sz w:val="20"/>
          <w:szCs w:val="20"/>
          <w:color w:val="auto"/>
        </w:rPr>
      </w:pPr>
      <w:r>
        <w:rPr>
          <w:rFonts w:ascii="Times New Roman" w:cs="Times New Roman" w:eastAsia="Times New Roman" w:hAnsi="Times New Roman"/>
          <w:sz w:val="13"/>
          <w:szCs w:val="13"/>
          <w:color w:val="auto"/>
        </w:rPr>
        <w:t>We are a leading provider of aerial media solutions in China. In providing aerial media solutions, we manage and choreograph a fleet of AAVs into a series of moving images. Empowered by our broad range of proprietary navigation technologies, operating systems and infrastructure, we are able to present smooth and mesmerizing AAV formations, synchronized movement and accurate display of two-dimensional and three-dimensional configurations, brand logos or messages. Our remote command-and-control capacity and auto formation flight system support diverse flight missions with varying degrees of difficulties. We utilize real-time kinematic satellite-based navigation technology, or RTK-GPS technology, to achieve centimeter-level positioning precision for our AAVs.</w:t>
      </w:r>
    </w:p>
    <w:p>
      <w:pPr>
        <w:spacing w:after="0" w:line="136" w:lineRule="exact"/>
        <w:rPr>
          <w:sz w:val="20"/>
          <w:szCs w:val="20"/>
          <w:color w:val="auto"/>
        </w:rPr>
      </w:pPr>
    </w:p>
    <w:p>
      <w:pPr>
        <w:ind w:left="1680" w:right="659" w:firstLine="317"/>
        <w:spacing w:after="0" w:line="257" w:lineRule="auto"/>
        <w:rPr>
          <w:sz w:val="20"/>
          <w:szCs w:val="20"/>
          <w:color w:val="auto"/>
        </w:rPr>
      </w:pPr>
      <w:r>
        <w:rPr>
          <w:rFonts w:ascii="Times New Roman" w:cs="Times New Roman" w:eastAsia="Times New Roman" w:hAnsi="Times New Roman"/>
          <w:sz w:val="13"/>
          <w:szCs w:val="13"/>
          <w:color w:val="auto"/>
        </w:rPr>
        <w:t>Since 2020, the focus of our aerial media solution in China transitioned from providing aerial media performance services to selling aerial media solution packages. In Europe, we are partnering with Concept Solutions, an event tech company, to launch aerial media solutions and services in the European market under the brand “Dronepixel by EHang”. With the aerial media permit we received from the Civil Aviation Authority of Austria, which allows us to operate commercial aerial media shows across all European Union member states, we performed a debut aerial media show in Austria in December 2021.</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81</w:t>
      </w:r>
    </w:p>
    <w:p>
      <w:pPr>
        <w:sectPr>
          <w:pgSz w:w="11900" w:h="16838" w:orient="portrait"/>
          <w:cols w:equalWidth="0" w:num="1">
            <w:col w:w="10159"/>
          </w:cols>
          <w:pgMar w:left="300" w:top="388"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Research and Development Capabilities</w:t>
      </w:r>
    </w:p>
    <w:p>
      <w:pPr>
        <w:spacing w:after="0" w:line="86" w:lineRule="exact"/>
        <w:rPr>
          <w:sz w:val="20"/>
          <w:szCs w:val="20"/>
          <w:color w:val="auto"/>
        </w:rPr>
      </w:pPr>
    </w:p>
    <w:p>
      <w:pPr>
        <w:ind w:left="1680" w:right="679" w:firstLine="317"/>
        <w:spacing w:after="0" w:line="254" w:lineRule="auto"/>
        <w:rPr>
          <w:sz w:val="20"/>
          <w:szCs w:val="20"/>
          <w:color w:val="auto"/>
        </w:rPr>
      </w:pPr>
      <w:r>
        <w:rPr>
          <w:rFonts w:ascii="Times New Roman" w:cs="Times New Roman" w:eastAsia="Times New Roman" w:hAnsi="Times New Roman"/>
          <w:sz w:val="13"/>
          <w:szCs w:val="13"/>
          <w:color w:val="auto"/>
        </w:rPr>
        <w:t>Our and the VIE’s in-house design, development and engineering capabilities underpin our leadership and support the advancement of our platform. Our design is characterized by unabated efforts to improve safety, reliability and functionality. We and the VIE have a dedicated research, design and development team in Guangzhou. The team consists of members with strong backgrounds in the fields of electrical engineering, aerospace engineering, mechanical engineering, automation, material engineering and software development. The key R&amp;D team members are mainly graduates of top universities. Our and the VIE’s research and development team focuses on core research development, engineering technology, hardware development, and command-and-control systems of AAVs. We and the VIE also have a dedicated software technology group to lead the research and development of AAV software and algorithms.</w:t>
      </w:r>
    </w:p>
    <w:p>
      <w:pPr>
        <w:spacing w:after="0" w:line="138" w:lineRule="exact"/>
        <w:rPr>
          <w:sz w:val="20"/>
          <w:szCs w:val="20"/>
          <w:color w:val="auto"/>
        </w:rPr>
      </w:pPr>
    </w:p>
    <w:p>
      <w:pPr>
        <w:ind w:left="1680" w:right="599" w:firstLine="317"/>
        <w:spacing w:after="0" w:line="257" w:lineRule="auto"/>
        <w:rPr>
          <w:sz w:val="20"/>
          <w:szCs w:val="20"/>
          <w:color w:val="auto"/>
        </w:rPr>
      </w:pPr>
      <w:r>
        <w:rPr>
          <w:rFonts w:ascii="Times New Roman" w:cs="Times New Roman" w:eastAsia="Times New Roman" w:hAnsi="Times New Roman"/>
          <w:sz w:val="13"/>
          <w:szCs w:val="13"/>
          <w:color w:val="auto"/>
        </w:rPr>
        <w:t>Our success has been driven by a passionate, visionary, tech-savvy and entrepreneurial management team with a unique combination of aviation, internet and software expertise. Our founder, chairman and chief executive officer, Mr. Huazhi Hu, who was awarded the Technology Innovation Award by the Living Legends of Aviation Europe, is one of the pioneers and leaders in the global AAV industry. As a Tsinghua University-trained software engineer, Mr. Hu has amassed substantial experience in the development of command-and-control systems. He was one of the key architects and lead developers behind certain large-scale command-and-control systems, such as that for the 2008 Beijing Olympics.</w:t>
      </w:r>
    </w:p>
    <w:p>
      <w:pPr>
        <w:spacing w:after="0" w:line="133" w:lineRule="exact"/>
        <w:rPr>
          <w:sz w:val="20"/>
          <w:szCs w:val="20"/>
          <w:color w:val="auto"/>
        </w:rPr>
      </w:pPr>
    </w:p>
    <w:p>
      <w:pPr>
        <w:ind w:left="1680" w:right="559" w:firstLine="317"/>
        <w:spacing w:after="0" w:line="254" w:lineRule="auto"/>
        <w:rPr>
          <w:sz w:val="20"/>
          <w:szCs w:val="20"/>
          <w:color w:val="auto"/>
        </w:rPr>
      </w:pPr>
      <w:r>
        <w:rPr>
          <w:rFonts w:ascii="Times New Roman" w:cs="Times New Roman" w:eastAsia="Times New Roman" w:hAnsi="Times New Roman"/>
          <w:sz w:val="13"/>
          <w:szCs w:val="13"/>
          <w:color w:val="auto"/>
        </w:rPr>
        <w:t>At our design and testing center, we have pioneered a multitude of AAV flight tests, including climbing flight tests, high-maneuver flight tests, speed flight tests, night flight tests, as well as flight tests in harsh weather conditions, including low visibility, high and low temperatures, typhoon and fog. Our passenger-grade AAVs conducted trial or demo flights in 11 countries across Asia, Europe and North America, predominantly in China. These trial or demo flights include passenger-carrying flights and flight tests in winds of up to 70 kilometers per hour, in fogs with a visibility of approximately 50 meters, at an air temperature of 52 degrees Celsius and minus 14 degrees Celsius, and at a flight altitude of 4,100 meters above sea level. These tests help us shorten the design and engineering process and progress from the design phase to full-scale production while delivering highly reliable and quality AAVs.</w:t>
      </w:r>
    </w:p>
    <w:p>
      <w:pPr>
        <w:spacing w:after="0" w:line="21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Manufacturing, Quality Control and Supply Chain</w:t>
      </w:r>
    </w:p>
    <w:p>
      <w:pPr>
        <w:spacing w:after="0" w:line="8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Manufacturing</w:t>
      </w:r>
    </w:p>
    <w:p>
      <w:pPr>
        <w:spacing w:after="0" w:line="88" w:lineRule="exact"/>
        <w:rPr>
          <w:sz w:val="20"/>
          <w:szCs w:val="20"/>
          <w:color w:val="auto"/>
        </w:rPr>
      </w:pPr>
    </w:p>
    <w:p>
      <w:pPr>
        <w:ind w:left="1680" w:right="579" w:firstLine="317"/>
        <w:spacing w:after="0" w:line="253" w:lineRule="auto"/>
        <w:rPr>
          <w:sz w:val="20"/>
          <w:szCs w:val="20"/>
          <w:color w:val="auto"/>
        </w:rPr>
      </w:pPr>
      <w:r>
        <w:rPr>
          <w:rFonts w:ascii="Times New Roman" w:cs="Times New Roman" w:eastAsia="Times New Roman" w:hAnsi="Times New Roman"/>
          <w:sz w:val="13"/>
          <w:szCs w:val="13"/>
          <w:color w:val="auto"/>
        </w:rPr>
        <w:t>We adopt a lean and efficient production strategy across our business, focusing on effective prototyping, manufacturing, supply chain management, final assembly, integration, quality and final acceptance testing. Our first manufacturing base in Guangzhou has a total area of 8,750 square meters. As our new AAV production facility in Yunfu city, China commenced operation since June 2021, the Guangzhou manufacturing base gradually shifted its focus to support our new product research and development. Equipped with a series of function areas across the whole production process from manufacturing of key components and carbon fiber composite airframes to aircraft assembling and flight testing, the Yunfu facility has a total gross floor area of approximately 24,000 square meters and a planned initial annual capacity of 600 units of passenger-grade AAVs. To ensure high levels of quality and reliability, our dedicated manufacturing team, in close collaboration with our design and engineering arm, manages and conducts the design, engineering and production of key proprietary AAV components, such as flight control system units, communication system units, battery management system units and motor drivers, and performs final assembly of our AAV products onsite.</w:t>
      </w:r>
    </w:p>
    <w:p>
      <w:pPr>
        <w:spacing w:after="0" w:line="138" w:lineRule="exact"/>
        <w:rPr>
          <w:sz w:val="20"/>
          <w:szCs w:val="20"/>
          <w:color w:val="auto"/>
        </w:rPr>
      </w:pPr>
    </w:p>
    <w:p>
      <w:pPr>
        <w:ind w:left="1680" w:right="559" w:firstLine="317"/>
        <w:spacing w:after="0" w:line="259" w:lineRule="auto"/>
        <w:rPr>
          <w:sz w:val="20"/>
          <w:szCs w:val="20"/>
          <w:color w:val="auto"/>
        </w:rPr>
      </w:pPr>
      <w:r>
        <w:rPr>
          <w:rFonts w:ascii="Times New Roman" w:cs="Times New Roman" w:eastAsia="Times New Roman" w:hAnsi="Times New Roman"/>
          <w:sz w:val="13"/>
          <w:szCs w:val="13"/>
          <w:color w:val="auto"/>
        </w:rPr>
        <w:t>In November 2018, we established a production partnership with Austria-based FACC, a major supplier to global aircraft companies, to support us with high-quality aerospace manufacturing capability focusing on the European markets. Our production partners are subject to rigorous selection and review procedures. All of our production system operations incorporate internal and external quality programs and processes to ensure our required standards for acceptance rates, reduce lead times and lower cost.</w:t>
      </w:r>
    </w:p>
    <w:p>
      <w:pPr>
        <w:spacing w:after="0" w:line="20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Quality Control</w:t>
      </w:r>
    </w:p>
    <w:p>
      <w:pPr>
        <w:spacing w:after="0" w:line="88" w:lineRule="exact"/>
        <w:rPr>
          <w:sz w:val="20"/>
          <w:szCs w:val="20"/>
          <w:color w:val="auto"/>
        </w:rPr>
      </w:pPr>
    </w:p>
    <w:p>
      <w:pPr>
        <w:ind w:left="1680" w:right="719" w:firstLine="317"/>
        <w:spacing w:after="0" w:line="257" w:lineRule="auto"/>
        <w:rPr>
          <w:sz w:val="20"/>
          <w:szCs w:val="20"/>
          <w:color w:val="auto"/>
        </w:rPr>
      </w:pPr>
      <w:r>
        <w:rPr>
          <w:rFonts w:ascii="Times New Roman" w:cs="Times New Roman" w:eastAsia="Times New Roman" w:hAnsi="Times New Roman"/>
          <w:sz w:val="13"/>
          <w:szCs w:val="13"/>
          <w:color w:val="auto"/>
        </w:rPr>
        <w:t>Our quality control efforts focus on designing and producing products and implementing processes that will ensure high levels of safety and reliability. We have a dedicated quality control team that works with our engineering arm and our suppliers to ensure that the product designs meet safety requirements and functional specifications. Together with our supplier review committee, our quality control team also collaborates with our suppliers to ensure that their processes and systems are capable of delivering the parts and components we need at the required quality levels, on time and within budgets.</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82</w:t>
      </w:r>
    </w:p>
    <w:p>
      <w:pPr>
        <w:sectPr>
          <w:pgSz w:w="11900" w:h="16838" w:orient="portrait"/>
          <w:cols w:equalWidth="0" w:num="1">
            <w:col w:w="10159"/>
          </w:cols>
          <w:pgMar w:left="300" w:top="388" w:right="14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959" w:firstLine="317"/>
        <w:spacing w:after="0" w:line="278" w:lineRule="auto"/>
        <w:rPr>
          <w:sz w:val="20"/>
          <w:szCs w:val="20"/>
          <w:color w:val="auto"/>
        </w:rPr>
      </w:pPr>
      <w:r>
        <w:rPr>
          <w:rFonts w:ascii="Times New Roman" w:cs="Times New Roman" w:eastAsia="Times New Roman" w:hAnsi="Times New Roman"/>
          <w:sz w:val="13"/>
          <w:szCs w:val="13"/>
          <w:color w:val="auto"/>
        </w:rPr>
        <w:t>We are committed to a high level of quality assurance. Since 2017, our quality management system has been certified to AS9100, a quality standard widely recognized in the global aerospace industry.</w:t>
      </w:r>
    </w:p>
    <w:p>
      <w:pPr>
        <w:spacing w:after="0" w:line="121" w:lineRule="exact"/>
        <w:rPr>
          <w:sz w:val="20"/>
          <w:szCs w:val="20"/>
          <w:color w:val="auto"/>
        </w:rPr>
      </w:pPr>
    </w:p>
    <w:p>
      <w:pPr>
        <w:ind w:left="1680" w:right="539" w:firstLine="317"/>
        <w:spacing w:after="0" w:line="255" w:lineRule="auto"/>
        <w:rPr>
          <w:sz w:val="20"/>
          <w:szCs w:val="20"/>
          <w:color w:val="auto"/>
        </w:rPr>
      </w:pPr>
      <w:r>
        <w:rPr>
          <w:rFonts w:ascii="Times New Roman" w:cs="Times New Roman" w:eastAsia="Times New Roman" w:hAnsi="Times New Roman"/>
          <w:sz w:val="13"/>
          <w:szCs w:val="13"/>
          <w:color w:val="auto"/>
        </w:rPr>
        <w:t>Our AAVs are produced with strict product quality control. Our quality control team undertakes robust inspections of our production lines in accordance with internal guidelines and assessment criteria. We also conduct licensed flight tests for our AAVs under a variety of conditions, which have proven to be an efficient and effective means for us to assess the quality and airworthiness of our products. Data and results generated from flight tests are carefully studied and analyzed to inform any process of alteration or improvement that may follow. In conjunction with our provision of a broad range of after-sales services and assistance to our customers, our AAV quality control management extends beyond the point of sale as we continue tracking the performance and quality of our AAVs.</w:t>
      </w:r>
    </w:p>
    <w:p>
      <w:pPr>
        <w:spacing w:after="0" w:line="136" w:lineRule="exact"/>
        <w:rPr>
          <w:sz w:val="20"/>
          <w:szCs w:val="20"/>
          <w:color w:val="auto"/>
        </w:rPr>
      </w:pPr>
    </w:p>
    <w:p>
      <w:pPr>
        <w:ind w:left="1680" w:right="579" w:firstLine="317"/>
        <w:spacing w:after="0" w:line="287" w:lineRule="auto"/>
        <w:rPr>
          <w:sz w:val="20"/>
          <w:szCs w:val="20"/>
          <w:color w:val="auto"/>
        </w:rPr>
      </w:pPr>
      <w:r>
        <w:rPr>
          <w:rFonts w:ascii="Times New Roman" w:cs="Times New Roman" w:eastAsia="Times New Roman" w:hAnsi="Times New Roman"/>
          <w:sz w:val="12"/>
          <w:szCs w:val="12"/>
          <w:color w:val="auto"/>
        </w:rPr>
        <w:t>We require our suppliers to maintain high-quality deliverables and to comply with specified industry standards. Parts and components sourced from our suppliers must be certified by the China Compulsory Certification or the Underwriters Laboratory, and/or certified with the ISO 9001. Our suppliers of key parts and components are additionally required to be certified with AS9100 or alternative equivalent certificates. We regularly monitor the performance of our suppliers using parameters such as supplier defect rates, production and delivery performance, as well as inventory management.</w:t>
      </w:r>
    </w:p>
    <w:p>
      <w:pPr>
        <w:spacing w:after="0" w:line="19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Supply Chain</w:t>
      </w:r>
    </w:p>
    <w:p>
      <w:pPr>
        <w:spacing w:after="0" w:line="88" w:lineRule="exact"/>
        <w:rPr>
          <w:sz w:val="20"/>
          <w:szCs w:val="20"/>
          <w:color w:val="auto"/>
        </w:rPr>
      </w:pPr>
    </w:p>
    <w:p>
      <w:pPr>
        <w:ind w:left="1680" w:right="559" w:firstLine="317"/>
        <w:spacing w:after="0" w:line="255" w:lineRule="auto"/>
        <w:rPr>
          <w:sz w:val="20"/>
          <w:szCs w:val="20"/>
          <w:color w:val="auto"/>
        </w:rPr>
      </w:pPr>
      <w:r>
        <w:rPr>
          <w:rFonts w:ascii="Times New Roman" w:cs="Times New Roman" w:eastAsia="Times New Roman" w:hAnsi="Times New Roman"/>
          <w:sz w:val="13"/>
          <w:szCs w:val="13"/>
          <w:color w:val="auto"/>
        </w:rPr>
        <w:t>We adopt a strict reviewing mechanism to ensure quality and stability of our supply chain. We also aim to fully engage with our suppliers to foster long-standing and strong partnership with qualified suppliers. Our production facilities are located in the Pearl River Delta area, a world-leading manufacturing hub, giving us easy access to a large number of high-quality suppliers. Our passenger-grade AAVs are generally manufactured on specific orders and we have been able to effectively manage our inventory level. Historically, we have not experienced significant delays in the supply or availability of our key raw materials or components provided by our suppliers, nor have we experienced a significant price increase for raw materials or components. As a result of the COVID-19 pandemic, we have experienced short-term delayed fulfillments from suppliers.</w:t>
      </w:r>
    </w:p>
    <w:p>
      <w:pPr>
        <w:spacing w:after="0" w:line="21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After-Sales Services for Passenger-grade AAVs</w:t>
      </w:r>
    </w:p>
    <w:p>
      <w:pPr>
        <w:spacing w:after="0" w:line="88" w:lineRule="exact"/>
        <w:rPr>
          <w:sz w:val="20"/>
          <w:szCs w:val="20"/>
          <w:color w:val="auto"/>
        </w:rPr>
      </w:pPr>
    </w:p>
    <w:p>
      <w:pPr>
        <w:ind w:left="1680" w:right="559" w:firstLine="317"/>
        <w:spacing w:after="0" w:line="255" w:lineRule="auto"/>
        <w:rPr>
          <w:sz w:val="20"/>
          <w:szCs w:val="20"/>
          <w:color w:val="auto"/>
        </w:rPr>
      </w:pPr>
      <w:r>
        <w:rPr>
          <w:rFonts w:ascii="Times New Roman" w:cs="Times New Roman" w:eastAsia="Times New Roman" w:hAnsi="Times New Roman"/>
          <w:sz w:val="13"/>
          <w:szCs w:val="13"/>
          <w:color w:val="auto"/>
        </w:rPr>
        <w:t>We provide after-sales services for customers of our passenger-grade AAVs. For EHang 216, for example, we currently offer free installation and training programs thereafter to prepare our customers for its safe operation. The term of our warranty for passenger-grade AAVs is six months to three years depending on the specific parts and components. Within the warranty period, customers are entitled to free on-site repair and maintenance services, while costs for accessories and maintenance fees beyond the warranty will be charged separately. We also provide our customers with lifetime maintenance and operation consulting services through our website, over the telephone and via email. We do not provide warranties to guarantee that the AAVs will perform as expected or in accordance with published specifications or provide expected benefits.</w:t>
      </w:r>
    </w:p>
    <w:p>
      <w:pPr>
        <w:spacing w:after="0" w:line="21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After-Sales Services for Non-passenger-grade AAVs</w:t>
      </w:r>
    </w:p>
    <w:p>
      <w:pPr>
        <w:spacing w:after="0" w:line="88" w:lineRule="exact"/>
        <w:rPr>
          <w:sz w:val="20"/>
          <w:szCs w:val="20"/>
          <w:color w:val="auto"/>
        </w:rPr>
      </w:pPr>
    </w:p>
    <w:p>
      <w:pPr>
        <w:ind w:left="1680" w:right="559" w:firstLine="317"/>
        <w:spacing w:after="0" w:line="264" w:lineRule="auto"/>
        <w:rPr>
          <w:sz w:val="20"/>
          <w:szCs w:val="20"/>
          <w:color w:val="auto"/>
        </w:rPr>
      </w:pPr>
      <w:r>
        <w:rPr>
          <w:rFonts w:ascii="Times New Roman" w:cs="Times New Roman" w:eastAsia="Times New Roman" w:hAnsi="Times New Roman"/>
          <w:sz w:val="13"/>
          <w:szCs w:val="13"/>
          <w:color w:val="auto"/>
        </w:rPr>
        <w:t>The term of our warranty for non-passenger-grade AAVs is from six to twelve months depending on the product line and the specific parts and components. The warranty on certain components of our AAVs, such as batteries, is covered by our suppliers’ back-to-back warranty and we are entitled to have the suppliers replace or repair these defective components at their costs.</w:t>
      </w:r>
    </w:p>
    <w:p>
      <w:pPr>
        <w:spacing w:after="0" w:line="20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After-Sales Services for Command-and-Control Systems</w:t>
      </w:r>
    </w:p>
    <w:p>
      <w:pPr>
        <w:spacing w:after="0" w:line="88" w:lineRule="exact"/>
        <w:rPr>
          <w:sz w:val="20"/>
          <w:szCs w:val="20"/>
          <w:color w:val="auto"/>
        </w:rPr>
      </w:pPr>
    </w:p>
    <w:p>
      <w:pPr>
        <w:ind w:left="1680" w:right="599" w:firstLine="317"/>
        <w:spacing w:after="0" w:line="259" w:lineRule="auto"/>
        <w:rPr>
          <w:sz w:val="20"/>
          <w:szCs w:val="20"/>
          <w:color w:val="auto"/>
        </w:rPr>
      </w:pPr>
      <w:r>
        <w:rPr>
          <w:rFonts w:ascii="Times New Roman" w:cs="Times New Roman" w:eastAsia="Times New Roman" w:hAnsi="Times New Roman"/>
          <w:sz w:val="13"/>
          <w:szCs w:val="13"/>
          <w:color w:val="auto"/>
        </w:rPr>
        <w:t>For our AAV commercial solutions, we provide a full spectrum of services. To facilitate the efficient operation of our AAV command-and-control systems, we provide, among others, system operation and maintenance training, service support, engineering support, inspection and repair, technical consulting support, and data and documentation assistance. Our customers enjoy services throughout the operational life of our command-and-control systems. Most of these services are performed on-site.</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83</w:t>
      </w:r>
    </w:p>
    <w:p>
      <w:pPr>
        <w:sectPr>
          <w:pgSz w:w="11900" w:h="16838" w:orient="portrait"/>
          <w:cols w:equalWidth="0" w:num="1">
            <w:col w:w="10159"/>
          </w:cols>
          <w:pgMar w:left="300" w:top="388"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539" w:firstLine="317"/>
        <w:spacing w:after="0" w:line="264" w:lineRule="auto"/>
        <w:rPr>
          <w:sz w:val="20"/>
          <w:szCs w:val="20"/>
          <w:color w:val="auto"/>
        </w:rPr>
      </w:pPr>
      <w:r>
        <w:rPr>
          <w:rFonts w:ascii="Times New Roman" w:cs="Times New Roman" w:eastAsia="Times New Roman" w:hAnsi="Times New Roman"/>
          <w:sz w:val="13"/>
          <w:szCs w:val="13"/>
          <w:color w:val="auto"/>
        </w:rPr>
        <w:t>We continue to maintain and upgrade our AAV software infrastructure to enhance the functionality, reliability and safety of our AAVs. We regularly inspect, maintain and upgrade the fundamental communication network and transmission system to ensure the smooth communication between our AAVs and our command-and-control systems on the ground.</w:t>
      </w:r>
    </w:p>
    <w:p>
      <w:pPr>
        <w:spacing w:after="0" w:line="20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Marketing, Sales and Operational Services</w:t>
      </w:r>
    </w:p>
    <w:p>
      <w:pPr>
        <w:spacing w:after="0" w:line="8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Marketing</w:t>
      </w:r>
    </w:p>
    <w:p>
      <w:pPr>
        <w:spacing w:after="0" w:line="88" w:lineRule="exact"/>
        <w:rPr>
          <w:sz w:val="20"/>
          <w:szCs w:val="20"/>
          <w:color w:val="auto"/>
        </w:rPr>
      </w:pPr>
    </w:p>
    <w:p>
      <w:pPr>
        <w:ind w:left="1680" w:right="1019" w:firstLine="317"/>
        <w:spacing w:after="0" w:line="278" w:lineRule="auto"/>
        <w:rPr>
          <w:sz w:val="20"/>
          <w:szCs w:val="20"/>
          <w:color w:val="auto"/>
        </w:rPr>
      </w:pPr>
      <w:r>
        <w:rPr>
          <w:rFonts w:ascii="Times New Roman" w:cs="Times New Roman" w:eastAsia="Times New Roman" w:hAnsi="Times New Roman"/>
          <w:sz w:val="13"/>
          <w:szCs w:val="13"/>
          <w:color w:val="auto"/>
        </w:rPr>
        <w:t>We aim to promote awareness of our EHang brand globally. Our AAVs are marketed to customers through online events as well as offline promotional and advertising activities.</w:t>
      </w:r>
    </w:p>
    <w:p>
      <w:pPr>
        <w:spacing w:after="0" w:line="121" w:lineRule="exact"/>
        <w:rPr>
          <w:sz w:val="20"/>
          <w:szCs w:val="20"/>
          <w:color w:val="auto"/>
        </w:rPr>
      </w:pPr>
    </w:p>
    <w:p>
      <w:pPr>
        <w:ind w:left="1680" w:right="559" w:firstLine="317"/>
        <w:spacing w:after="0" w:line="257" w:lineRule="auto"/>
        <w:rPr>
          <w:sz w:val="20"/>
          <w:szCs w:val="20"/>
          <w:color w:val="auto"/>
        </w:rPr>
      </w:pPr>
      <w:r>
        <w:rPr>
          <w:rFonts w:ascii="Times New Roman" w:cs="Times New Roman" w:eastAsia="Times New Roman" w:hAnsi="Times New Roman"/>
          <w:sz w:val="13"/>
          <w:szCs w:val="13"/>
          <w:color w:val="auto"/>
        </w:rPr>
        <w:t>We conduct online marketing through our websites, domestic and international social media and online video platforms, among others. We conduct joint online marketing campaigns with other well-known companies, and our social media accounts on YouTube, Twitter, LinkedIn, Facebook, Instagram, TikTok, WeChat, Weibo, Youku, Tencent Video, Douyin, Bilibili and Toutiao to distribute original content to, and interact with, our followers and existing users. We believe that our successful marketing has helped us attract news coverage in major global online media and magazines, including Time, Forbes, Fortune, CNBC, Reuters, Associated Press, Bloomberg, CNN, Financial Times, etc.</w:t>
      </w:r>
    </w:p>
    <w:p>
      <w:pPr>
        <w:spacing w:after="0" w:line="133" w:lineRule="exact"/>
        <w:rPr>
          <w:sz w:val="20"/>
          <w:szCs w:val="20"/>
          <w:color w:val="auto"/>
        </w:rPr>
      </w:pPr>
    </w:p>
    <w:p>
      <w:pPr>
        <w:ind w:left="1680" w:right="559" w:firstLine="317"/>
        <w:spacing w:after="0" w:line="254" w:lineRule="auto"/>
        <w:rPr>
          <w:sz w:val="20"/>
          <w:szCs w:val="20"/>
          <w:color w:val="auto"/>
        </w:rPr>
      </w:pPr>
      <w:r>
        <w:rPr>
          <w:rFonts w:ascii="Times New Roman" w:cs="Times New Roman" w:eastAsia="Times New Roman" w:hAnsi="Times New Roman"/>
          <w:sz w:val="13"/>
          <w:szCs w:val="13"/>
          <w:color w:val="auto"/>
        </w:rPr>
        <w:t>We organize new product launches, company milestone media events, aviation exhibitions and other offline marketing events. We have organized and participated in numerous product exhibitions in China, the United States, Canada, the European Union, the Middle East, Korea, Japan and Southeast Asia to demonstrate our products and interact with our users. We also take part in aviation and technology exhibitions and conferences, such as the ICAO Innovation Symposium 2020, World ATM Congress, the Future of Transportation World Conference, the International Consumer Electronics Show, the North Carolina Transportation Summit, the China International Aviation and Aerospace Exhibition and the UAM Seoul Demo event. Through participation in these events, we not only have the opportunities to directly interact with our users and enhance our connection with our customers, but also generate greater awareness of the EHang brand.</w:t>
      </w:r>
    </w:p>
    <w:p>
      <w:pPr>
        <w:spacing w:after="0" w:line="136" w:lineRule="exact"/>
        <w:rPr>
          <w:sz w:val="20"/>
          <w:szCs w:val="20"/>
          <w:color w:val="auto"/>
        </w:rPr>
      </w:pPr>
    </w:p>
    <w:p>
      <w:pPr>
        <w:ind w:left="1680" w:right="739" w:firstLine="317"/>
        <w:spacing w:after="0" w:line="260" w:lineRule="auto"/>
        <w:rPr>
          <w:sz w:val="20"/>
          <w:szCs w:val="20"/>
          <w:color w:val="auto"/>
        </w:rPr>
      </w:pPr>
      <w:r>
        <w:rPr>
          <w:rFonts w:ascii="Times New Roman" w:cs="Times New Roman" w:eastAsia="Times New Roman" w:hAnsi="Times New Roman"/>
          <w:sz w:val="13"/>
          <w:szCs w:val="13"/>
          <w:color w:val="auto"/>
        </w:rPr>
        <w:t xml:space="preserve">We issued a white paper entitled </w:t>
      </w:r>
      <w:r>
        <w:rPr>
          <w:rFonts w:ascii="Times New Roman" w:cs="Times New Roman" w:eastAsia="Times New Roman" w:hAnsi="Times New Roman"/>
          <w:sz w:val="13"/>
          <w:szCs w:val="13"/>
          <w:i w:val="1"/>
          <w:iCs w:val="1"/>
          <w:color w:val="auto"/>
        </w:rPr>
        <w:t>The Future of Transportation: White Paper on UAM System</w:t>
      </w:r>
      <w:r>
        <w:rPr>
          <w:rFonts w:ascii="Times New Roman" w:cs="Times New Roman" w:eastAsia="Times New Roman" w:hAnsi="Times New Roman"/>
          <w:sz w:val="13"/>
          <w:szCs w:val="13"/>
          <w:color w:val="auto"/>
        </w:rPr>
        <w:t xml:space="preserve"> in January 2020, which explored in depth UAM’s potential to transform transportation globally with insights into vehicle design, an overview of potential applications and the current regulatory landscape, and recommendations as to the optimization of UAM’s path towards commercialization. We believe this white paper has facilitated the education of the emerging market and further consolidated our thought leadership in the industry.</w:t>
      </w:r>
    </w:p>
    <w:p>
      <w:pPr>
        <w:spacing w:after="0" w:line="20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Sales</w:t>
      </w:r>
    </w:p>
    <w:p>
      <w:pPr>
        <w:spacing w:after="0" w:line="88" w:lineRule="exact"/>
        <w:rPr>
          <w:sz w:val="20"/>
          <w:szCs w:val="20"/>
          <w:color w:val="auto"/>
        </w:rPr>
      </w:pPr>
    </w:p>
    <w:p>
      <w:pPr>
        <w:ind w:left="1680" w:right="659" w:firstLine="317"/>
        <w:spacing w:after="0" w:line="264" w:lineRule="auto"/>
        <w:rPr>
          <w:sz w:val="20"/>
          <w:szCs w:val="20"/>
          <w:color w:val="auto"/>
        </w:rPr>
      </w:pPr>
      <w:r>
        <w:rPr>
          <w:rFonts w:ascii="Times New Roman" w:cs="Times New Roman" w:eastAsia="Times New Roman" w:hAnsi="Times New Roman"/>
          <w:sz w:val="13"/>
          <w:szCs w:val="13"/>
          <w:color w:val="auto"/>
        </w:rPr>
        <w:t>We and the VIE have established a targeted direct sales network to sell our AAVs and offer our AAV commercial solutions to our customers, and have been further expanding direct sales efforts in China and international markets, including Asia and Europe. As of December 31, 2021, the direct sales team consisted of 29 sales representatives for the PRC market and 11 for international markets.</w:t>
      </w:r>
    </w:p>
    <w:p>
      <w:pPr>
        <w:spacing w:after="0" w:line="129" w:lineRule="exact"/>
        <w:rPr>
          <w:sz w:val="20"/>
          <w:szCs w:val="20"/>
          <w:color w:val="auto"/>
        </w:rPr>
      </w:pPr>
    </w:p>
    <w:p>
      <w:pPr>
        <w:ind w:left="1680" w:right="659" w:firstLine="317"/>
        <w:spacing w:after="0" w:line="259" w:lineRule="auto"/>
        <w:rPr>
          <w:sz w:val="20"/>
          <w:szCs w:val="20"/>
          <w:color w:val="auto"/>
        </w:rPr>
      </w:pPr>
      <w:r>
        <w:rPr>
          <w:rFonts w:ascii="Times New Roman" w:cs="Times New Roman" w:eastAsia="Times New Roman" w:hAnsi="Times New Roman"/>
          <w:sz w:val="13"/>
          <w:szCs w:val="13"/>
          <w:color w:val="auto"/>
        </w:rPr>
        <w:t>Our direct sales force utilizes marketing initiatives to create awareness of the benefits of our AAVs and AAV commercial solutions. We intend to invest to strengthen our sales and marketing efforts by increasing the number of sales representatives in existing and new markets. We are also in discussion with existing and potential business partners in the PRC and abroad to complement our direct sales efforts with sales to distributors and franchise arrangements.</w:t>
      </w:r>
    </w:p>
    <w:p>
      <w:pPr>
        <w:spacing w:after="0" w:line="133" w:lineRule="exact"/>
        <w:rPr>
          <w:sz w:val="20"/>
          <w:szCs w:val="20"/>
          <w:color w:val="auto"/>
        </w:rPr>
      </w:pPr>
    </w:p>
    <w:p>
      <w:pPr>
        <w:ind w:left="1680" w:right="719" w:firstLine="317"/>
        <w:spacing w:after="0" w:line="278" w:lineRule="auto"/>
        <w:rPr>
          <w:sz w:val="20"/>
          <w:szCs w:val="20"/>
          <w:color w:val="auto"/>
        </w:rPr>
      </w:pPr>
      <w:r>
        <w:rPr>
          <w:rFonts w:ascii="Times New Roman" w:cs="Times New Roman" w:eastAsia="Times New Roman" w:hAnsi="Times New Roman"/>
          <w:sz w:val="13"/>
          <w:szCs w:val="13"/>
          <w:color w:val="auto"/>
        </w:rPr>
        <w:t>On top of our sales in the PRC, we have exported our AAVs to North America, Asia and Europe. We strive to ensure that our exported products comply with the regulatory and safety standards of the local markets.</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84</w:t>
      </w:r>
    </w:p>
    <w:p>
      <w:pPr>
        <w:sectPr>
          <w:pgSz w:w="11900" w:h="16838" w:orient="portrait"/>
          <w:cols w:equalWidth="0" w:num="1">
            <w:col w:w="10159"/>
          </w:cols>
          <w:pgMar w:left="300" w:top="388"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1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Operational Services</w:t>
      </w:r>
    </w:p>
    <w:p>
      <w:pPr>
        <w:spacing w:after="0" w:line="88" w:lineRule="exact"/>
        <w:rPr>
          <w:sz w:val="20"/>
          <w:szCs w:val="20"/>
          <w:color w:val="auto"/>
        </w:rPr>
      </w:pPr>
    </w:p>
    <w:p>
      <w:pPr>
        <w:ind w:left="1680" w:right="599" w:firstLine="317"/>
        <w:spacing w:after="0" w:line="253" w:lineRule="auto"/>
        <w:rPr>
          <w:sz w:val="20"/>
          <w:szCs w:val="20"/>
          <w:color w:val="auto"/>
        </w:rPr>
      </w:pPr>
      <w:r>
        <w:rPr>
          <w:rFonts w:ascii="Times New Roman" w:cs="Times New Roman" w:eastAsia="Times New Roman" w:hAnsi="Times New Roman"/>
          <w:sz w:val="13"/>
          <w:szCs w:val="13"/>
          <w:color w:val="auto"/>
        </w:rPr>
        <w:t>Driven by our strategy to be an urban air mobility platform operator, we as well as the VIE and its subsidiaries plan to provide commercial UAM services with AAV operations to our customers and end users after obtaining required certificates and approvals. In preparation, we, the VIE and its subsidiaries have set up a specialized operating team, including the staff for route planning, flight operations, safety management, regulatory compliance, digital operational platform, sales and marketing, which consisted of about 50 members as of December 31, 2021, which will continue to expand. Key members have previous operational experience at leading aviation, airline, mobility or tech companies such as Airbus, Hainan Airlines, Hong Kong Airlines, Hong Kong Express, BMW, CITIC COHC and IBM. Furthermore, we, the VIE and its subsidiaries have been developing a digital operational platform, which covers online booking, flight scheduling, payment, vehicle monitoring, route management, air traffic management synchronizing and integration, etc. to digitize the operational processes.</w:t>
      </w:r>
    </w:p>
    <w:p>
      <w:pPr>
        <w:spacing w:after="0" w:line="21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Contracts with Our Customers and Partners</w:t>
      </w:r>
    </w:p>
    <w:p>
      <w:pPr>
        <w:spacing w:after="0" w:line="88" w:lineRule="exact"/>
        <w:rPr>
          <w:sz w:val="20"/>
          <w:szCs w:val="20"/>
          <w:color w:val="auto"/>
        </w:rPr>
      </w:pPr>
    </w:p>
    <w:p>
      <w:pPr>
        <w:ind w:left="1680" w:right="559" w:firstLine="317"/>
        <w:spacing w:after="0" w:line="273" w:lineRule="auto"/>
        <w:rPr>
          <w:sz w:val="20"/>
          <w:szCs w:val="20"/>
          <w:color w:val="auto"/>
        </w:rPr>
      </w:pPr>
      <w:r>
        <w:rPr>
          <w:rFonts w:ascii="Times New Roman" w:cs="Times New Roman" w:eastAsia="Times New Roman" w:hAnsi="Times New Roman"/>
          <w:sz w:val="12"/>
          <w:szCs w:val="12"/>
          <w:color w:val="auto"/>
        </w:rPr>
        <w:t>We have entered into a number of long-term framework and conditional agreements with our business partners relating to the sale of passenger-grade AAVs. These business partners include several PRC AAV distributors, a U.S. biotechnology company (Lung Biotechnology PBC), a Japanese air mobility digital platform company (AirX Inc.), an Indonesian company (Prestige Aviation) and a Malaysian aviation company (AEROTREE). Each framework or conditional agreement generally sets forth a target or expected sale quantity over a multi-year period. Our agreement with Lung Biotechnology PBC is the only one among our agreements with customers, pursuant to which purchases are explicitly conditioned on our meeting certain deadlines for specified performance milestones and the receipt of applicable regulatory approvals. We have yet to achieve the performance milestones, which allows the customer to terminate the agreement. In some other agreements, the sales targets and pre-orders are non-binding. See “Item</w:t>
      </w:r>
    </w:p>
    <w:p>
      <w:pPr>
        <w:spacing w:after="0" w:line="3" w:lineRule="exact"/>
        <w:rPr>
          <w:sz w:val="20"/>
          <w:szCs w:val="20"/>
          <w:color w:val="auto"/>
        </w:rPr>
      </w:pPr>
    </w:p>
    <w:p>
      <w:pPr>
        <w:ind w:left="1680" w:right="579" w:hanging="4"/>
        <w:spacing w:after="0" w:line="274" w:lineRule="auto"/>
        <w:tabs>
          <w:tab w:leader="none" w:pos="181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Key Information—D. Risk Factors—Risks Relating to Our Business and Industry—Our framework and conditional agreements may not result in material sales of our products.” Specifically, currently in China, the United States and other jurisdictions relevant to us, the commercial use of our passenger-grade AAVs, and in some cases our non-passenger grade AAVs, is subject to an uncertain or lengthy approval process. None of our business partners has obtained the regulatory approval for the commercial operations of our passenger-grade AAVs. We are unable to estimate the average length of time required to obtain the applicable regulatory approvals due to the nascent nature of AAV-related regulations and the lack of relevant precedents. We also cannot be sure that we or our business partners will obtain the required approvals in a timely manner, or at all. We are not aware of any operator having been granted all required approvals for the commercial operations of passenger-grade AAVs in China, the United States or elsewhere. Nor can we predict when these regulations will change, and any new regulations may impose onerous requirements and restrictions. Before regulatory approvals for the commercial operations of our passenger-grade AAVs have been obtained in China and/or other relevant jurisdictions, customer demand will likely be limited in volume. For the foregoing reasons, we may not receive any substantial orders from our current or potential customers.</w:t>
      </w:r>
    </w:p>
    <w:p>
      <w:pPr>
        <w:spacing w:after="0" w:line="125" w:lineRule="exact"/>
        <w:rPr>
          <w:sz w:val="20"/>
          <w:szCs w:val="20"/>
          <w:color w:val="auto"/>
        </w:rPr>
      </w:pPr>
    </w:p>
    <w:p>
      <w:pPr>
        <w:ind w:left="1680" w:right="699" w:firstLine="317"/>
        <w:spacing w:after="0" w:line="264" w:lineRule="auto"/>
        <w:rPr>
          <w:sz w:val="20"/>
          <w:szCs w:val="20"/>
          <w:color w:val="auto"/>
        </w:rPr>
      </w:pPr>
      <w:r>
        <w:rPr>
          <w:rFonts w:ascii="Times New Roman" w:cs="Times New Roman" w:eastAsia="Times New Roman" w:hAnsi="Times New Roman"/>
          <w:sz w:val="13"/>
          <w:szCs w:val="13"/>
          <w:color w:val="auto"/>
        </w:rPr>
        <w:t>Our customers place purchase orders taking into account the terms of the relevant framework agreement, if applicable, and the customer’s procurement requirements. For passenger-grade AAVs, we start production after the purchase order from customers is made, and production generally takes three to six months. Customers are contractually required to make upfront payment to us.</w:t>
      </w:r>
    </w:p>
    <w:p>
      <w:pPr>
        <w:spacing w:after="0" w:line="129" w:lineRule="exact"/>
        <w:rPr>
          <w:sz w:val="20"/>
          <w:szCs w:val="20"/>
          <w:color w:val="auto"/>
        </w:rPr>
      </w:pPr>
    </w:p>
    <w:p>
      <w:pPr>
        <w:jc w:val="both"/>
        <w:ind w:left="1680" w:right="759" w:firstLine="317"/>
        <w:spacing w:after="0" w:line="264" w:lineRule="auto"/>
        <w:rPr>
          <w:sz w:val="20"/>
          <w:szCs w:val="20"/>
          <w:color w:val="auto"/>
        </w:rPr>
      </w:pPr>
      <w:r>
        <w:rPr>
          <w:rFonts w:ascii="Times New Roman" w:cs="Times New Roman" w:eastAsia="Times New Roman" w:hAnsi="Times New Roman"/>
          <w:sz w:val="13"/>
          <w:szCs w:val="13"/>
          <w:color w:val="auto"/>
        </w:rPr>
        <w:t>We enter into sales agreements with customers to sell aerial media solution packages, including component packages of small-sized AAVs for aerial media uses and related software. For aerial media solution packages, we generally deliver solution package within three to six months once the purchase order is placed. Customers are contractually required to make upfront payment to us.</w:t>
      </w:r>
    </w:p>
    <w:p>
      <w:pPr>
        <w:spacing w:after="0" w:line="129" w:lineRule="exact"/>
        <w:rPr>
          <w:sz w:val="20"/>
          <w:szCs w:val="20"/>
          <w:color w:val="auto"/>
        </w:rPr>
      </w:pPr>
    </w:p>
    <w:p>
      <w:pPr>
        <w:ind w:left="1680" w:right="659" w:firstLine="317"/>
        <w:spacing w:after="0" w:line="257" w:lineRule="auto"/>
        <w:rPr>
          <w:sz w:val="20"/>
          <w:szCs w:val="20"/>
          <w:color w:val="auto"/>
        </w:rPr>
      </w:pPr>
      <w:r>
        <w:rPr>
          <w:rFonts w:ascii="Times New Roman" w:cs="Times New Roman" w:eastAsia="Times New Roman" w:hAnsi="Times New Roman"/>
          <w:sz w:val="13"/>
          <w:szCs w:val="13"/>
          <w:color w:val="auto"/>
        </w:rPr>
        <w:t>We also explore and pursue suitable strategic partnerships that can strengthen our production and technological capabilities. We may co-develop new AAV models in collaboration with international industry leaders. Under a strategic partnership established in October 2019 with Vodafone GmbH, or Vodafone, the German affiliate of Vodafone Group, a mobile telecommunications conglomerate, Vodafone intends to exclusively provide 5G connectivity to EHang AAVs for urban air mobility applications in Europe, and the parties will cooperate in the development of an urban air mobility ecosystem in Europe.</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85</w:t>
      </w:r>
    </w:p>
    <w:p>
      <w:pPr>
        <w:sectPr>
          <w:pgSz w:w="11900" w:h="16838" w:orient="portrait"/>
          <w:cols w:equalWidth="0" w:num="1">
            <w:col w:w="10159"/>
          </w:cols>
          <w:pgMar w:left="300" w:top="388"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619" w:firstLine="317"/>
        <w:spacing w:after="0" w:line="255" w:lineRule="auto"/>
        <w:rPr>
          <w:sz w:val="20"/>
          <w:szCs w:val="20"/>
          <w:color w:val="auto"/>
        </w:rPr>
      </w:pPr>
      <w:r>
        <w:rPr>
          <w:rFonts w:ascii="Times New Roman" w:cs="Times New Roman" w:eastAsia="Times New Roman" w:hAnsi="Times New Roman"/>
          <w:sz w:val="13"/>
          <w:szCs w:val="13"/>
          <w:color w:val="auto"/>
        </w:rPr>
        <w:t>In addition, we collaborate with business partners to provide trial logistics services. For example, in February 2019, we entered into a comprehensive unmanned delivery solution and service contract with DHL-Sinotrans, a joint venture of DHL Express and Chinese logistics company Sinotrans. Pursuant to this contract, we provide DHL-Sinotrans with a set of tailored software products, hardware products and services to complete the unmanned deliveries designated by DHL-Sinotrans. For products and services provided for each delivery route, DHL-Sinotrans agreed to make progressive payments to us, including a 30% prepayment before our production, a 65% payment within 30 days after the installment of our equipment and a 5% payment after the one-year warranty period.</w:t>
      </w:r>
    </w:p>
    <w:p>
      <w:pPr>
        <w:spacing w:after="0" w:line="21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Competition</w:t>
      </w:r>
    </w:p>
    <w:p>
      <w:pPr>
        <w:spacing w:after="0" w:line="86" w:lineRule="exact"/>
        <w:rPr>
          <w:sz w:val="20"/>
          <w:szCs w:val="20"/>
          <w:color w:val="auto"/>
        </w:rPr>
      </w:pPr>
    </w:p>
    <w:p>
      <w:pPr>
        <w:ind w:left="1680" w:right="599" w:firstLine="317"/>
        <w:spacing w:after="0" w:line="259" w:lineRule="auto"/>
        <w:rPr>
          <w:sz w:val="20"/>
          <w:szCs w:val="20"/>
          <w:color w:val="auto"/>
        </w:rPr>
      </w:pPr>
      <w:r>
        <w:rPr>
          <w:rFonts w:ascii="Times New Roman" w:cs="Times New Roman" w:eastAsia="Times New Roman" w:hAnsi="Times New Roman"/>
          <w:sz w:val="13"/>
          <w:szCs w:val="13"/>
          <w:color w:val="auto"/>
        </w:rPr>
        <w:t>We operate in the UAV industry, and provide various commercial solutions, including air mobility (consisting of passenger transportation and logistics), smart city management and aerial media solutions. Our air mobility solutions may be alternatives to those offered by traditional industry players, such as helicopter and ground transportation service providers. We believe the primary competitive factors in our markets include technological innovation, safety, quality, user experience, and operational and manufacturing efficiency.</w:t>
      </w:r>
    </w:p>
    <w:p>
      <w:pPr>
        <w:spacing w:after="0" w:line="133" w:lineRule="exact"/>
        <w:rPr>
          <w:sz w:val="20"/>
          <w:szCs w:val="20"/>
          <w:color w:val="auto"/>
        </w:rPr>
      </w:pPr>
    </w:p>
    <w:p>
      <w:pPr>
        <w:ind w:left="1680" w:right="539" w:firstLine="317"/>
        <w:spacing w:after="0" w:line="257" w:lineRule="auto"/>
        <w:rPr>
          <w:sz w:val="20"/>
          <w:szCs w:val="20"/>
          <w:color w:val="auto"/>
        </w:rPr>
      </w:pPr>
      <w:r>
        <w:rPr>
          <w:rFonts w:ascii="Times New Roman" w:cs="Times New Roman" w:eastAsia="Times New Roman" w:hAnsi="Times New Roman"/>
          <w:sz w:val="13"/>
          <w:szCs w:val="13"/>
          <w:color w:val="auto"/>
        </w:rPr>
        <w:t>We believe we are the first mover and a leader in air mobility solutions. A number of other companies are also developing passenger-grade electric vertically-takeoff-and-landing vehicles, or eVTOLs, but to our knowledge, none of these companies have delivered passenger-grade AAVs to customers as of the date of this annual report. In other areas of our business, including logistics, smart city management and aerial media solutions, we also face several major competitors. We believe that we are strategically positioned in the commercial UAV market with exceptional technologies, innovation capabilities, broad use cases and leading positions in providing integrated smart city management solutions and aerial media solutions.</w:t>
      </w:r>
    </w:p>
    <w:p>
      <w:pPr>
        <w:spacing w:after="0" w:line="20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Intellectual Property</w:t>
      </w:r>
    </w:p>
    <w:p>
      <w:pPr>
        <w:spacing w:after="0" w:line="86" w:lineRule="exact"/>
        <w:rPr>
          <w:sz w:val="20"/>
          <w:szCs w:val="20"/>
          <w:color w:val="auto"/>
        </w:rPr>
      </w:pPr>
    </w:p>
    <w:p>
      <w:pPr>
        <w:ind w:left="1680" w:right="559" w:firstLine="317"/>
        <w:spacing w:after="0" w:line="254" w:lineRule="auto"/>
        <w:rPr>
          <w:sz w:val="20"/>
          <w:szCs w:val="20"/>
          <w:color w:val="auto"/>
        </w:rPr>
      </w:pPr>
      <w:r>
        <w:rPr>
          <w:rFonts w:ascii="Times New Roman" w:cs="Times New Roman" w:eastAsia="Times New Roman" w:hAnsi="Times New Roman"/>
          <w:sz w:val="13"/>
          <w:szCs w:val="13"/>
          <w:color w:val="auto"/>
        </w:rPr>
        <w:t>We and the VIE have significant capabilities in the areas of AAVs engineering, development and design and have developed a number of proprietary systems and technologies. Our success depends in part on our ability to protect our and the VIE’s core technologies and intellectual property. We and the VIE rely on a combination of patents, patent applications, trade secrets, know-how, copyrights, trademarks, intellectual property licenses and other contractual rights to establish and protect our proprietary rights in our technologies. In addition, we and the VIE have entered into confidentiality and non-disclosure agreements with our employees and business partners. The agreements we and the VIE entered into with employees provide that all software, inventions, developments, works of authorship and trade secrets created by them during the course of their employment are our or the VIE’s property.</w:t>
      </w:r>
    </w:p>
    <w:p>
      <w:pPr>
        <w:spacing w:after="0" w:line="138" w:lineRule="exact"/>
        <w:rPr>
          <w:sz w:val="20"/>
          <w:szCs w:val="20"/>
          <w:color w:val="auto"/>
        </w:rPr>
      </w:pPr>
    </w:p>
    <w:p>
      <w:pPr>
        <w:ind w:left="1680" w:right="699" w:firstLine="317"/>
        <w:spacing w:after="0" w:line="278" w:lineRule="auto"/>
        <w:rPr>
          <w:sz w:val="20"/>
          <w:szCs w:val="20"/>
          <w:color w:val="auto"/>
        </w:rPr>
      </w:pPr>
      <w:r>
        <w:rPr>
          <w:rFonts w:ascii="Times New Roman" w:cs="Times New Roman" w:eastAsia="Times New Roman" w:hAnsi="Times New Roman"/>
          <w:sz w:val="13"/>
          <w:szCs w:val="13"/>
          <w:color w:val="auto"/>
        </w:rPr>
        <w:t>As of March 31, 2022, we and the VIE together had 215 issued patents in China and 120 pending patent applications, 369 registered trademarks and 24 registered copyrights in China. We and the VIE intend to continue to file additional intellectual property applications.</w:t>
      </w:r>
    </w:p>
    <w:p>
      <w:pPr>
        <w:spacing w:after="0" w:line="19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Seasonality</w:t>
      </w:r>
    </w:p>
    <w:p>
      <w:pPr>
        <w:spacing w:after="0" w:line="86" w:lineRule="exact"/>
        <w:rPr>
          <w:sz w:val="20"/>
          <w:szCs w:val="20"/>
          <w:color w:val="auto"/>
        </w:rPr>
      </w:pPr>
    </w:p>
    <w:p>
      <w:pPr>
        <w:ind w:left="1680" w:right="719" w:firstLine="317"/>
        <w:spacing w:after="0" w:line="259" w:lineRule="auto"/>
        <w:rPr>
          <w:sz w:val="20"/>
          <w:szCs w:val="20"/>
          <w:color w:val="auto"/>
        </w:rPr>
      </w:pPr>
      <w:r>
        <w:rPr>
          <w:rFonts w:ascii="Times New Roman" w:cs="Times New Roman" w:eastAsia="Times New Roman" w:hAnsi="Times New Roman"/>
          <w:sz w:val="13"/>
          <w:szCs w:val="13"/>
          <w:color w:val="auto"/>
        </w:rPr>
        <w:t>Because of our rapid growth, our overall business has not experienced a significant pattern of seasonality. However, some of our specific businesses such as aerial media solutions have showed seasonality in which we may receive more revenues from such business in major holidays. We may also have a lower number of deliveries of EHang 216 in the first quarter of each fiscal year due to the holiday season of our suppliers. We may experience more pronounced seasonality as our business continues to expand.</w:t>
      </w:r>
    </w:p>
    <w:p>
      <w:pPr>
        <w:spacing w:after="0" w:line="20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Insurance</w:t>
      </w:r>
    </w:p>
    <w:p>
      <w:pPr>
        <w:spacing w:after="0" w:line="86" w:lineRule="exact"/>
        <w:rPr>
          <w:sz w:val="20"/>
          <w:szCs w:val="20"/>
          <w:color w:val="auto"/>
        </w:rPr>
      </w:pPr>
    </w:p>
    <w:p>
      <w:pPr>
        <w:ind w:left="1680" w:right="539" w:firstLine="317"/>
        <w:spacing w:after="0" w:line="253" w:lineRule="auto"/>
        <w:rPr>
          <w:sz w:val="20"/>
          <w:szCs w:val="20"/>
          <w:color w:val="auto"/>
        </w:rPr>
      </w:pPr>
      <w:r>
        <w:rPr>
          <w:rFonts w:ascii="Times New Roman" w:cs="Times New Roman" w:eastAsia="Times New Roman" w:hAnsi="Times New Roman"/>
          <w:sz w:val="13"/>
          <w:szCs w:val="13"/>
          <w:color w:val="auto"/>
        </w:rPr>
        <w:t>We, the VIE and its subsidiaries maintain various types of insurance, employer’s liability insurance, to protect assets in the event of any accident that might cause significant losses. We, the VIE and its subsidiaries also purchase insurance policies that are either legally compulsory or required by our customers. For example, we, the VIE and its subsidiaries maintain third-party liability insurance for UAVs, which is required for our UAV commercial operation license. We, the VIE and its subsidiaries have civil liability insurance with coverage and conditions that our management considers appropriate. For example, we, the VIE and its subsidiaries maintain aviation product liability insurance, which covers bodily injury or property damage caused by defects in our products. In addition, we maintain product liability insurance covering some of our distributors. In relation to our passenger-grade AAVs, we, the VIE and its subsidiaries have maintained airplane body and flight insurance to cover damages to our AAVs and third-party liabilities. We do not maintain business interruption insurance or key-man insurance. We believe that our insurance coverage is adequate to cover our key assets, facilities and liabilities.</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86</w:t>
      </w:r>
    </w:p>
    <w:p>
      <w:pPr>
        <w:sectPr>
          <w:pgSz w:w="11900" w:h="16838" w:orient="portrait"/>
          <w:cols w:equalWidth="0" w:num="1">
            <w:col w:w="10159"/>
          </w:cols>
          <w:pgMar w:left="300" w:top="388"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PRC Regulation</w:t>
      </w:r>
    </w:p>
    <w:p>
      <w:pPr>
        <w:spacing w:after="0" w:line="16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3"/>
          <w:szCs w:val="13"/>
          <w:color w:val="auto"/>
        </w:rPr>
        <w:t>This section sets forth a summary of the most significant rules and regulations that affect our business activities in China.</w:t>
      </w:r>
    </w:p>
    <w:p>
      <w:pPr>
        <w:spacing w:after="0" w:line="23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General Administration of Civil Aviation and Airspace Control</w:t>
      </w:r>
    </w:p>
    <w:p>
      <w:pPr>
        <w:spacing w:after="0" w:line="86" w:lineRule="exact"/>
        <w:rPr>
          <w:sz w:val="20"/>
          <w:szCs w:val="20"/>
          <w:color w:val="auto"/>
        </w:rPr>
      </w:pPr>
    </w:p>
    <w:p>
      <w:pPr>
        <w:ind w:left="1680" w:right="619" w:firstLine="317"/>
        <w:spacing w:after="0" w:line="253" w:lineRule="auto"/>
        <w:rPr>
          <w:sz w:val="20"/>
          <w:szCs w:val="20"/>
          <w:color w:val="auto"/>
        </w:rPr>
      </w:pPr>
      <w:r>
        <w:rPr>
          <w:rFonts w:ascii="Times New Roman" w:cs="Times New Roman" w:eastAsia="Times New Roman" w:hAnsi="Times New Roman"/>
          <w:sz w:val="13"/>
          <w:szCs w:val="13"/>
          <w:color w:val="auto"/>
        </w:rPr>
        <w:t xml:space="preserve">On October 30, 1995, the Standing Committee of the National People’s Congress of the PRC, or the SCNPC, adopted the </w:t>
      </w:r>
      <w:r>
        <w:rPr>
          <w:rFonts w:ascii="Times New Roman" w:cs="Times New Roman" w:eastAsia="Times New Roman" w:hAnsi="Times New Roman"/>
          <w:sz w:val="13"/>
          <w:szCs w:val="13"/>
          <w:i w:val="1"/>
          <w:iCs w:val="1"/>
          <w:color w:val="auto"/>
        </w:rPr>
        <w:t>Civil Aviation Law of</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the PRC</w:t>
      </w:r>
      <w:r>
        <w:rPr>
          <w:rFonts w:ascii="Times New Roman" w:cs="Times New Roman" w:eastAsia="Times New Roman" w:hAnsi="Times New Roman"/>
          <w:sz w:val="13"/>
          <w:szCs w:val="13"/>
          <w:color w:val="auto"/>
        </w:rPr>
        <w:t>, or the Civil Aviation Law, which was subsequently amended on April 24, 2015, November 7, 2016, November 4, 2017, December 29, 2018,</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 April 29, 2021, respectively. The Civil Aviation Law sets forth the general principle and rules for administration of civil aviation as well as for domestic airspace control. Pursuant to this law, the CAAC, which is a State Council department, is currently in charge of civil aviation and has the general authority to supervise and administer civil aviation activities nationwide. The CAAC may promulgate regulations concerning civil aviation activities in accordance with laws enacted and decisions issued by the State Council and within the limits of the CAAC’s authority. According to the Civil Aviation Law, the state has complete and exclusive sovereignty over the airspace above its territory. The division of airspace must take account of the needs of civil aviation, national defense and security, as well as the interests of the public, so as to ensure the reasonable, sufficient and efficient use of airspace. Detailed measures for airspace control will be formulated by the State Council and the Central Military Commission, or the CMC. In addition, pursuant to the Civil Aviation Law, the detailed rules of UAVs promulgated by the State Council and the CMC shall be followed.</w:t>
      </w:r>
    </w:p>
    <w:p>
      <w:pPr>
        <w:spacing w:after="0" w:line="138" w:lineRule="exact"/>
        <w:rPr>
          <w:sz w:val="20"/>
          <w:szCs w:val="20"/>
          <w:color w:val="auto"/>
        </w:rPr>
      </w:pPr>
    </w:p>
    <w:p>
      <w:pPr>
        <w:ind w:left="1680" w:right="619" w:firstLine="317"/>
        <w:spacing w:after="0" w:line="257" w:lineRule="auto"/>
        <w:rPr>
          <w:sz w:val="20"/>
          <w:szCs w:val="20"/>
          <w:color w:val="auto"/>
        </w:rPr>
      </w:pPr>
      <w:r>
        <w:rPr>
          <w:rFonts w:ascii="Times New Roman" w:cs="Times New Roman" w:eastAsia="Times New Roman" w:hAnsi="Times New Roman"/>
          <w:sz w:val="13"/>
          <w:szCs w:val="13"/>
          <w:color w:val="auto"/>
        </w:rPr>
        <w:t>In November 2020, the General Office of the State Council of the PRC issued a circular proposing to accelerate the strategic development of Urban Air Mobility (UAM) in China. The circular urges the National Development and Reform Commission, the Ministry of Transport of PRC and the Civil Aviation Administration of China to bring the development of UAM into China’s National Strategies and to formulate relevant policies and standards to promote the healthy development of the industry. Such policies and standards, once made, are expected to lay a solid regulatory foundation for the development of the UAM industry in China as one of the world’s major UAM markets.</w:t>
      </w:r>
    </w:p>
    <w:p>
      <w:pPr>
        <w:spacing w:after="0" w:line="20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Design, Manufacturing and Airworthiness Standard for UAVs</w:t>
      </w:r>
    </w:p>
    <w:p>
      <w:pPr>
        <w:spacing w:after="0" w:line="88" w:lineRule="exact"/>
        <w:rPr>
          <w:sz w:val="20"/>
          <w:szCs w:val="20"/>
          <w:color w:val="auto"/>
        </w:rPr>
      </w:pPr>
    </w:p>
    <w:p>
      <w:pPr>
        <w:ind w:left="1680" w:right="599" w:firstLine="317"/>
        <w:spacing w:after="0" w:line="255" w:lineRule="auto"/>
        <w:rPr>
          <w:sz w:val="20"/>
          <w:szCs w:val="20"/>
          <w:color w:val="auto"/>
        </w:rPr>
      </w:pPr>
      <w:r>
        <w:rPr>
          <w:rFonts w:ascii="Times New Roman" w:cs="Times New Roman" w:eastAsia="Times New Roman" w:hAnsi="Times New Roman"/>
          <w:sz w:val="13"/>
          <w:szCs w:val="13"/>
          <w:color w:val="auto"/>
        </w:rPr>
        <w:t>The Civil Aviation Law contains rules and regulations on airworthiness for all civil aircrafts other than those used for flight missions by the military force, customs offices and police departments. The law mandates that the design of engines, screw propellers and apparatuses used in civil aircrafts must be approved with a Type Certificate, whereas the production and maintenance of engines, screw propellers and apparatuses used in civil aircrafts require a Production Certificate and a Maintenance Certificate, respectively. While the CAAC has laid out specific approval procedures to give substance to the airworthiness standard prescribed by the Civil Aviation Law, none of these procedures is currently applicable to or carried out for UAVs.</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87</w:t>
      </w:r>
    </w:p>
    <w:p>
      <w:pPr>
        <w:sectPr>
          <w:pgSz w:w="11900" w:h="16838" w:orient="portrait"/>
          <w:cols w:equalWidth="0" w:num="1">
            <w:col w:w="10159"/>
          </w:cols>
          <w:pgMar w:left="300" w:top="388"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559" w:firstLine="317"/>
        <w:spacing w:after="0" w:line="250" w:lineRule="auto"/>
        <w:rPr>
          <w:sz w:val="20"/>
          <w:szCs w:val="20"/>
          <w:color w:val="auto"/>
        </w:rPr>
      </w:pPr>
      <w:r>
        <w:rPr>
          <w:rFonts w:ascii="Times New Roman" w:cs="Times New Roman" w:eastAsia="Times New Roman" w:hAnsi="Times New Roman"/>
          <w:sz w:val="13"/>
          <w:szCs w:val="13"/>
          <w:color w:val="auto"/>
        </w:rPr>
        <w:t xml:space="preserve">The nascent status of the UAV industry is accompanied by a lack of targeted laws and regulations and the relevant legislative and administrative bodies are in the process of laying the first brick for a future regulatory framework governing, among others, the design, manufacturing and the overall airworthiness of UAVs. On January 25, 2019, the CAAC published the UAV Airworthiness Guidance, pursuant to which we are one of the airworthiness assessment pilot programs and would help the CAAC in developing UAV airworthiness standards and assessment rules. According to the UAV Airworthiness Guidance, the UAV airworthiness framework will be based on the assessment, classification and management of operational risks. Operational risks will be categorized into three levels: low, medium and high. UAV operational risks contemplate predominantly the risk of collision in the event of loss of control, including (1) damage resulting from UAV crashes or collisions with any individual or object on the ground; (2) in-air collisions, such as with aircrafts or other UAVs; and (3) other risks or damage, such as property losses or any adverse effect on the environment or humans. The UAV Airworthiness Guidance envisages that the UAV airworthiness framework would initially be established in 2019. Detailed rules, procedures and standards relating to the assessment of UAV airworthiness are currently being researched and drafted. For example, On January 20, 2020, the Department of Aircraft Airworthiness Certification of the CAAC issued the </w:t>
      </w:r>
      <w:r>
        <w:rPr>
          <w:rFonts w:ascii="Times New Roman" w:cs="Times New Roman" w:eastAsia="Times New Roman" w:hAnsi="Times New Roman"/>
          <w:sz w:val="13"/>
          <w:szCs w:val="13"/>
          <w:i w:val="1"/>
          <w:iCs w:val="1"/>
          <w:color w:val="auto"/>
        </w:rPr>
        <w:t>Airworthiness Standards for Fixed-wing Unmanned Aerial Vehicle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Systems Used for High-risk Cargo Transportation (Interim)</w:t>
      </w:r>
      <w:r>
        <w:rPr>
          <w:rFonts w:ascii="Times New Roman" w:cs="Times New Roman" w:eastAsia="Times New Roman" w:hAnsi="Times New Roman"/>
          <w:sz w:val="13"/>
          <w:szCs w:val="13"/>
          <w:color w:val="auto"/>
        </w:rPr>
        <w:t>, which are mainly applicable to fixed-wing unmanned aerial vehicle systems used for feeder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cargo transportation under high-risk operating conditions. On August 7, 2019, the CAAC published a discussion draft of the Standards for the Airworthiness of Large Cargo Unmanned Aerial Vehicles, which applies to (a) piston-engined unmanned aerial systems for non-stunt flights having a maximum authorized take-off weight of 5,500 kg or less; (b) unmanned aerial vehicle systems having a flight altitude of between sea level and 6 kilometers; and (c) other unmanned aerial vehicle systems within limits of movement. On May 11, 2020, the CAAC published the </w:t>
      </w:r>
      <w:r>
        <w:rPr>
          <w:rFonts w:ascii="Times New Roman" w:cs="Times New Roman" w:eastAsia="Times New Roman" w:hAnsi="Times New Roman"/>
          <w:sz w:val="13"/>
          <w:szCs w:val="13"/>
          <w:i w:val="1"/>
          <w:iCs w:val="1"/>
          <w:color w:val="auto"/>
        </w:rPr>
        <w:t>Standards for the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Airworthiness of Medium and High Risk Unmanned Helicopter Systems (Interim)</w:t>
      </w:r>
      <w:r>
        <w:rPr>
          <w:rFonts w:ascii="Times New Roman" w:cs="Times New Roman" w:eastAsia="Times New Roman" w:hAnsi="Times New Roman"/>
          <w:sz w:val="13"/>
          <w:szCs w:val="13"/>
          <w:color w:val="auto"/>
        </w:rPr>
        <w:t>, mainly targeting conventional unmanned helicopters, including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single-rotor with tail paddles, coaxial double rotors, longitudinal double rotors and transverse double rotors. The </w:t>
      </w:r>
      <w:r>
        <w:rPr>
          <w:rFonts w:ascii="Times New Roman" w:cs="Times New Roman" w:eastAsia="Times New Roman" w:hAnsi="Times New Roman"/>
          <w:sz w:val="13"/>
          <w:szCs w:val="13"/>
          <w:i w:val="1"/>
          <w:iCs w:val="1"/>
          <w:color w:val="auto"/>
        </w:rPr>
        <w:t>Standards for the Airworthiness of</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Medium and High Risk Unmanned Helicopter Systems (Interim) </w:t>
      </w:r>
      <w:r>
        <w:rPr>
          <w:rFonts w:ascii="Times New Roman" w:cs="Times New Roman" w:eastAsia="Times New Roman" w:hAnsi="Times New Roman"/>
          <w:sz w:val="13"/>
          <w:szCs w:val="13"/>
          <w:color w:val="auto"/>
        </w:rPr>
        <w:t>sets forth the airworthiness standard for the issuance and modification of the design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production approval for a mid-range and high risk unmanned helicopter system, which is applicable to flight operations within and beyond visual line of sight, but excluding personnel transport, flights in icy conditions and stunt shows. On May 26, 2020, the Department of Aircraft Airworthiness Certification of the CAAC issued the Airworthiness Assessment Procedures and the Risk Assessment Guidelines, effective on June 1, 2020, with a one-year trial period. According to the Airworthiness Assessment Procedures, enterprises shall apply for the approval letter of design and manufacture from the CAAC if they plan to design and manufacture civil unmanned aerial vehicle systems. The CAAC classifies the risks of civil unmanned aerial vehicle systems into three levels, low, medium and high, and determines the intervention level or inspection frequency based on the risk level of a project. In addition, the CAAC specifies that the holder of an approval letter of design and manufacture shall establish an airworthiness examination department. The airworthiness approval for a private UAV system shall be completed simultaneously with the real-name registration. According to the Risk Assessment Guidelines, risk assessment shall mainly consider two aspects: system risk and product risk. On October 29, 2021, CAAC further published </w:t>
      </w:r>
      <w:r>
        <w:rPr>
          <w:rFonts w:ascii="Times New Roman" w:cs="Times New Roman" w:eastAsia="Times New Roman" w:hAnsi="Times New Roman"/>
          <w:sz w:val="13"/>
          <w:szCs w:val="13"/>
          <w:i w:val="1"/>
          <w:iCs w:val="1"/>
          <w:color w:val="auto"/>
        </w:rPr>
        <w:t>Civil Unmanned Aircraft System Airworthiness Certification Management Procedures (Draft for Comments), Civil Unmanned Aircraft System</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Safety Analysis Guidelines (Draft for Comment), and Civil Unmanned Aircraft Registration Management Procedures (Draft for Comment)</w:t>
      </w:r>
      <w:r>
        <w:rPr>
          <w:rFonts w:ascii="Times New Roman" w:cs="Times New Roman" w:eastAsia="Times New Roman" w:hAnsi="Times New Roman"/>
          <w:sz w:val="13"/>
          <w:szCs w:val="13"/>
          <w:color w:val="auto"/>
        </w:rPr>
        <w:t>, 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collectively Draft UAV Rules. Such Draft UAV Rules mainly cover related activities of design, production and airworthiness approval related to certain medium UAVs weigh between 25 kilograms and 150 kilograms, and large UAVs exceed 150 kilograms in weight.</w:t>
      </w:r>
    </w:p>
    <w:p>
      <w:pPr>
        <w:spacing w:after="0" w:line="153" w:lineRule="exact"/>
        <w:rPr>
          <w:sz w:val="20"/>
          <w:szCs w:val="20"/>
          <w:color w:val="auto"/>
        </w:rPr>
      </w:pPr>
    </w:p>
    <w:p>
      <w:pPr>
        <w:ind w:left="1680" w:right="579" w:firstLine="317"/>
        <w:spacing w:after="0" w:line="252" w:lineRule="auto"/>
        <w:rPr>
          <w:sz w:val="20"/>
          <w:szCs w:val="20"/>
          <w:color w:val="auto"/>
        </w:rPr>
      </w:pPr>
      <w:r>
        <w:rPr>
          <w:rFonts w:ascii="Times New Roman" w:cs="Times New Roman" w:eastAsia="Times New Roman" w:hAnsi="Times New Roman"/>
          <w:sz w:val="13"/>
          <w:szCs w:val="13"/>
          <w:color w:val="auto"/>
        </w:rPr>
        <w:t>The trial flights of our passenger-grade AAVs were supported with approval obtained from the Department of Aircraft Airworthiness Certification of the CAAC based on the UAV Airworthiness Guidance. The approval, which expired on December 31, 2019, allowed us to conduct trial flights to collect the relevant supporting data. The EHang 216 Type Certification programs of the CAAC are ongoing. As the only passenger-grade AAV pilot company approved by the CAAC in China, we continue to conduct AAV flights to accumulate more trial data and experience. We submitted an application for EHang 216 Type Certification to CAAC in December 2020, which was accepted by CAAC in January 2021. In April 2021, the Central South Regional Administration of CAAC, convened the first meeting of Type Certification programs for our passenger-grade AAVs. In February 2022, the CAAC formally adopted the Special Conditions for EHang 216 Type Certification. We made critical contributions of our technological expertise and know-how. The Special Conditions provided clear safety requirements for the certification of EHang 216, including flight performance, aircraft structures, design and constructions, propulsion systems, systems and equipment, data link, ground control station, etc. With specified requirements set out, we have progressed to the compliance review phase and submitted to the CAAC the Project Specific Certification Plan and the Certification Plan with solid means of compliance.</w:t>
      </w:r>
    </w:p>
    <w:p>
      <w:pPr>
        <w:spacing w:after="0" w:line="139" w:lineRule="exact"/>
        <w:rPr>
          <w:sz w:val="20"/>
          <w:szCs w:val="20"/>
          <w:color w:val="auto"/>
        </w:rPr>
      </w:pPr>
    </w:p>
    <w:p>
      <w:pPr>
        <w:ind w:left="1680" w:right="579" w:firstLine="317"/>
        <w:spacing w:after="0" w:line="274" w:lineRule="auto"/>
        <w:rPr>
          <w:sz w:val="20"/>
          <w:szCs w:val="20"/>
          <w:color w:val="auto"/>
        </w:rPr>
      </w:pPr>
      <w:r>
        <w:rPr>
          <w:rFonts w:ascii="Times New Roman" w:cs="Times New Roman" w:eastAsia="Times New Roman" w:hAnsi="Times New Roman"/>
          <w:sz w:val="12"/>
          <w:szCs w:val="12"/>
          <w:color w:val="auto"/>
        </w:rPr>
        <w:t xml:space="preserve">According to the </w:t>
      </w:r>
      <w:r>
        <w:rPr>
          <w:rFonts w:ascii="Times New Roman" w:cs="Times New Roman" w:eastAsia="Times New Roman" w:hAnsi="Times New Roman"/>
          <w:sz w:val="12"/>
          <w:szCs w:val="12"/>
          <w:i w:val="1"/>
          <w:iCs w:val="1"/>
          <w:color w:val="auto"/>
        </w:rPr>
        <w:t>Guideline for the Standardization of UAV Systems (2017 to 2018)</w:t>
      </w:r>
      <w:r>
        <w:rPr>
          <w:rFonts w:ascii="Times New Roman" w:cs="Times New Roman" w:eastAsia="Times New Roman" w:hAnsi="Times New Roman"/>
          <w:sz w:val="12"/>
          <w:szCs w:val="12"/>
          <w:color w:val="auto"/>
        </w:rPr>
        <w:t xml:space="preserve"> jointly issued by the National Standardization Administration, the Ministry of Science and Technology, the Ministry of Industry and Information Technology, or the MIIT, the Ministry of Public Security, the Ministry of Agriculture (currently known as the Ministry of Agriculture and Rural Affairs), the General Administration of Sport, the National Energy Administration and the CAAC on June 13, 2017, the development of non-military use UAV systems standard will be staggered into two phases. In the first phase, from 2017 to 2018, the focus is on answering market demand for UAV systems, providing support to industry-wise supervision, and initiating the development of standards for UAV systems. The second phase, from 2019 to 2020, envisions an incremental development of more than</w:t>
      </w:r>
    </w:p>
    <w:p>
      <w:pPr>
        <w:spacing w:after="0" w:line="2" w:lineRule="exact"/>
        <w:rPr>
          <w:sz w:val="20"/>
          <w:szCs w:val="20"/>
          <w:color w:val="auto"/>
        </w:rPr>
      </w:pPr>
    </w:p>
    <w:p>
      <w:pPr>
        <w:ind w:left="1680" w:right="759"/>
        <w:spacing w:after="0" w:line="301" w:lineRule="auto"/>
        <w:rPr>
          <w:sz w:val="20"/>
          <w:szCs w:val="20"/>
          <w:color w:val="auto"/>
        </w:rPr>
      </w:pPr>
      <w:r>
        <w:rPr>
          <w:rFonts w:ascii="Times New Roman" w:cs="Times New Roman" w:eastAsia="Times New Roman" w:hAnsi="Times New Roman"/>
          <w:sz w:val="12"/>
          <w:szCs w:val="12"/>
          <w:color w:val="auto"/>
        </w:rPr>
        <w:t>300 UAV system standards. A range of standards in the regulatory pipeline under this guideline, includes safety standards, research and development standards and operational standards, as well as standards for systems, infrastructure, subassemblies and components of non-military use UAV.</w:t>
      </w:r>
    </w:p>
    <w:p>
      <w:pPr>
        <w:spacing w:after="0" w:line="6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88</w:t>
      </w:r>
    </w:p>
    <w:p>
      <w:pPr>
        <w:sectPr>
          <w:pgSz w:w="11900" w:h="16838" w:orient="portrait"/>
          <w:cols w:equalWidth="0" w:num="1">
            <w:col w:w="10159"/>
          </w:cols>
          <w:pgMar w:left="300" w:top="388"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ind w:left="1680" w:right="599" w:firstLine="317"/>
        <w:spacing w:after="0" w:line="244" w:lineRule="auto"/>
        <w:rPr>
          <w:sz w:val="20"/>
          <w:szCs w:val="20"/>
          <w:color w:val="auto"/>
        </w:rPr>
      </w:pPr>
      <w:r>
        <w:rPr>
          <w:rFonts w:ascii="Times New Roman" w:cs="Times New Roman" w:eastAsia="Times New Roman" w:hAnsi="Times New Roman"/>
          <w:sz w:val="13"/>
          <w:szCs w:val="13"/>
          <w:color w:val="auto"/>
        </w:rPr>
        <w:t xml:space="preserve">The CAAC has also published a draft bill of the </w:t>
      </w:r>
      <w:r>
        <w:rPr>
          <w:rFonts w:ascii="Times New Roman" w:cs="Times New Roman" w:eastAsia="Times New Roman" w:hAnsi="Times New Roman"/>
          <w:sz w:val="13"/>
          <w:szCs w:val="13"/>
          <w:i w:val="1"/>
          <w:iCs w:val="1"/>
          <w:color w:val="auto"/>
        </w:rPr>
        <w:t>Interim Measures for Flight Administration of Unmanned Aerial Vehicl</w:t>
      </w:r>
      <w:r>
        <w:rPr>
          <w:rFonts w:ascii="Times New Roman" w:cs="Times New Roman" w:eastAsia="Times New Roman" w:hAnsi="Times New Roman"/>
          <w:sz w:val="13"/>
          <w:szCs w:val="13"/>
          <w:color w:val="auto"/>
        </w:rPr>
        <w:t>e on January 26, 2018, setting out airworthiness requirements for medium-sized and large UAVs. A medium-sized UAV refers to a vehicle with a take-off weight between 25 kilograms and 150 kilograms, or an empty weight of more than 15 kilograms. A large UAV refers to a vehicle with a take-off weight of more than 150 kilograms. Based on the draft bill, our passenger-grade and some non-passenger grade AAVs will likely be categorized as large-sized UAVs and the relevant airworthiness requirements will be mandatorily applied. In such event, we will be required to apply for relevant airworthiness approvals in accordance with procedures to be specified by the CAAC. In November 2020, the General Office of the State Council of the PRC issued an information circular in respect of Collection for Certain Processing Opinion in the 7</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xml:space="preserve"> Inspection, urging the Ministry of Justice, the CAAC, the MIIT, and the Ministry of Public Security to speed up the legislative process and promulgation of the </w:t>
      </w:r>
      <w:r>
        <w:rPr>
          <w:rFonts w:ascii="Times New Roman" w:cs="Times New Roman" w:eastAsia="Times New Roman" w:hAnsi="Times New Roman"/>
          <w:sz w:val="13"/>
          <w:szCs w:val="13"/>
          <w:i w:val="1"/>
          <w:iCs w:val="1"/>
          <w:color w:val="auto"/>
        </w:rPr>
        <w:t>Interim Measures for Flight Administration of Unmanned Aerial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Vehicle</w:t>
      </w:r>
      <w:r>
        <w:rPr>
          <w:rFonts w:ascii="Times New Roman" w:cs="Times New Roman" w:eastAsia="Times New Roman" w:hAnsi="Times New Roman"/>
          <w:sz w:val="13"/>
          <w:szCs w:val="13"/>
          <w:color w:val="auto"/>
        </w:rPr>
        <w:t>, to establish a comprehensive regulatory mechanism for UAVs. It is nevertheless still unclear in what form and when such draft bill will come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into effect. Further, the MIIT published a draft bill of the </w:t>
      </w:r>
      <w:r>
        <w:rPr>
          <w:rFonts w:ascii="Times New Roman" w:cs="Times New Roman" w:eastAsia="Times New Roman" w:hAnsi="Times New Roman"/>
          <w:sz w:val="13"/>
          <w:szCs w:val="13"/>
          <w:i w:val="1"/>
          <w:iCs w:val="1"/>
          <w:color w:val="auto"/>
        </w:rPr>
        <w:t>Unmanned Aerial Vehicle Manufacture Enterprise Requirements</w:t>
      </w:r>
      <w:r>
        <w:rPr>
          <w:rFonts w:ascii="Times New Roman" w:cs="Times New Roman" w:eastAsia="Times New Roman" w:hAnsi="Times New Roman"/>
          <w:sz w:val="13"/>
          <w:szCs w:val="13"/>
          <w:color w:val="auto"/>
        </w:rPr>
        <w:t xml:space="preserve"> on November 23, 2018 for public consultation, which is intended to regulate enterprises that manufacture UAVs. According to this draft, a manufacturer of UAVs shall, among others, ensure safe production in accordance with law, maintain in possession intellectual property rights in respect of the manufactured UAVs, and produce UAVs that are capable of automatic landing, returning or taking other emergency measures in case of malfunction.</w:t>
      </w:r>
    </w:p>
    <w:p>
      <w:pPr>
        <w:spacing w:after="0" w:line="145" w:lineRule="exact"/>
        <w:rPr>
          <w:sz w:val="20"/>
          <w:szCs w:val="20"/>
          <w:color w:val="auto"/>
        </w:rPr>
      </w:pPr>
    </w:p>
    <w:p>
      <w:pPr>
        <w:ind w:left="1680" w:right="559" w:firstLine="317"/>
        <w:spacing w:after="0" w:line="256" w:lineRule="auto"/>
        <w:rPr>
          <w:sz w:val="20"/>
          <w:szCs w:val="20"/>
          <w:color w:val="auto"/>
        </w:rPr>
      </w:pPr>
      <w:r>
        <w:rPr>
          <w:rFonts w:ascii="Times New Roman" w:cs="Times New Roman" w:eastAsia="Times New Roman" w:hAnsi="Times New Roman"/>
          <w:sz w:val="13"/>
          <w:szCs w:val="13"/>
          <w:color w:val="auto"/>
        </w:rPr>
        <w:t xml:space="preserve">On May 14, 2019, CAAC published a discussion draft of the </w:t>
      </w:r>
      <w:r>
        <w:rPr>
          <w:rFonts w:ascii="Times New Roman" w:cs="Times New Roman" w:eastAsia="Times New Roman" w:hAnsi="Times New Roman"/>
          <w:sz w:val="13"/>
          <w:szCs w:val="13"/>
          <w:i w:val="1"/>
          <w:iCs w:val="1"/>
          <w:color w:val="auto"/>
        </w:rPr>
        <w:t>Guideline for the Promotion of the Development of Civil Use Unmanned Aviation</w:t>
      </w:r>
      <w:r>
        <w:rPr>
          <w:rFonts w:ascii="Times New Roman" w:cs="Times New Roman" w:eastAsia="Times New Roman" w:hAnsi="Times New Roman"/>
          <w:sz w:val="13"/>
          <w:szCs w:val="13"/>
          <w:color w:val="auto"/>
        </w:rPr>
        <w:t>, or the Draft UA Guideline, for public review and comments. The Draft UA Guideline encourages test and demonstration operations based on demands from different areas and also encourages the UAV companies to expand the business models of unmanned aviation and the scope of business licenses based on safe operation. The Draft UA Guideline also stipulates that, in order to set standards and rules for airworthiness and air traffic management, key research related to planning and operation of public flight routines in low airspace for UAVs will be conducted and trial operations will be organized for vertical take-off and landing passengers and logistics UAVs.</w:t>
      </w:r>
    </w:p>
    <w:p>
      <w:pPr>
        <w:spacing w:after="0" w:line="133" w:lineRule="exact"/>
        <w:rPr>
          <w:sz w:val="20"/>
          <w:szCs w:val="20"/>
          <w:color w:val="auto"/>
        </w:rPr>
      </w:pPr>
    </w:p>
    <w:p>
      <w:pPr>
        <w:ind w:left="1680" w:right="639" w:firstLine="317"/>
        <w:spacing w:after="0" w:line="256" w:lineRule="auto"/>
        <w:rPr>
          <w:sz w:val="20"/>
          <w:szCs w:val="20"/>
          <w:color w:val="auto"/>
        </w:rPr>
      </w:pPr>
      <w:r>
        <w:rPr>
          <w:rFonts w:ascii="Times New Roman" w:cs="Times New Roman" w:eastAsia="Times New Roman" w:hAnsi="Times New Roman"/>
          <w:sz w:val="13"/>
          <w:szCs w:val="13"/>
          <w:color w:val="auto"/>
        </w:rPr>
        <w:t xml:space="preserve">In March 2020, the MIIT published the latest discussion draft of the </w:t>
      </w:r>
      <w:r>
        <w:rPr>
          <w:rFonts w:ascii="Times New Roman" w:cs="Times New Roman" w:eastAsia="Times New Roman" w:hAnsi="Times New Roman"/>
          <w:sz w:val="13"/>
          <w:szCs w:val="13"/>
          <w:i w:val="1"/>
          <w:iCs w:val="1"/>
          <w:color w:val="auto"/>
        </w:rPr>
        <w:t>Administrative Measures on the Production and Manufacturing of Civil Use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Unmanned Aerial Vehicles </w:t>
      </w:r>
      <w:r>
        <w:rPr>
          <w:rFonts w:ascii="Times New Roman" w:cs="Times New Roman" w:eastAsia="Times New Roman" w:hAnsi="Times New Roman"/>
          <w:sz w:val="13"/>
          <w:szCs w:val="13"/>
          <w:color w:val="auto"/>
        </w:rPr>
        <w:t>or the Draft Production and Manufacturing Standards of UAVs, for public review and comments. The Draft Production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Manufacturing Standards of UAVs classifies UAVs into five types, namely, micro, light, small, medium, and large. Each UAV should have a unique product identification number. The MIIT is responsible for formulating relevant standards and regulations on the unique product identification codes of UAVs. UAV manufacturers shall enter the product identification code on the chip of a UAV in an inerasible storage area and also mark it on the body and outer package of the UAV.</w:t>
      </w:r>
    </w:p>
    <w:p>
      <w:pPr>
        <w:spacing w:after="0" w:line="133" w:lineRule="exact"/>
        <w:rPr>
          <w:sz w:val="20"/>
          <w:szCs w:val="20"/>
          <w:color w:val="auto"/>
        </w:rPr>
      </w:pPr>
    </w:p>
    <w:p>
      <w:pPr>
        <w:ind w:left="1680" w:right="559" w:firstLine="317"/>
        <w:spacing w:after="0" w:line="252" w:lineRule="auto"/>
        <w:rPr>
          <w:sz w:val="20"/>
          <w:szCs w:val="20"/>
          <w:color w:val="auto"/>
        </w:rPr>
      </w:pPr>
      <w:r>
        <w:rPr>
          <w:rFonts w:ascii="Times New Roman" w:cs="Times New Roman" w:eastAsia="Times New Roman" w:hAnsi="Times New Roman"/>
          <w:sz w:val="13"/>
          <w:szCs w:val="13"/>
          <w:color w:val="auto"/>
        </w:rPr>
        <w:t xml:space="preserve">On May 21, 2020, the CAAC published the </w:t>
      </w:r>
      <w:r>
        <w:rPr>
          <w:rFonts w:ascii="Times New Roman" w:cs="Times New Roman" w:eastAsia="Times New Roman" w:hAnsi="Times New Roman"/>
          <w:sz w:val="13"/>
          <w:szCs w:val="13"/>
          <w:i w:val="1"/>
          <w:iCs w:val="1"/>
          <w:color w:val="auto"/>
        </w:rPr>
        <w:t>Construction Work Guideline for Unmanned Civil Aviation Experimental Bases (Test Areas)</w:t>
      </w:r>
      <w:r>
        <w:rPr>
          <w:rFonts w:ascii="Times New Roman" w:cs="Times New Roman" w:eastAsia="Times New Roman" w:hAnsi="Times New Roman"/>
          <w:sz w:val="13"/>
          <w:szCs w:val="13"/>
          <w:color w:val="auto"/>
        </w:rPr>
        <w:t xml:space="preserve">, or the Test Areas Guideline. The Test Areas Guideline provides that its purpose is to continuously carry out the trial work of unmanned aerial vehicles, guide the industrial development and cultivate industrial ecology, provide a trial operation platform for theoretical research, risk assessment and technical application of unmanned aviation operations, accumulate operational data and experience in practice, explore the development rules of civil aviation, and formulate replicable standards and access rules for airworthiness, air traffic control, and so on. In the construction and operation of a test area, the relevant work tasks and output of results should be clarified, and breakthroughs should be made in the areas of, for example, in-depth trial operations of unmanned aerial vehicles, research on airworthiness technologies for unmanned aerial vehicles, exploration on regulation and service mechanisms, operational technical verification, experiments on support factors, and experiments on innovative industrial ecology. On October 21, 2020, the CAAC announced the first 13 Test Areas in China for UAVs including Beijing, Shanghai, Hezhou, Hangzhou, Zigong, Anyang, Nanjing, Tianjin, Yulin, Shenyang, Dongying, Anqing and Ganzhou. On February 20, 2021, the CAAC issued the </w:t>
      </w:r>
      <w:r>
        <w:rPr>
          <w:rFonts w:ascii="Times New Roman" w:cs="Times New Roman" w:eastAsia="Times New Roman" w:hAnsi="Times New Roman"/>
          <w:sz w:val="13"/>
          <w:szCs w:val="13"/>
          <w:i w:val="1"/>
          <w:iCs w:val="1"/>
          <w:color w:val="auto"/>
        </w:rPr>
        <w:t>Measures for the Management of Unmanned Civil Aviation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Experimental Bases (Test Areas)</w:t>
      </w:r>
      <w:r>
        <w:rPr>
          <w:rFonts w:ascii="Times New Roman" w:cs="Times New Roman" w:eastAsia="Times New Roman" w:hAnsi="Times New Roman"/>
          <w:sz w:val="13"/>
          <w:szCs w:val="13"/>
          <w:color w:val="auto"/>
        </w:rPr>
        <w:t>, which marks an important progress in the exploration of integrated UAS management both by the industry and society,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 it is also the legal basis for China to carry out UAS trial and demonstration work in an orderly manner.</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89</w:t>
      </w:r>
    </w:p>
    <w:p>
      <w:pPr>
        <w:sectPr>
          <w:pgSz w:w="11900" w:h="16838" w:orient="portrait"/>
          <w:cols w:equalWidth="0" w:num="1">
            <w:col w:w="10159"/>
          </w:cols>
          <w:pgMar w:left="300" w:top="388" w:right="144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jc w:val="both"/>
        <w:ind w:left="1680" w:right="859" w:firstLine="317"/>
        <w:spacing w:after="0" w:line="264" w:lineRule="auto"/>
        <w:rPr>
          <w:sz w:val="20"/>
          <w:szCs w:val="20"/>
          <w:color w:val="auto"/>
        </w:rPr>
      </w:pPr>
      <w:r>
        <w:rPr>
          <w:rFonts w:ascii="Times New Roman" w:cs="Times New Roman" w:eastAsia="Times New Roman" w:hAnsi="Times New Roman"/>
          <w:sz w:val="13"/>
          <w:szCs w:val="13"/>
          <w:color w:val="auto"/>
        </w:rPr>
        <w:t>Pending the enactment of the foregoing bills and the necessary judiciary and administrative interpretations and clarifications on some of the existing guidelines, the CAAC has put in place interim measures to allow for and regulate the testing of various forms of UAVs, including both our passenger-grade and non-passenger grade AAVs.</w:t>
      </w:r>
    </w:p>
    <w:p>
      <w:pPr>
        <w:spacing w:after="0" w:line="12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 xml:space="preserve">In July 2020, CAAC published </w:t>
      </w:r>
      <w:r>
        <w:rPr>
          <w:rFonts w:ascii="Times New Roman" w:cs="Times New Roman" w:eastAsia="Times New Roman" w:hAnsi="Times New Roman"/>
          <w:sz w:val="13"/>
          <w:szCs w:val="13"/>
          <w:i w:val="1"/>
          <w:iCs w:val="1"/>
          <w:color w:val="auto"/>
        </w:rPr>
        <w:t>Data Specifications of Unmanned Aircraft Cloud System</w:t>
      </w:r>
      <w:r>
        <w:rPr>
          <w:rFonts w:ascii="Times New Roman" w:cs="Times New Roman" w:eastAsia="Times New Roman" w:hAnsi="Times New Roman"/>
          <w:sz w:val="13"/>
          <w:szCs w:val="13"/>
          <w:color w:val="auto"/>
        </w:rPr>
        <w:t xml:space="preserve"> for standard for cloud system of UAV.</w:t>
      </w:r>
    </w:p>
    <w:p>
      <w:pPr>
        <w:spacing w:after="0" w:line="164" w:lineRule="exact"/>
        <w:rPr>
          <w:sz w:val="20"/>
          <w:szCs w:val="20"/>
          <w:color w:val="auto"/>
        </w:rPr>
      </w:pPr>
    </w:p>
    <w:p>
      <w:pPr>
        <w:ind w:left="1680" w:right="619" w:firstLine="317"/>
        <w:spacing w:after="0" w:line="253" w:lineRule="auto"/>
        <w:rPr>
          <w:sz w:val="20"/>
          <w:szCs w:val="20"/>
          <w:color w:val="auto"/>
        </w:rPr>
      </w:pPr>
      <w:r>
        <w:rPr>
          <w:rFonts w:ascii="Times New Roman" w:cs="Times New Roman" w:eastAsia="Times New Roman" w:hAnsi="Times New Roman"/>
          <w:sz w:val="13"/>
          <w:szCs w:val="13"/>
          <w:color w:val="auto"/>
        </w:rPr>
        <w:t>Some of our AAV models, such as EHang 216F (firefighting model), may be required to meet specific industry requirements. In November 2020, the State Council of the Chinese government highlighted the potential application of firefighting UAVs in a government circular, which called for the promulgation of industry standards and regulations to promote technological innovations and practical applications of UAVs in aerial firefighting. To our knowledge, no such industry standard or regulation has been promulgated for firefighting UAVs as of the date of this annual report. We have engaged the China National Fire-Fighting Equipment Quality Supervision Testing Center, or the Testing Center, under Ministry of Emergency Management of the People’s Republic of China, to complete a comprehensive 10-month technical examination on EHang 216F’s technical capabilities in July 2021. We completed 52 different types of tests through the testing procedures, including concept validation, fire drill exercises, laboratory tests and outdoor flight tests. Upon completion of all the testing procedures, EHang 216F can be used as a firefighting equipment and have been utilized in several urban fire rescue drills organized by local emergency or fire departments in China.</w:t>
      </w:r>
    </w:p>
    <w:p>
      <w:pPr>
        <w:spacing w:after="0" w:line="21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Real-Name Registration of UAVs</w:t>
      </w:r>
    </w:p>
    <w:p>
      <w:pPr>
        <w:spacing w:after="0" w:line="88" w:lineRule="exact"/>
        <w:rPr>
          <w:sz w:val="20"/>
          <w:szCs w:val="20"/>
          <w:color w:val="auto"/>
        </w:rPr>
      </w:pPr>
    </w:p>
    <w:p>
      <w:pPr>
        <w:ind w:left="1680" w:right="559" w:firstLine="317"/>
        <w:spacing w:after="0" w:line="251" w:lineRule="auto"/>
        <w:rPr>
          <w:sz w:val="20"/>
          <w:szCs w:val="20"/>
          <w:color w:val="auto"/>
        </w:rPr>
      </w:pPr>
      <w:r>
        <w:rPr>
          <w:rFonts w:ascii="Times New Roman" w:cs="Times New Roman" w:eastAsia="Times New Roman" w:hAnsi="Times New Roman"/>
          <w:sz w:val="13"/>
          <w:szCs w:val="13"/>
          <w:color w:val="auto"/>
        </w:rPr>
        <w:t xml:space="preserve">As a manufacturer and seller of UAVs, we are required to collect certain information relating to our products and our customers and to submit such information to the relevant regional authorities pursuant to the </w:t>
      </w:r>
      <w:r>
        <w:rPr>
          <w:rFonts w:ascii="Times New Roman" w:cs="Times New Roman" w:eastAsia="Times New Roman" w:hAnsi="Times New Roman"/>
          <w:sz w:val="13"/>
          <w:szCs w:val="13"/>
          <w:i w:val="1"/>
          <w:iCs w:val="1"/>
          <w:color w:val="auto"/>
        </w:rPr>
        <w:t>Circular of the General Office of the Ministry of Industry and Information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Technology on Information Filing for Civil Unmanned Aerial Vehicle Production Enterprise and Products</w:t>
      </w:r>
      <w:r>
        <w:rPr>
          <w:rFonts w:ascii="Times New Roman" w:cs="Times New Roman" w:eastAsia="Times New Roman" w:hAnsi="Times New Roman"/>
          <w:sz w:val="13"/>
          <w:szCs w:val="13"/>
          <w:color w:val="auto"/>
        </w:rPr>
        <w:t>, which took effect on May 22, 2017. We are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also obligated to provide information relating to our AAV products and purchasers starting from June 2017 and pursuant to the </w:t>
      </w:r>
      <w:r>
        <w:rPr>
          <w:rFonts w:ascii="Times New Roman" w:cs="Times New Roman" w:eastAsia="Times New Roman" w:hAnsi="Times New Roman"/>
          <w:sz w:val="13"/>
          <w:szCs w:val="13"/>
          <w:i w:val="1"/>
          <w:iCs w:val="1"/>
          <w:color w:val="auto"/>
        </w:rPr>
        <w:t>Administrative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Provisions on the Real-name Registration of Private Unmanned Aerial Vehicles </w:t>
      </w:r>
      <w:r>
        <w:rPr>
          <w:rFonts w:ascii="Times New Roman" w:cs="Times New Roman" w:eastAsia="Times New Roman" w:hAnsi="Times New Roman"/>
          <w:sz w:val="13"/>
          <w:szCs w:val="13"/>
          <w:color w:val="auto"/>
        </w:rPr>
        <w:t>issued by the CAAC. Information to be reported includes (i) the name,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registered address and contact information of us as the manufacturer; (ii) the name and model detail of our AAV products; (iii) the empty weight and maximum take-off weight of our AAV products; (iv) the categorization of our AAV products in accordance with the CAAC guidelines, and (v) the name and contact information of purchasers of our AAVs. These administrative provisions regulate the use of private UAVs with a maximum take-off weight of 0.25 kilograms and above within the territory of the PRC, and direct owners of such private UAVs to register their UAVs on a real-name basis. Non-compliance will result in restrictions on the use of the relevant UAVs and penalties. We have historically complied with these requirements for both our passenger-grade and non-passenger-grade AAVs. The </w:t>
      </w:r>
      <w:r>
        <w:rPr>
          <w:rFonts w:ascii="Times New Roman" w:cs="Times New Roman" w:eastAsia="Times New Roman" w:hAnsi="Times New Roman"/>
          <w:sz w:val="13"/>
          <w:szCs w:val="13"/>
          <w:i w:val="1"/>
          <w:iCs w:val="1"/>
          <w:color w:val="auto"/>
        </w:rPr>
        <w:t>Administrative Procedures for the Real-name Registration of Civil UAVs (Draft)</w:t>
      </w:r>
      <w:r>
        <w:rPr>
          <w:rFonts w:ascii="Times New Roman" w:cs="Times New Roman" w:eastAsia="Times New Roman" w:hAnsi="Times New Roman"/>
          <w:sz w:val="13"/>
          <w:szCs w:val="13"/>
          <w:color w:val="auto"/>
        </w:rPr>
        <w:t xml:space="preserve"> issued by the CAAC on March 30, 2020 make changes to the real-name registration process mainly for the purpose of making it more convenient for owners who purchase private UAVs. Specifically, it is stipulated that a manufacturer of UAVs shall register in advance the product information of its UAV products in the </w:t>
      </w:r>
      <w:r>
        <w:rPr>
          <w:rFonts w:ascii="Times New Roman" w:cs="Times New Roman" w:eastAsia="Times New Roman" w:hAnsi="Times New Roman"/>
          <w:sz w:val="13"/>
          <w:szCs w:val="13"/>
          <w:i w:val="1"/>
          <w:iCs w:val="1"/>
          <w:color w:val="auto"/>
        </w:rPr>
        <w:t>UAV real-name registration system</w:t>
      </w:r>
      <w:r>
        <w:rPr>
          <w:rFonts w:ascii="Times New Roman" w:cs="Times New Roman" w:eastAsia="Times New Roman" w:hAnsi="Times New Roman"/>
          <w:sz w:val="13"/>
          <w:szCs w:val="13"/>
          <w:color w:val="auto"/>
        </w:rPr>
        <w:t xml:space="preserve"> in batches first, and then the owner of the UAV products can then search by the UAV serial number in the UAV real-name registration system for the pre-registered UAV system and submit additional personal information. On October 29, 2021, CAAC promulgated </w:t>
      </w:r>
      <w:r>
        <w:rPr>
          <w:rFonts w:ascii="Times New Roman" w:cs="Times New Roman" w:eastAsia="Times New Roman" w:hAnsi="Times New Roman"/>
          <w:sz w:val="13"/>
          <w:szCs w:val="13"/>
          <w:i w:val="1"/>
          <w:iCs w:val="1"/>
          <w:color w:val="auto"/>
        </w:rPr>
        <w:t>Civil Unmanned Aircraft Registration Management Procedures (Draft for Comment)</w:t>
      </w:r>
      <w:r>
        <w:rPr>
          <w:rFonts w:ascii="Times New Roman" w:cs="Times New Roman" w:eastAsia="Times New Roman" w:hAnsi="Times New Roman"/>
          <w:sz w:val="13"/>
          <w:szCs w:val="13"/>
          <w:color w:val="auto"/>
        </w:rPr>
        <w:t xml:space="preserve"> which requires real-name registration and nationality registration.</w:t>
      </w:r>
    </w:p>
    <w:p>
      <w:pPr>
        <w:spacing w:after="0" w:line="21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Operations of AAVs</w:t>
      </w:r>
    </w:p>
    <w:p>
      <w:pPr>
        <w:spacing w:after="0" w:line="8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Airspace Control</w:t>
      </w:r>
    </w:p>
    <w:p>
      <w:pPr>
        <w:spacing w:after="0" w:line="86" w:lineRule="exact"/>
        <w:rPr>
          <w:sz w:val="20"/>
          <w:szCs w:val="20"/>
          <w:color w:val="auto"/>
        </w:rPr>
      </w:pPr>
    </w:p>
    <w:p>
      <w:pPr>
        <w:ind w:left="1680" w:right="639" w:firstLine="317"/>
        <w:spacing w:after="0" w:line="257" w:lineRule="auto"/>
        <w:rPr>
          <w:sz w:val="20"/>
          <w:szCs w:val="20"/>
          <w:color w:val="auto"/>
        </w:rPr>
      </w:pPr>
      <w:r>
        <w:rPr>
          <w:rFonts w:ascii="Times New Roman" w:cs="Times New Roman" w:eastAsia="Times New Roman" w:hAnsi="Times New Roman"/>
          <w:sz w:val="13"/>
          <w:szCs w:val="13"/>
          <w:color w:val="auto"/>
        </w:rPr>
        <w:t xml:space="preserve">According to the </w:t>
      </w:r>
      <w:r>
        <w:rPr>
          <w:rFonts w:ascii="Times New Roman" w:cs="Times New Roman" w:eastAsia="Times New Roman" w:hAnsi="Times New Roman"/>
          <w:sz w:val="13"/>
          <w:szCs w:val="13"/>
          <w:i w:val="1"/>
          <w:iCs w:val="1"/>
          <w:color w:val="auto"/>
        </w:rPr>
        <w:t>General Flight Rules</w:t>
      </w:r>
      <w:r>
        <w:rPr>
          <w:rFonts w:ascii="Times New Roman" w:cs="Times New Roman" w:eastAsia="Times New Roman" w:hAnsi="Times New Roman"/>
          <w:sz w:val="13"/>
          <w:szCs w:val="13"/>
          <w:color w:val="auto"/>
        </w:rPr>
        <w:t xml:space="preserve"> issued by the State Council and the CMC on October 18, 2007 and took effect on November 22, 2007, the overall flight control within the territory of the PRC is under the unified organization of and enforcement by the People’s Liberation Army Air Force, and the various flight control departments shall exercise air traffic control in accordance with their respective responsibilities. Prior application must be filed and approval be obtained before any flight can be conducted within the PRC territory, including test flights for our passenger-grade AAVs, and take-offs relating to our aerial media solutions and logistics services.</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90</w:t>
      </w:r>
    </w:p>
    <w:p>
      <w:pPr>
        <w:sectPr>
          <w:pgSz w:w="11900" w:h="16838" w:orient="portrait"/>
          <w:cols w:equalWidth="0" w:num="1">
            <w:col w:w="10159"/>
          </w:cols>
          <w:pgMar w:left="300" w:top="388"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579" w:firstLine="317"/>
        <w:spacing w:after="0" w:line="251" w:lineRule="auto"/>
        <w:rPr>
          <w:sz w:val="20"/>
          <w:szCs w:val="20"/>
          <w:color w:val="auto"/>
        </w:rPr>
      </w:pPr>
      <w:r>
        <w:rPr>
          <w:rFonts w:ascii="Times New Roman" w:cs="Times New Roman" w:eastAsia="Times New Roman" w:hAnsi="Times New Roman"/>
          <w:sz w:val="13"/>
          <w:szCs w:val="13"/>
          <w:color w:val="auto"/>
        </w:rPr>
        <w:t xml:space="preserve">The VIE and its subsidiaries are required to obtain clearance from the local counterpart of the People’s Liberation Army Air Force for the flight routes for our AAVs. Subject to any difference in policies adopted by the local authorities, approval for airspace and flight plan is normally granted by the local flight control department of the military. The flight plan shall also be filed with the local public security department and the CAAC. As an example of the general observations above, on November 19, 2018, the CAAC issued the </w:t>
      </w:r>
      <w:r>
        <w:rPr>
          <w:rFonts w:ascii="Times New Roman" w:cs="Times New Roman" w:eastAsia="Times New Roman" w:hAnsi="Times New Roman"/>
          <w:sz w:val="13"/>
          <w:szCs w:val="13"/>
          <w:i w:val="1"/>
          <w:iCs w:val="1"/>
          <w:color w:val="auto"/>
        </w:rPr>
        <w:t>Flight Management Implementing Rule for UAVs in the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Shenzhen Area (Interim)</w:t>
      </w:r>
      <w:r>
        <w:rPr>
          <w:rFonts w:ascii="Times New Roman" w:cs="Times New Roman" w:eastAsia="Times New Roman" w:hAnsi="Times New Roman"/>
          <w:sz w:val="13"/>
          <w:szCs w:val="13"/>
          <w:color w:val="auto"/>
        </w:rPr>
        <w:t>, under which the South Military Zone Air Force is responsible for the piloting of UAVs within the municipal area of Shenzhen.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An enterprise or individual who seeks a flight task approval shall file the application with the flight control department of the South Military Zone Air Force five days prior to such flight. The flight control department of the South Military Zone Air Force, after consulting the CAAC and the public security department, may grant its approval two days prior to the flight. After such approval and except for certain flights of mini-UAV with an empty weight of less than 0.25 kilogram, subject to certain other conditions, or small-UAV with an empty weight of less than 4 kilograms, subject to certain other conditions, a flight plan must be submitted via a designated reporting platform no later than 3:00 pm on the day prior to the flight and the flight control department of the South Military Zone Air Force will respond no later than 9:00 pm on the same day of filing and will distribute the relevant information to the public security department and the CAAC. In addition, with the approval of Hainan Provincial Government, </w:t>
      </w:r>
      <w:r>
        <w:rPr>
          <w:rFonts w:ascii="Times New Roman" w:cs="Times New Roman" w:eastAsia="Times New Roman" w:hAnsi="Times New Roman"/>
          <w:sz w:val="13"/>
          <w:szCs w:val="13"/>
          <w:i w:val="1"/>
          <w:iCs w:val="1"/>
          <w:color w:val="auto"/>
        </w:rPr>
        <w:t>Hainan Administrative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Rule for Civil UAVs (Interim) </w:t>
      </w:r>
      <w:r>
        <w:rPr>
          <w:rFonts w:ascii="Times New Roman" w:cs="Times New Roman" w:eastAsia="Times New Roman" w:hAnsi="Times New Roman"/>
          <w:sz w:val="13"/>
          <w:szCs w:val="13"/>
          <w:color w:val="auto"/>
        </w:rPr>
        <w:t>was promulgated in April 2020. Generally, for the flights of our AAVs, we, the VIE and its subsidiaries have established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prior communications with the local flight control department, the public security authority and the local counterpart of the CAAC in seeking the necessary approvals and have ensured compliance with their respective instructions in all material respects.</w:t>
      </w:r>
    </w:p>
    <w:p>
      <w:pPr>
        <w:spacing w:after="0" w:line="21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Geo-fencing</w:t>
      </w:r>
    </w:p>
    <w:p>
      <w:pPr>
        <w:spacing w:after="0" w:line="88" w:lineRule="exact"/>
        <w:rPr>
          <w:sz w:val="20"/>
          <w:szCs w:val="20"/>
          <w:color w:val="auto"/>
        </w:rPr>
      </w:pPr>
    </w:p>
    <w:p>
      <w:pPr>
        <w:ind w:left="1680" w:right="739" w:firstLine="317"/>
        <w:spacing w:after="0" w:line="264" w:lineRule="auto"/>
        <w:rPr>
          <w:sz w:val="20"/>
          <w:szCs w:val="20"/>
          <w:color w:val="auto"/>
        </w:rPr>
      </w:pPr>
      <w:r>
        <w:rPr>
          <w:rFonts w:ascii="Times New Roman" w:cs="Times New Roman" w:eastAsia="Times New Roman" w:hAnsi="Times New Roman"/>
          <w:sz w:val="13"/>
          <w:szCs w:val="13"/>
          <w:color w:val="auto"/>
        </w:rPr>
        <w:t xml:space="preserve">The geo-fencing of UAVs is of great significance for the development of the industry. Currently, there is no effective unified standard for geo-fencing of UAVs in the world and various countries are in the exploration stage. In China, the CAAC issued the Standard of Fence of Unmanned Aircraft System </w:t>
      </w:r>
      <w:r>
        <w:rPr>
          <w:rFonts w:ascii="Times New Roman" w:cs="Times New Roman" w:eastAsia="Times New Roman" w:hAnsi="Times New Roman"/>
          <w:sz w:val="13"/>
          <w:szCs w:val="13"/>
          <w:i w:val="1"/>
          <w:iCs w:val="1"/>
          <w:color w:val="auto"/>
        </w:rPr>
        <w:t>(Draft for Comment)</w:t>
      </w:r>
      <w:r>
        <w:rPr>
          <w:rFonts w:ascii="Times New Roman" w:cs="Times New Roman" w:eastAsia="Times New Roman" w:hAnsi="Times New Roman"/>
          <w:sz w:val="13"/>
          <w:szCs w:val="13"/>
          <w:color w:val="auto"/>
        </w:rPr>
        <w:t xml:space="preserve"> in 2017.</w:t>
      </w:r>
    </w:p>
    <w:p>
      <w:pPr>
        <w:spacing w:after="0" w:line="129" w:lineRule="exact"/>
        <w:rPr>
          <w:sz w:val="20"/>
          <w:szCs w:val="20"/>
          <w:color w:val="auto"/>
        </w:rPr>
      </w:pPr>
    </w:p>
    <w:p>
      <w:pPr>
        <w:ind w:left="1680" w:right="759" w:firstLine="317"/>
        <w:spacing w:after="0" w:line="264" w:lineRule="auto"/>
        <w:rPr>
          <w:sz w:val="20"/>
          <w:szCs w:val="20"/>
          <w:color w:val="auto"/>
        </w:rPr>
      </w:pPr>
      <w:r>
        <w:rPr>
          <w:rFonts w:ascii="Times New Roman" w:cs="Times New Roman" w:eastAsia="Times New Roman" w:hAnsi="Times New Roman"/>
          <w:sz w:val="13"/>
          <w:szCs w:val="13"/>
          <w:color w:val="auto"/>
        </w:rPr>
        <w:t>Both our passenger-grade AAVs (EHang 216) and non-passenger-grade AAVs (Falcon B 400) have passed the tests of geo-fencing by the Civil UAS Inspection Center of China Academy of Civil Aviation Science and Technology (CAST), and obtained the certificate from the China National Accreditation Service for Conformity Assessment (CNAS) and ILAC-MRA in July 2019, which is internationally recognized.</w:t>
      </w:r>
    </w:p>
    <w:p>
      <w:pPr>
        <w:spacing w:after="0" w:line="20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Pilot Operations</w:t>
      </w:r>
    </w:p>
    <w:p>
      <w:pPr>
        <w:spacing w:after="0" w:line="88" w:lineRule="exact"/>
        <w:rPr>
          <w:sz w:val="20"/>
          <w:szCs w:val="20"/>
          <w:color w:val="auto"/>
        </w:rPr>
      </w:pPr>
    </w:p>
    <w:p>
      <w:pPr>
        <w:ind w:left="1680" w:right="579" w:firstLine="317"/>
        <w:spacing w:after="0" w:line="251" w:lineRule="auto"/>
        <w:rPr>
          <w:sz w:val="20"/>
          <w:szCs w:val="20"/>
          <w:color w:val="auto"/>
        </w:rPr>
      </w:pPr>
      <w:r>
        <w:rPr>
          <w:rFonts w:ascii="Times New Roman" w:cs="Times New Roman" w:eastAsia="Times New Roman" w:hAnsi="Times New Roman"/>
          <w:sz w:val="13"/>
          <w:szCs w:val="13"/>
          <w:color w:val="auto"/>
        </w:rPr>
        <w:t xml:space="preserve">The Department of Flight Standard, the Department of Aircraft Airworthiness Certification and the Office of Air Traffic Regulation of the CAAC, jointly issued the </w:t>
      </w:r>
      <w:r>
        <w:rPr>
          <w:rFonts w:ascii="Times New Roman" w:cs="Times New Roman" w:eastAsia="Times New Roman" w:hAnsi="Times New Roman"/>
          <w:sz w:val="13"/>
          <w:szCs w:val="13"/>
          <w:i w:val="1"/>
          <w:iCs w:val="1"/>
          <w:color w:val="auto"/>
        </w:rPr>
        <w:t>Pilot Operation Rules (Interim) for Specific Unmanned Aircraft</w:t>
      </w:r>
      <w:r>
        <w:rPr>
          <w:rFonts w:ascii="Times New Roman" w:cs="Times New Roman" w:eastAsia="Times New Roman" w:hAnsi="Times New Roman"/>
          <w:sz w:val="13"/>
          <w:szCs w:val="13"/>
          <w:color w:val="auto"/>
        </w:rPr>
        <w:t>, or the Interim Rules, on February 1, 2019, pursuant to which, unmanned aircrafts are classified into nine categories based on their empty weight and takeoff gross weight. In particular, Class I captures unmanned aircrafts with empty weight and takeoff gross weight between 0 to 1.5 kg (including 1.5 kg); Class II captures unmanned aircrafts with empty weight between 1.5 kg and 4 kg (including 4 kg) and takeoff gross weight between 1.5 kg and 7 kg (including 7 kg); Class III captures unmanned aircrafts with empty weight between 4 kg and 15 kg (including 15 kg) and takeoff gross weight between 7 kg and 25 kg (including 25 kg); Class IV captures unmanned aircrafts with empty weight between 15 kg and 116 kg (including 116 kg) and takeoff gross weight between 25 kg and 150 kg (including 150 kg); Class XI captures unmanned aircrafts with empty weight between 116 kg and 5,700 kg (including 5,700 kg) and takeoff gross weight between 150 kg and 5,700 kg (including 5,700 kg); Class XII captures unmanned aircrafts with empty weight and takeoff gross weight in excess of 5,700 kg. The Interim Rules are applicable to Class IV unmanned aircrafts, Class III unmanned aircrafts with high risks and the pilot operation of which would need a pre-assessment in the belief of the authority, Class XI and Class XII unmanned aircrafts with low risks and in relation to which the authority believes a pilot operation assessment is sufficient. According to the classification above, our passenger-grade AAV belongs to Class XI and Falcon B of non-passenger grade AAV belongs to Class III. According to the Interim Rules, the applicant for the pilot operation of any UAV that falls within any of the foregoing applicable classes shall first submit a proposal for initial discussion and application with the CAAC and shall then conduct a pre-pilot operation safety evaluation based on specific operation risk assessment, or SORA. The applicant shall subsequently verify the operation risks based on its initial operation, following which the CAAC shall issue the relevant approval if its assessment team confirms that the risks of pilot operation can be appropriately controlled and are acceptable. Upon its receipt, the applicant shall maintain the approval, together with the operation rules and a complete manual for the CAAC’s inspection and supervision. The pilot operation will be suspended or terminated under certain circumstances, such as any non-compliance with the approved letter, the presence of uncontrollable operation risks and the voluntary surrender by the applicant. Operation records relating to pilot operations shall be maintained, including operation manual, list of unmanned aircraft, maintenance record of aircraft, and qualification of personnel. The applicant shall also purchase insurance policy for third party liabilities. In addition, “risks” is defined under the Interim Rules to take into account both the frequencies (or probabilities) of the events and the level of severity. It also includes both ground risks and risks in air. We are the first applicant for the pilot operation of certain types (Class XI) of our passenger-grade AAVs in relation to a customer’s use for logistics purpose, and obtained the pilot operation approval from the CAAC in May 2020, which expired on May 31, 2021.</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91</w:t>
      </w:r>
    </w:p>
    <w:p>
      <w:pPr>
        <w:sectPr>
          <w:pgSz w:w="11900" w:h="16838" w:orient="portrait"/>
          <w:cols w:equalWidth="0" w:num="1">
            <w:col w:w="10159"/>
          </w:cols>
          <w:pgMar w:left="300" w:top="388"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559" w:firstLine="317"/>
        <w:spacing w:after="0" w:line="253" w:lineRule="auto"/>
        <w:rPr>
          <w:sz w:val="20"/>
          <w:szCs w:val="20"/>
          <w:color w:val="auto"/>
        </w:rPr>
      </w:pPr>
      <w:r>
        <w:rPr>
          <w:rFonts w:ascii="Times New Roman" w:cs="Times New Roman" w:eastAsia="Times New Roman" w:hAnsi="Times New Roman"/>
          <w:sz w:val="13"/>
          <w:szCs w:val="13"/>
          <w:color w:val="auto"/>
        </w:rPr>
        <w:t>MIIT also published Interim Rules on Flight Management of Unmanned Aircraft (Draft for Comment), or the MIIT UAV Interim Rules, on January 26, 2018, which provides that civil use unmanned aircrafts are classified into (a) micro unmanned aircraft which has empty weight no more than 0.25 kg, height capital less than 50 meters, max speed less than 40 km per hour and radio transmitting equipment meeting the technical requirements for micropower short-range radio transmitting; (b) light unmanned aircraft which has empty weight no more than 4kg, max takeoff gross weight no more than 7kg, max speed no more than 100km per hour and remote control with airspace maintenance capability and reliable surveillance capability that meeting airspace management requirement s; (c) small unmanned aircraft which has empty weight no more than 15 kg or max takeoff gross weight no more than 25 kg; (d) medium unmanned aircraft which has takeoff gross weight between 25 kg and 150 kg and empty wight more than 15 kg; and (e) large unmanned aircraft which has takeoff gross weight more than 150 kg.</w:t>
      </w:r>
    </w:p>
    <w:p>
      <w:pPr>
        <w:spacing w:after="0" w:line="140" w:lineRule="exact"/>
        <w:rPr>
          <w:sz w:val="20"/>
          <w:szCs w:val="20"/>
          <w:color w:val="auto"/>
        </w:rPr>
      </w:pPr>
    </w:p>
    <w:p>
      <w:pPr>
        <w:ind w:left="1680" w:right="599" w:firstLine="317"/>
        <w:spacing w:after="0" w:line="275" w:lineRule="auto"/>
        <w:rPr>
          <w:sz w:val="20"/>
          <w:szCs w:val="20"/>
          <w:color w:val="auto"/>
        </w:rPr>
      </w:pPr>
      <w:r>
        <w:rPr>
          <w:rFonts w:ascii="Times New Roman" w:cs="Times New Roman" w:eastAsia="Times New Roman" w:hAnsi="Times New Roman"/>
          <w:sz w:val="12"/>
          <w:szCs w:val="12"/>
          <w:color w:val="auto"/>
        </w:rPr>
        <w:t>In addition, trial flights of our passenger-grade AAVs must be and had been supported with approvals obtained from the Department of Aircraft Airworthiness Certification of the CAAC, despite an unclear legislative source for such requirement. We were approved under these approvals to conduct flight trials for the purpose of evaluating the airworthiness of our EHang 216, assessing their operational risks, as well as improving experience with and developing proper airworthiness standard for passenger-grade AAVs. The CAAC review program is ongoing for our EHang 216 Type Certificate application, which was submitted to the CAAC in December 2020. In January 2021, CAAC accepted our Type Certificate application. We are still involved in the procedure above evaluating the airworthiness of passenger-grade AAVs, assessing their operational risks, as well as improving experience with and developing proper airworthiness standard for passenger-grade AAVs. In February 2022, the CAAC formally adopted the Special Conditions for EHang 216 Type Certification. We made critical contributions of our technological expertise and know-how. The Special Conditions provided clear safety requirements for the certification of EHang 216, including flight performance, aircraft structures, design and constructions, propulsion systems, systems and equipment, data link, ground control station, etc. With specified requirements set out, we have progressed to the compliance review phase and submitted to the CAAC the Project Specific Certification Plan and the Certification Plan with solid means of compliance.</w:t>
      </w:r>
    </w:p>
    <w:p>
      <w:pPr>
        <w:spacing w:after="0" w:line="20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UAV Commercial Operation License</w:t>
      </w:r>
    </w:p>
    <w:p>
      <w:pPr>
        <w:spacing w:after="0" w:line="86" w:lineRule="exact"/>
        <w:rPr>
          <w:sz w:val="20"/>
          <w:szCs w:val="20"/>
          <w:color w:val="auto"/>
        </w:rPr>
      </w:pPr>
    </w:p>
    <w:p>
      <w:pPr>
        <w:ind w:left="1680" w:right="559" w:firstLine="317"/>
        <w:spacing w:after="0" w:line="251" w:lineRule="auto"/>
        <w:rPr>
          <w:sz w:val="20"/>
          <w:szCs w:val="20"/>
          <w:color w:val="auto"/>
        </w:rPr>
      </w:pPr>
      <w:r>
        <w:rPr>
          <w:rFonts w:ascii="Times New Roman" w:cs="Times New Roman" w:eastAsia="Times New Roman" w:hAnsi="Times New Roman"/>
          <w:sz w:val="13"/>
          <w:szCs w:val="13"/>
          <w:color w:val="auto"/>
        </w:rPr>
        <w:t xml:space="preserve">The </w:t>
      </w:r>
      <w:r>
        <w:rPr>
          <w:rFonts w:ascii="Times New Roman" w:cs="Times New Roman" w:eastAsia="Times New Roman" w:hAnsi="Times New Roman"/>
          <w:sz w:val="13"/>
          <w:szCs w:val="13"/>
          <w:i w:val="1"/>
          <w:iCs w:val="1"/>
          <w:color w:val="auto"/>
        </w:rPr>
        <w:t>Administrative Measures for Commercial Flight Activities of Unmanned Aerial Vehicle for Civil Use (Interim)</w:t>
      </w:r>
      <w:r>
        <w:rPr>
          <w:rFonts w:ascii="Times New Roman" w:cs="Times New Roman" w:eastAsia="Times New Roman" w:hAnsi="Times New Roman"/>
          <w:sz w:val="13"/>
          <w:szCs w:val="13"/>
          <w:color w:val="auto"/>
        </w:rPr>
        <w:t xml:space="preserve"> promulgated by CAAC on March 21, 2018 and taking effect on June 1, 2018, asserts jurisdiction over the commercial operation of any UAV with empty weight of more than 0.25 kilograms and regulates a broad range of UAV activities including aerial spraying, photography, aerial performance flight and UAV operator training. On August 4, 2020, the Ministry of Transport of the PRC promulgated Provisions on the Administration of Operation License for General Aviation, effective on January 1, 2021, pursuant to which, an enterprise engaging in general aviation operations shall obtain a general aviation enterprise operation license. Civil aircraft includes manned aircraft and unmanned aircraft. The company operating the regulated activities must first obtain a General Aviation Enterprise Operation License from CAAC for using UAVs in such activities, and the applicant shall meet certain criteria including, among others, (a) the applicant shall be a corporation having a PRC national as its legal representative; (b) the applicant shall possess proper civil aircraft meeting certain requirements, such as the completion of registration in PRC and the compliance with the related airworthiness requirements, standard airworthiness certificate for civil aircraft used for passenger carrying and human carrying business activities (unless otherwise stipulated by CAAC), the compatibility with the commercial general aviation activities to be engaged in, at least two civil aircrafts for engaging in passenger carrying business or one civil aircraft for human-carrying and other business; (c) there are pilots who are suitable for civil aircraft, having professional training and obtaining related license; and (d) the applicant shall have purchased third party liability insurance policy on the ground. The VIE and its subsidiaries have obtained the necessary operation licenses for aerial spraying, aerial photography, operator training, flight show, aerial media solutions and other purposes. The regulations on operations for UAVs are still evolving and may be subject to differing interpretations or significant changes. However, in the northwest region of China, the </w:t>
      </w:r>
      <w:r>
        <w:rPr>
          <w:rFonts w:ascii="Times New Roman" w:cs="Times New Roman" w:eastAsia="Times New Roman" w:hAnsi="Times New Roman"/>
          <w:sz w:val="13"/>
          <w:szCs w:val="13"/>
          <w:i w:val="1"/>
          <w:iCs w:val="1"/>
          <w:color w:val="auto"/>
        </w:rPr>
        <w:t>Administrative Measures for Logistics Services of Civil Unmanned Aerial Vehicle in Northwest Region (Interim)</w:t>
      </w:r>
      <w:r>
        <w:rPr>
          <w:rFonts w:ascii="Times New Roman" w:cs="Times New Roman" w:eastAsia="Times New Roman" w:hAnsi="Times New Roman"/>
          <w:sz w:val="13"/>
          <w:szCs w:val="13"/>
          <w:color w:val="auto"/>
        </w:rPr>
        <w:t xml:space="preserve"> promulgated by CAAC Northwest Regional Administration on April 3, 2019, stipulates that the company operates logistic services in Shaanxi Province, Gansu Province, Ningxia Province and Qinghai Province by UAVs shall obtain an operating license for logistic service from CAAC Northwest Regional Administration. We are not operating logistic services in northwest region of China at the current stage. We may be required to obtain the Operation License for logistic service if we operate logistic services in Northwest region in the future.</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92</w:t>
      </w:r>
    </w:p>
    <w:p>
      <w:pPr>
        <w:sectPr>
          <w:pgSz w:w="11900" w:h="16838" w:orient="portrait"/>
          <w:cols w:equalWidth="0" w:num="1">
            <w:col w:w="10159"/>
          </w:cols>
          <w:pgMar w:left="300" w:top="388"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Pilot and Operator License</w:t>
      </w:r>
    </w:p>
    <w:p>
      <w:pPr>
        <w:spacing w:after="0" w:line="86" w:lineRule="exact"/>
        <w:rPr>
          <w:sz w:val="20"/>
          <w:szCs w:val="20"/>
          <w:color w:val="auto"/>
        </w:rPr>
      </w:pPr>
    </w:p>
    <w:p>
      <w:pPr>
        <w:ind w:left="1680" w:right="559" w:firstLine="317"/>
        <w:spacing w:after="0" w:line="252" w:lineRule="auto"/>
        <w:rPr>
          <w:sz w:val="20"/>
          <w:szCs w:val="20"/>
          <w:color w:val="auto"/>
        </w:rPr>
      </w:pPr>
      <w:r>
        <w:rPr>
          <w:rFonts w:ascii="Times New Roman" w:cs="Times New Roman" w:eastAsia="Times New Roman" w:hAnsi="Times New Roman"/>
          <w:sz w:val="13"/>
          <w:szCs w:val="13"/>
          <w:color w:val="auto"/>
        </w:rPr>
        <w:t xml:space="preserve">On August 31, 2018, the Flight Standard Department of the CAAC issued the </w:t>
      </w:r>
      <w:r>
        <w:rPr>
          <w:rFonts w:ascii="Times New Roman" w:cs="Times New Roman" w:eastAsia="Times New Roman" w:hAnsi="Times New Roman"/>
          <w:sz w:val="13"/>
          <w:szCs w:val="13"/>
          <w:i w:val="1"/>
          <w:iCs w:val="1"/>
          <w:color w:val="auto"/>
        </w:rPr>
        <w:t>Regulations on the Administration of Civil Unmanned Aerial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Vehicles Pilots</w:t>
      </w:r>
      <w:r>
        <w:rPr>
          <w:rFonts w:ascii="Times New Roman" w:cs="Times New Roman" w:eastAsia="Times New Roman" w:hAnsi="Times New Roman"/>
          <w:sz w:val="13"/>
          <w:szCs w:val="13"/>
          <w:color w:val="auto"/>
        </w:rPr>
        <w:t>, according to which a UAV pilot must obtain the relevant UAV pilot license depending on the type and specifications of the UAV</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operated. On December 23, 2021, CAAC promulgated </w:t>
      </w:r>
      <w:r>
        <w:rPr>
          <w:rFonts w:ascii="Times New Roman" w:cs="Times New Roman" w:eastAsia="Times New Roman" w:hAnsi="Times New Roman"/>
          <w:sz w:val="13"/>
          <w:szCs w:val="13"/>
          <w:i w:val="1"/>
          <w:iCs w:val="1"/>
          <w:color w:val="auto"/>
        </w:rPr>
        <w:t>Consultation Circular Soliciting Comments on Regulations on the Administration of Civil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Unmanned Aerial Vehicles Pilots</w:t>
      </w:r>
      <w:r>
        <w:rPr>
          <w:rFonts w:ascii="Times New Roman" w:cs="Times New Roman" w:eastAsia="Times New Roman" w:hAnsi="Times New Roman"/>
          <w:sz w:val="13"/>
          <w:szCs w:val="13"/>
          <w:color w:val="auto"/>
        </w:rPr>
        <w:t>, or Draft New Regulation on UAV Pilots, which provides that in relation to the operation of UAV systems and that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UAVs in clusters, at scale or otherwise in a distributed manner, the pilots responsible for safe operation shall hold a license, and other person involving in control tasks do not need to hold a license, but should complete the relevant training carried out by the operator. The regulations on operations for UAVs are still evolving and can be subject to differing interpretations or significant changes. Distributed operation refers to the mode of operating UAV systems through a collection of multiple sub-units and communication nodes and their deployment to multiple sites or terminals for collaborative operation. As of the date of this annual report, 15 of our employees have obtained UAV class III pilot licenses and class IV pilot licenses, which satisfied the requirement to operate our non-passenger grade AAVs. To the extent our AAVs are operated and controlled through distributed operation (such as during the delivery of our aerial media and smart management solutions), we may be required to obtain any official pilot license for certain pilot issued by the CAAC according to the Draft New Regulation on UAV Pilots. Since the revised draft has not been formally adopted as of the date of the document, the revised draft and its anticipated adoption or effective date are subject to further changes with substantial uncertainty. The pilots who operate our AAV flights also completed the AAV training provided by our company on the basis of the CAAC UAV Pilot Licenses.</w:t>
      </w:r>
    </w:p>
    <w:p>
      <w:pPr>
        <w:spacing w:after="0" w:line="137" w:lineRule="exact"/>
        <w:rPr>
          <w:sz w:val="20"/>
          <w:szCs w:val="20"/>
          <w:color w:val="auto"/>
        </w:rPr>
      </w:pPr>
    </w:p>
    <w:p>
      <w:pPr>
        <w:ind w:left="1680" w:right="639" w:firstLine="317"/>
        <w:spacing w:after="0" w:line="288" w:lineRule="auto"/>
        <w:rPr>
          <w:sz w:val="20"/>
          <w:szCs w:val="20"/>
          <w:color w:val="auto"/>
        </w:rPr>
      </w:pPr>
      <w:r>
        <w:rPr>
          <w:rFonts w:ascii="Times New Roman" w:cs="Times New Roman" w:eastAsia="Times New Roman" w:hAnsi="Times New Roman"/>
          <w:sz w:val="12"/>
          <w:szCs w:val="12"/>
          <w:color w:val="auto"/>
        </w:rPr>
        <w:t xml:space="preserve">In addition, the draft bill of the </w:t>
      </w:r>
      <w:r>
        <w:rPr>
          <w:rFonts w:ascii="Times New Roman" w:cs="Times New Roman" w:eastAsia="Times New Roman" w:hAnsi="Times New Roman"/>
          <w:sz w:val="12"/>
          <w:szCs w:val="12"/>
          <w:i w:val="1"/>
          <w:iCs w:val="1"/>
          <w:color w:val="auto"/>
        </w:rPr>
        <w:t>Interim Measures for Flight Administration of Unmanned Aerial Vehicle</w:t>
      </w:r>
      <w:r>
        <w:rPr>
          <w:rFonts w:ascii="Times New Roman" w:cs="Times New Roman" w:eastAsia="Times New Roman" w:hAnsi="Times New Roman"/>
          <w:sz w:val="12"/>
          <w:szCs w:val="12"/>
          <w:color w:val="auto"/>
        </w:rPr>
        <w:t xml:space="preserve"> published by the CAAC on January 26, 2018 stipulates that any unit or individual that organizes UAV flight activities in a distributed manner shall be subject to safety review and obtain a safe operation license. The individual operator of UAV systems or clusters or distributed operations are however exempted for such licensing requirement. We may be required to obtain the safe operation license for certain component of our business once the above draft bill comes into effect.</w:t>
      </w:r>
    </w:p>
    <w:p>
      <w:pPr>
        <w:spacing w:after="0" w:line="116" w:lineRule="exact"/>
        <w:rPr>
          <w:sz w:val="20"/>
          <w:szCs w:val="20"/>
          <w:color w:val="auto"/>
        </w:rPr>
      </w:pPr>
    </w:p>
    <w:p>
      <w:pPr>
        <w:ind w:left="1680" w:right="659" w:firstLine="317"/>
        <w:spacing w:after="0" w:line="265" w:lineRule="auto"/>
        <w:rPr>
          <w:sz w:val="20"/>
          <w:szCs w:val="20"/>
          <w:color w:val="auto"/>
        </w:rPr>
      </w:pPr>
      <w:r>
        <w:rPr>
          <w:rFonts w:ascii="Times New Roman" w:cs="Times New Roman" w:eastAsia="Times New Roman" w:hAnsi="Times New Roman"/>
          <w:sz w:val="13"/>
          <w:szCs w:val="13"/>
          <w:color w:val="auto"/>
        </w:rPr>
        <w:t xml:space="preserve">Operators of our AAVs may be subject to additional licensing requirements. On December 29, 2015, the CAAC issued the </w:t>
      </w:r>
      <w:r>
        <w:rPr>
          <w:rFonts w:ascii="Times New Roman" w:cs="Times New Roman" w:eastAsia="Times New Roman" w:hAnsi="Times New Roman"/>
          <w:sz w:val="13"/>
          <w:szCs w:val="13"/>
          <w:i w:val="1"/>
          <w:iCs w:val="1"/>
          <w:color w:val="auto"/>
        </w:rPr>
        <w:t>Rules on</w:t>
      </w:r>
      <w:r>
        <w:rPr>
          <w:rFonts w:ascii="Times New Roman" w:cs="Times New Roman" w:eastAsia="Times New Roman" w:hAnsi="Times New Roman"/>
          <w:sz w:val="13"/>
          <w:szCs w:val="13"/>
          <w:color w:val="auto"/>
        </w:rPr>
        <w:t xml:space="preserve"> Operation </w:t>
      </w:r>
      <w:r>
        <w:rPr>
          <w:rFonts w:ascii="Times New Roman" w:cs="Times New Roman" w:eastAsia="Times New Roman" w:hAnsi="Times New Roman"/>
          <w:sz w:val="13"/>
          <w:szCs w:val="13"/>
          <w:i w:val="1"/>
          <w:iCs w:val="1"/>
          <w:color w:val="auto"/>
        </w:rPr>
        <w:t>of</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Light and Small Unmanned Aircraft (Trial)</w:t>
      </w:r>
      <w:r>
        <w:rPr>
          <w:rFonts w:ascii="Times New Roman" w:cs="Times New Roman" w:eastAsia="Times New Roman" w:hAnsi="Times New Roman"/>
          <w:sz w:val="13"/>
          <w:szCs w:val="13"/>
          <w:color w:val="auto"/>
        </w:rPr>
        <w:t>, pursuant to which, pilots of specified UAVs shall meet certain qualification, and are prohibited from</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consumption of alcohol and drugs as well as careless piloting. Our AAV operators have complied with all the above requirements.</w:t>
      </w:r>
    </w:p>
    <w:p>
      <w:pPr>
        <w:spacing w:after="0" w:line="20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Import and Export</w:t>
      </w:r>
    </w:p>
    <w:p>
      <w:pPr>
        <w:spacing w:after="0" w:line="86" w:lineRule="exact"/>
        <w:rPr>
          <w:sz w:val="20"/>
          <w:szCs w:val="20"/>
          <w:color w:val="auto"/>
        </w:rPr>
      </w:pPr>
    </w:p>
    <w:p>
      <w:pPr>
        <w:ind w:left="1680" w:right="619" w:firstLine="317"/>
        <w:spacing w:after="0" w:line="253" w:lineRule="auto"/>
        <w:rPr>
          <w:sz w:val="20"/>
          <w:szCs w:val="20"/>
          <w:color w:val="auto"/>
        </w:rPr>
      </w:pPr>
      <w:r>
        <w:rPr>
          <w:rFonts w:ascii="Times New Roman" w:cs="Times New Roman" w:eastAsia="Times New Roman" w:hAnsi="Times New Roman"/>
          <w:sz w:val="13"/>
          <w:szCs w:val="13"/>
          <w:color w:val="auto"/>
        </w:rPr>
        <w:t xml:space="preserve">On December 31, 2005, the Ministry of Commerce and the General Administration for Customs jointly issued the </w:t>
      </w:r>
      <w:r>
        <w:rPr>
          <w:rFonts w:ascii="Times New Roman" w:cs="Times New Roman" w:eastAsia="Times New Roman" w:hAnsi="Times New Roman"/>
          <w:sz w:val="13"/>
          <w:szCs w:val="13"/>
          <w:i w:val="1"/>
          <w:iCs w:val="1"/>
          <w:color w:val="auto"/>
        </w:rPr>
        <w:t>Measures for the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Administration on Import and Export License for Dual-use Items and Technologies</w:t>
      </w:r>
      <w:r>
        <w:rPr>
          <w:rFonts w:ascii="Times New Roman" w:cs="Times New Roman" w:eastAsia="Times New Roman" w:hAnsi="Times New Roman"/>
          <w:sz w:val="13"/>
          <w:szCs w:val="13"/>
          <w:color w:val="auto"/>
        </w:rPr>
        <w:t>, pursuant to which a license is required for the exportation of any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dual-use goods, products and technologies of the PRC included in a control list issued by the Ministry of Commerce on December 31, 2019. Notably, certain types of UAVs are </w:t>
      </w:r>
      <w:r>
        <w:rPr>
          <w:rFonts w:ascii="Times New Roman" w:cs="Times New Roman" w:eastAsia="Times New Roman" w:hAnsi="Times New Roman"/>
          <w:sz w:val="13"/>
          <w:szCs w:val="13"/>
          <w:i w:val="1"/>
          <w:iCs w:val="1"/>
          <w:color w:val="auto"/>
        </w:rPr>
        <w:t>subject</w:t>
      </w:r>
      <w:r>
        <w:rPr>
          <w:rFonts w:ascii="Times New Roman" w:cs="Times New Roman" w:eastAsia="Times New Roman" w:hAnsi="Times New Roman"/>
          <w:sz w:val="13"/>
          <w:szCs w:val="13"/>
          <w:color w:val="auto"/>
        </w:rPr>
        <w:t xml:space="preserve"> to the foregoing export license requirements, such as UAVs with (a) a maximum endurance time greater than or equal to 1 hour, (b) maximum endurance time greater than or equal to half an hour but less than 1 hour and the ability to take-off and conduct stable flight against a wind speed of no less than 46.3 kilometer/hour; (c) aircraft range equal to or higher than 300 kilometers; (d) automatic controlling system and navigation capability containing aerosol preparation for planting with volume of 20 liters or being capable of installing aerosol preparation system for planting with volumes of 20 liters after designing and modification. We may be required to obtain the necessary license for the exportation of certain of our AAVs.</w:t>
      </w:r>
    </w:p>
    <w:p>
      <w:pPr>
        <w:spacing w:after="0" w:line="21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Wireless Communication</w:t>
      </w:r>
    </w:p>
    <w:p>
      <w:pPr>
        <w:spacing w:after="0" w:line="88" w:lineRule="exact"/>
        <w:rPr>
          <w:sz w:val="20"/>
          <w:szCs w:val="20"/>
          <w:color w:val="auto"/>
        </w:rPr>
      </w:pPr>
    </w:p>
    <w:p>
      <w:pPr>
        <w:ind w:left="1680" w:right="579" w:firstLine="317"/>
        <w:spacing w:after="0" w:line="253" w:lineRule="auto"/>
        <w:rPr>
          <w:sz w:val="20"/>
          <w:szCs w:val="20"/>
          <w:color w:val="auto"/>
        </w:rPr>
      </w:pPr>
      <w:r>
        <w:rPr>
          <w:rFonts w:ascii="Times New Roman" w:cs="Times New Roman" w:eastAsia="Times New Roman" w:hAnsi="Times New Roman"/>
          <w:sz w:val="13"/>
          <w:szCs w:val="13"/>
          <w:color w:val="auto"/>
        </w:rPr>
        <w:t>Our AAVs and command-and-control centers have installed certain radio transmission equipment and telecommunication equipment. For radio transmission equipment, pursuant to the Regulations on the Administration of Radio in the PRC promulgated by the State Council and CMC, with effect from December 1, 2016, radio transmission equipment produced or imported for the purpose of sale and use in the PRC shall comply with laws and regulations in respect of product quality and administration of state radio, as well as other applicable national standards. Except for micro power short-distance radio transmission equipment, for any production or import of other radio transmission equipment for domestic sale and use, an application for model confirmation shall be filed with the radio regulatory authority of the state. According to Telecommunications Regulation of PRC promulgated by State Counsel on September 25, 2000, amended in July 2014 and February 2016, the government stipulates a network connection licensing system for telecommunications equipment. The telecommunications equipment accessing a public telecommunications network shall comply with the national standards, and obtain a network access certificate. We purchase certain equipment and models with Transmission Equipment Type Approval Certificate and Network Access Certificate from our supplier.</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93</w:t>
      </w:r>
    </w:p>
    <w:p>
      <w:pPr>
        <w:sectPr>
          <w:pgSz w:w="11900" w:h="16838" w:orient="portrait"/>
          <w:cols w:equalWidth="0" w:num="1">
            <w:col w:w="10159"/>
          </w:cols>
          <w:pgMar w:left="300" w:top="388" w:right="1440"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Bidding and Construction</w:t>
      </w:r>
    </w:p>
    <w:p>
      <w:pPr>
        <w:spacing w:after="0" w:line="8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Our undertaking of the development of command-and-control centers is subject to bidding laws and constructions laws.</w:t>
      </w:r>
    </w:p>
    <w:p>
      <w:pPr>
        <w:spacing w:after="0" w:line="160" w:lineRule="exact"/>
        <w:rPr>
          <w:sz w:val="20"/>
          <w:szCs w:val="20"/>
          <w:color w:val="auto"/>
        </w:rPr>
      </w:pPr>
    </w:p>
    <w:p>
      <w:pPr>
        <w:ind w:left="1680" w:right="579" w:firstLine="317"/>
        <w:spacing w:after="0" w:line="257" w:lineRule="auto"/>
        <w:rPr>
          <w:sz w:val="20"/>
          <w:szCs w:val="20"/>
          <w:color w:val="auto"/>
        </w:rPr>
      </w:pPr>
      <w:r>
        <w:rPr>
          <w:rFonts w:ascii="Times New Roman" w:cs="Times New Roman" w:eastAsia="Times New Roman" w:hAnsi="Times New Roman"/>
          <w:sz w:val="13"/>
          <w:szCs w:val="13"/>
          <w:color w:val="auto"/>
        </w:rPr>
        <w:t xml:space="preserve">On December 27, 2017, the SCNPC promulgated the </w:t>
      </w:r>
      <w:r>
        <w:rPr>
          <w:rFonts w:ascii="Times New Roman" w:cs="Times New Roman" w:eastAsia="Times New Roman" w:hAnsi="Times New Roman"/>
          <w:sz w:val="13"/>
          <w:szCs w:val="13"/>
          <w:i w:val="1"/>
          <w:iCs w:val="1"/>
          <w:color w:val="auto"/>
        </w:rPr>
        <w:t>Bidding Law of the PRC</w:t>
      </w:r>
      <w:r>
        <w:rPr>
          <w:rFonts w:ascii="Times New Roman" w:cs="Times New Roman" w:eastAsia="Times New Roman" w:hAnsi="Times New Roman"/>
          <w:sz w:val="13"/>
          <w:szCs w:val="13"/>
          <w:color w:val="auto"/>
        </w:rPr>
        <w:t>. The Bidding Law provides that two or more legal persons or other organizations may form a consortium to bid jointly as one bidder. Each member of a consortium shall have the relevant capability to undertake the bidding project; where the qualification criteria for bidders are imposed either by State regulations or terms of the bidding documents, each member of a consortium shall satisfy the corresponding qualification criteria. The consortium members shall each sign a joint bidding agreement to clearly specify the work and responsibilities to be undertaken by each party, and submit the joint bidding agreement to the bid inviter together with the bid.</w:t>
      </w:r>
    </w:p>
    <w:p>
      <w:pPr>
        <w:spacing w:after="0" w:line="133" w:lineRule="exact"/>
        <w:rPr>
          <w:sz w:val="20"/>
          <w:szCs w:val="20"/>
          <w:color w:val="auto"/>
        </w:rPr>
      </w:pPr>
    </w:p>
    <w:p>
      <w:pPr>
        <w:ind w:left="1680" w:right="579" w:firstLine="317"/>
        <w:spacing w:after="0" w:line="253" w:lineRule="auto"/>
        <w:rPr>
          <w:sz w:val="20"/>
          <w:szCs w:val="20"/>
          <w:color w:val="auto"/>
        </w:rPr>
      </w:pPr>
      <w:r>
        <w:rPr>
          <w:rFonts w:ascii="Times New Roman" w:cs="Times New Roman" w:eastAsia="Times New Roman" w:hAnsi="Times New Roman"/>
          <w:sz w:val="13"/>
          <w:szCs w:val="13"/>
          <w:color w:val="auto"/>
        </w:rPr>
        <w:t xml:space="preserve">On November 1, 1997, the SCNPC promulgated the </w:t>
      </w:r>
      <w:r>
        <w:rPr>
          <w:rFonts w:ascii="Times New Roman" w:cs="Times New Roman" w:eastAsia="Times New Roman" w:hAnsi="Times New Roman"/>
          <w:sz w:val="13"/>
          <w:szCs w:val="13"/>
          <w:i w:val="1"/>
          <w:iCs w:val="1"/>
          <w:color w:val="auto"/>
        </w:rPr>
        <w:t>Construction Law of PRC</w:t>
      </w:r>
      <w:r>
        <w:rPr>
          <w:rFonts w:ascii="Times New Roman" w:cs="Times New Roman" w:eastAsia="Times New Roman" w:hAnsi="Times New Roman"/>
          <w:sz w:val="13"/>
          <w:szCs w:val="13"/>
          <w:color w:val="auto"/>
        </w:rPr>
        <w:t>, which was amended on April 22, 2011 and April 23, 2019. The Construction Law provides that construction enterprises, survey units, design units and project supervision units engaging in construction activities shall be classified under different qualification grades based on certain criteria such as their registered capital, technical professionals team, technical equipment owned and track records of completed construction projects, etc., and may engage in construction activities within the scope permitted for their qualification grade upon passing examination of qualifications and obtaining the qualification certificate for the corresponding grade. Contractor of construction projects shall also possess a qualification certificate. Construction enterprises are prohibited from contracting projects beyond the scope of business permitted for their qualification grade or in any form in the name of another construction enterprise. A construction enterprise must not allow another organization or individual to use their qualification certificate or business license to contract any form of construction projects. According to the Construction Law, Contractors contracting projects without obtaining a qualification certificate shall be clamped down and be subject to a fine; illegal income, if any, shall be confiscated.</w:t>
      </w:r>
    </w:p>
    <w:p>
      <w:pPr>
        <w:spacing w:after="0" w:line="138" w:lineRule="exact"/>
        <w:rPr>
          <w:sz w:val="20"/>
          <w:szCs w:val="20"/>
          <w:color w:val="auto"/>
        </w:rPr>
      </w:pPr>
    </w:p>
    <w:p>
      <w:pPr>
        <w:jc w:val="both"/>
        <w:ind w:left="1680" w:right="619" w:firstLine="317"/>
        <w:spacing w:after="0" w:line="259" w:lineRule="auto"/>
        <w:rPr>
          <w:sz w:val="20"/>
          <w:szCs w:val="20"/>
          <w:color w:val="auto"/>
        </w:rPr>
      </w:pPr>
      <w:r>
        <w:rPr>
          <w:rFonts w:ascii="Times New Roman" w:cs="Times New Roman" w:eastAsia="Times New Roman" w:hAnsi="Times New Roman"/>
          <w:sz w:val="13"/>
          <w:szCs w:val="13"/>
          <w:color w:val="auto"/>
        </w:rPr>
        <w:t>We entered into certain construction agreements in relation to our smart city management projects with the necessary construction qualifications held by our third-party partners on these projects. These projects are bidden jointly with qualified entity and sub-contracted to qualified entity. If we are found to have violated the applicable bidding laws and construction laws, we may be subject to fine. We will continue to cooperate with other partners with qualification for current smart city management projects.</w:t>
      </w:r>
    </w:p>
    <w:p>
      <w:pPr>
        <w:spacing w:after="0" w:line="20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Product Liability and Tort Liability</w:t>
      </w:r>
    </w:p>
    <w:p>
      <w:pPr>
        <w:spacing w:after="0" w:line="86" w:lineRule="exact"/>
        <w:rPr>
          <w:sz w:val="20"/>
          <w:szCs w:val="20"/>
          <w:color w:val="auto"/>
        </w:rPr>
      </w:pPr>
    </w:p>
    <w:p>
      <w:pPr>
        <w:ind w:left="1680" w:right="619" w:firstLine="317"/>
        <w:spacing w:after="0" w:line="256" w:lineRule="auto"/>
        <w:rPr>
          <w:sz w:val="20"/>
          <w:szCs w:val="20"/>
          <w:color w:val="auto"/>
        </w:rPr>
      </w:pPr>
      <w:r>
        <w:rPr>
          <w:rFonts w:ascii="Times New Roman" w:cs="Times New Roman" w:eastAsia="Times New Roman" w:hAnsi="Times New Roman"/>
          <w:sz w:val="13"/>
          <w:szCs w:val="13"/>
          <w:color w:val="auto"/>
        </w:rPr>
        <w:t xml:space="preserve">Pursuant to the </w:t>
      </w:r>
      <w:r>
        <w:rPr>
          <w:rFonts w:ascii="Times New Roman" w:cs="Times New Roman" w:eastAsia="Times New Roman" w:hAnsi="Times New Roman"/>
          <w:sz w:val="13"/>
          <w:szCs w:val="13"/>
          <w:i w:val="1"/>
          <w:iCs w:val="1"/>
          <w:color w:val="auto"/>
        </w:rPr>
        <w:t>Product Quality Law of the PRC</w:t>
      </w:r>
      <w:r>
        <w:rPr>
          <w:rFonts w:ascii="Times New Roman" w:cs="Times New Roman" w:eastAsia="Times New Roman" w:hAnsi="Times New Roman"/>
          <w:sz w:val="13"/>
          <w:szCs w:val="13"/>
          <w:color w:val="auto"/>
        </w:rPr>
        <w:t>, which was promulgated on February 22, 1993 and subsequently amended on July 8, 2000, August 27, 2009 and December 29, 2018, the production or sale of products that do not meet applicable health and safety standards and requirements is prohibited. Products must not pose unreasonable dangers to human or property. Where a defective product causes physical injury to a person or damage to property, the aggrieved party may make a claim for compensation from the producer or the seller of the product. Producers and sellers of non-compliant products may be ordered to cease production and sale of such products, subject to fines and/or revocation of business license. Non-compliant products, as well as earnings attributable to the sales of such products may also be confiscated.</w:t>
      </w:r>
    </w:p>
    <w:p>
      <w:pPr>
        <w:spacing w:after="0" w:line="133" w:lineRule="exact"/>
        <w:rPr>
          <w:sz w:val="20"/>
          <w:szCs w:val="20"/>
          <w:color w:val="auto"/>
        </w:rPr>
      </w:pPr>
    </w:p>
    <w:p>
      <w:pPr>
        <w:ind w:left="1680" w:right="639" w:firstLine="317"/>
        <w:spacing w:after="0" w:line="257" w:lineRule="auto"/>
        <w:rPr>
          <w:sz w:val="20"/>
          <w:szCs w:val="20"/>
          <w:color w:val="auto"/>
        </w:rPr>
      </w:pPr>
      <w:r>
        <w:rPr>
          <w:rFonts w:ascii="Times New Roman" w:cs="Times New Roman" w:eastAsia="Times New Roman" w:hAnsi="Times New Roman"/>
          <w:sz w:val="13"/>
          <w:szCs w:val="13"/>
          <w:color w:val="auto"/>
        </w:rPr>
        <w:t xml:space="preserve">In addition, pursuant to the </w:t>
      </w:r>
      <w:r>
        <w:rPr>
          <w:rFonts w:ascii="Times New Roman" w:cs="Times New Roman" w:eastAsia="Times New Roman" w:hAnsi="Times New Roman"/>
          <w:sz w:val="13"/>
          <w:szCs w:val="13"/>
          <w:i w:val="1"/>
          <w:iCs w:val="1"/>
          <w:color w:val="auto"/>
        </w:rPr>
        <w:t>Tort Law of the PRC</w:t>
      </w:r>
      <w:r>
        <w:rPr>
          <w:rFonts w:ascii="Times New Roman" w:cs="Times New Roman" w:eastAsia="Times New Roman" w:hAnsi="Times New Roman"/>
          <w:sz w:val="13"/>
          <w:szCs w:val="13"/>
          <w:color w:val="auto"/>
        </w:rPr>
        <w:t xml:space="preserve">, promulgated by the SCNPC on December 26, 2009 and taking effect since July 1, 2010, the manufacturer of defective products that cause damage shall bear tort liability. On May 28, 2020, the Third Session of the 13th National People’s Congress passed the Civil Code of the People’s Republic of China, which took effect on January 1, 2021 and replaced the </w:t>
      </w:r>
      <w:r>
        <w:rPr>
          <w:rFonts w:ascii="Times New Roman" w:cs="Times New Roman" w:eastAsia="Times New Roman" w:hAnsi="Times New Roman"/>
          <w:sz w:val="13"/>
          <w:szCs w:val="13"/>
          <w:i w:val="1"/>
          <w:iCs w:val="1"/>
          <w:color w:val="auto"/>
        </w:rPr>
        <w:t>Tort Law of the PRC</w:t>
      </w:r>
      <w:r>
        <w:rPr>
          <w:rFonts w:ascii="Times New Roman" w:cs="Times New Roman" w:eastAsia="Times New Roman" w:hAnsi="Times New Roman"/>
          <w:sz w:val="13"/>
          <w:szCs w:val="13"/>
          <w:color w:val="auto"/>
        </w:rPr>
        <w:t>. Where defects are discovered after the relevant products are put in circulation, the manufacturer and the seller shall promptly adopt remedial measures such as warnings and product recalls, failing which, the manufacturer and the seller will be liable for tort claims.</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94</w:t>
      </w:r>
    </w:p>
    <w:p>
      <w:pPr>
        <w:sectPr>
          <w:pgSz w:w="11900" w:h="16838" w:orient="portrait"/>
          <w:cols w:equalWidth="0" w:num="1">
            <w:col w:w="10159"/>
          </w:cols>
          <w:pgMar w:left="300" w:top="388"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Consumer Rights Protection</w:t>
      </w:r>
    </w:p>
    <w:p>
      <w:pPr>
        <w:spacing w:after="0" w:line="86" w:lineRule="exact"/>
        <w:rPr>
          <w:sz w:val="20"/>
          <w:szCs w:val="20"/>
          <w:color w:val="auto"/>
        </w:rPr>
      </w:pPr>
    </w:p>
    <w:p>
      <w:pPr>
        <w:ind w:left="1680" w:right="559" w:firstLine="317"/>
        <w:spacing w:after="0" w:line="260" w:lineRule="auto"/>
        <w:rPr>
          <w:sz w:val="20"/>
          <w:szCs w:val="20"/>
          <w:color w:val="auto"/>
        </w:rPr>
      </w:pPr>
      <w:r>
        <w:rPr>
          <w:rFonts w:ascii="Times New Roman" w:cs="Times New Roman" w:eastAsia="Times New Roman" w:hAnsi="Times New Roman"/>
          <w:sz w:val="13"/>
          <w:szCs w:val="13"/>
          <w:color w:val="auto"/>
        </w:rPr>
        <w:t xml:space="preserve">Our business is subject to a variety of consumer protection laws, including the </w:t>
      </w:r>
      <w:r>
        <w:rPr>
          <w:rFonts w:ascii="Times New Roman" w:cs="Times New Roman" w:eastAsia="Times New Roman" w:hAnsi="Times New Roman"/>
          <w:sz w:val="13"/>
          <w:szCs w:val="13"/>
          <w:i w:val="1"/>
          <w:iCs w:val="1"/>
          <w:color w:val="auto"/>
        </w:rPr>
        <w:t>PRC Consumer Rights and Interests Protection Law</w:t>
      </w:r>
      <w:r>
        <w:rPr>
          <w:rFonts w:ascii="Times New Roman" w:cs="Times New Roman" w:eastAsia="Times New Roman" w:hAnsi="Times New Roman"/>
          <w:sz w:val="13"/>
          <w:szCs w:val="13"/>
          <w:color w:val="auto"/>
        </w:rPr>
        <w:t>, as amended on October 25, 2013, which imposes stringent obligations on business operators. Failure to comply with these consumer protection laws could subject us to administrative sanctions, such as the issuance of warning, confiscation of income, imposition of fines, order to cease business operations, revocation of business licenses, as well as potential civil and criminal liabilities.</w:t>
      </w:r>
    </w:p>
    <w:p>
      <w:pPr>
        <w:spacing w:after="0" w:line="20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Internet Information Security and Privacy Protection</w:t>
      </w:r>
    </w:p>
    <w:p>
      <w:pPr>
        <w:spacing w:after="0" w:line="86" w:lineRule="exact"/>
        <w:rPr>
          <w:sz w:val="20"/>
          <w:szCs w:val="20"/>
          <w:color w:val="auto"/>
        </w:rPr>
      </w:pPr>
    </w:p>
    <w:p>
      <w:pPr>
        <w:ind w:left="1680" w:right="599" w:firstLine="317"/>
        <w:spacing w:after="0" w:line="252" w:lineRule="auto"/>
        <w:rPr>
          <w:sz w:val="20"/>
          <w:szCs w:val="20"/>
          <w:color w:val="auto"/>
        </w:rPr>
      </w:pPr>
      <w:r>
        <w:rPr>
          <w:rFonts w:ascii="Times New Roman" w:cs="Times New Roman" w:eastAsia="Times New Roman" w:hAnsi="Times New Roman"/>
          <w:sz w:val="13"/>
          <w:szCs w:val="13"/>
          <w:color w:val="auto"/>
        </w:rPr>
        <w:t xml:space="preserve">In November 2016, the SCNPC promulgated the </w:t>
      </w:r>
      <w:r>
        <w:rPr>
          <w:rFonts w:ascii="Times New Roman" w:cs="Times New Roman" w:eastAsia="Times New Roman" w:hAnsi="Times New Roman"/>
          <w:sz w:val="13"/>
          <w:szCs w:val="13"/>
          <w:i w:val="1"/>
          <w:iCs w:val="1"/>
          <w:color w:val="auto"/>
        </w:rPr>
        <w:t>Cyber Security Law of the PRC</w:t>
      </w:r>
      <w:r>
        <w:rPr>
          <w:rFonts w:ascii="Times New Roman" w:cs="Times New Roman" w:eastAsia="Times New Roman" w:hAnsi="Times New Roman"/>
          <w:sz w:val="13"/>
          <w:szCs w:val="13"/>
          <w:color w:val="auto"/>
        </w:rPr>
        <w:t>, or the Cyber Security Law, which became effective on June 1, 2017. The Cyber Security Law requires that a network operator, which includes, among others, internet information services providers, to take technical measures and/or other necessary measures in accordance with applicable laws, regulations and national and industrial standards, to ensure the safe and stable operation of its networks. We are considered an “internet information service provider” as we operate website and mobile application and providing certain internet services mainly through our mobile application. The Cyber Security Law further requires internet information service providers to formulate contingency plans for network security incidents, report to competent departments immediately upon the occurrence of any incident endangering cyber security and take corresponding remedial measures. Internet information service providers are also required to maintain the integrity, confidentiality and availability of network data. The Cyber Security Law reaffirms the basic principles and requirements specified in other existing laws and regulations on personal data protection, such as the requirements on the collection, use, processing, storage and disclosure of personal data, and internet information service providers being required to take technical and other necessary measures to ensure the security of the personal information they have collected and prevent the personal information from being divulged, damaged or lost. Any violation of the Cyber Security Law may subject the internet information service provider like us to warnings, fines, confiscation of illegal gains, revocation of licenses, cancellation of filings, shutdown of websites or criminal liabilities.</w:t>
      </w:r>
    </w:p>
    <w:p>
      <w:pPr>
        <w:spacing w:after="0" w:line="138" w:lineRule="exact"/>
        <w:rPr>
          <w:sz w:val="20"/>
          <w:szCs w:val="20"/>
          <w:color w:val="auto"/>
        </w:rPr>
      </w:pPr>
    </w:p>
    <w:p>
      <w:pPr>
        <w:ind w:left="1680" w:right="619" w:firstLine="317"/>
        <w:spacing w:after="0" w:line="255" w:lineRule="auto"/>
        <w:rPr>
          <w:sz w:val="20"/>
          <w:szCs w:val="20"/>
          <w:color w:val="auto"/>
        </w:rPr>
      </w:pPr>
      <w:r>
        <w:rPr>
          <w:rFonts w:ascii="Times New Roman" w:cs="Times New Roman" w:eastAsia="Times New Roman" w:hAnsi="Times New Roman"/>
          <w:sz w:val="13"/>
          <w:szCs w:val="13"/>
          <w:color w:val="auto"/>
        </w:rPr>
        <w:t xml:space="preserve">The recommended national standard, </w:t>
      </w:r>
      <w:r>
        <w:rPr>
          <w:rFonts w:ascii="Times New Roman" w:cs="Times New Roman" w:eastAsia="Times New Roman" w:hAnsi="Times New Roman"/>
          <w:sz w:val="13"/>
          <w:szCs w:val="13"/>
          <w:i w:val="1"/>
          <w:iCs w:val="1"/>
          <w:color w:val="auto"/>
        </w:rPr>
        <w:t>Information Security Technology Personal Information Security Specification</w:t>
      </w:r>
      <w:r>
        <w:rPr>
          <w:rFonts w:ascii="Times New Roman" w:cs="Times New Roman" w:eastAsia="Times New Roman" w:hAnsi="Times New Roman"/>
          <w:sz w:val="13"/>
          <w:szCs w:val="13"/>
          <w:color w:val="auto"/>
        </w:rPr>
        <w:t xml:space="preserve">, which became effective in October 2020, puts forward specific refinement requirements on the collection, preservation, use, sharing, transfer, and public disclosure of personal information. Although it is not mandatory, in the absence of clear implementation rules and standards for the law on cyber security and other personal information protection, it will be used as the basis for judging and making determinations. On November 28, 2019, The </w:t>
      </w:r>
      <w:r>
        <w:rPr>
          <w:rFonts w:ascii="Times New Roman" w:cs="Times New Roman" w:eastAsia="Times New Roman" w:hAnsi="Times New Roman"/>
          <w:sz w:val="13"/>
          <w:szCs w:val="13"/>
          <w:i w:val="1"/>
          <w:iCs w:val="1"/>
          <w:color w:val="auto"/>
        </w:rPr>
        <w:t>Notice of Identification Method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of Application Illegal Collection and Use of Personal Information </w:t>
      </w:r>
      <w:r>
        <w:rPr>
          <w:rFonts w:ascii="Times New Roman" w:cs="Times New Roman" w:eastAsia="Times New Roman" w:hAnsi="Times New Roman"/>
          <w:sz w:val="13"/>
          <w:szCs w:val="13"/>
          <w:color w:val="auto"/>
        </w:rPr>
        <w:t>was issued, which provides a reference for the identification of illegal collection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use of personal information by mobile apps, and provides guidance for app operators’ self-inspection and self-correction and netizens’ social supervision.</w:t>
      </w:r>
    </w:p>
    <w:p>
      <w:pPr>
        <w:spacing w:after="0" w:line="133" w:lineRule="exact"/>
        <w:rPr>
          <w:sz w:val="20"/>
          <w:szCs w:val="20"/>
          <w:color w:val="auto"/>
        </w:rPr>
      </w:pPr>
    </w:p>
    <w:p>
      <w:pPr>
        <w:ind w:left="1680" w:right="579" w:firstLine="317"/>
        <w:spacing w:after="0" w:line="253" w:lineRule="auto"/>
        <w:rPr>
          <w:sz w:val="20"/>
          <w:szCs w:val="20"/>
          <w:color w:val="auto"/>
        </w:rPr>
      </w:pPr>
      <w:r>
        <w:rPr>
          <w:rFonts w:ascii="Times New Roman" w:cs="Times New Roman" w:eastAsia="Times New Roman" w:hAnsi="Times New Roman"/>
          <w:sz w:val="13"/>
          <w:szCs w:val="13"/>
          <w:color w:val="auto"/>
        </w:rPr>
        <w:t xml:space="preserve">On June 10, 2021, the Standing Committee of the National People’s Congress of China promulgated </w:t>
      </w:r>
      <w:r>
        <w:rPr>
          <w:rFonts w:ascii="Times New Roman" w:cs="Times New Roman" w:eastAsia="Times New Roman" w:hAnsi="Times New Roman"/>
          <w:sz w:val="13"/>
          <w:szCs w:val="13"/>
          <w:i w:val="1"/>
          <w:iCs w:val="1"/>
          <w:color w:val="auto"/>
        </w:rPr>
        <w:t>the Data Security Law of PRC,</w:t>
      </w:r>
      <w:r>
        <w:rPr>
          <w:rFonts w:ascii="Times New Roman" w:cs="Times New Roman" w:eastAsia="Times New Roman" w:hAnsi="Times New Roman"/>
          <w:sz w:val="13"/>
          <w:szCs w:val="13"/>
          <w:color w:val="auto"/>
        </w:rPr>
        <w:t xml:space="preserve"> or Data Security Law, which took effect in September 2021. The Data Security Law sets forth data security and privacy related compliance obligations on entities and individuals carrying out data related activities. The Data Security Law also introduces a data classification and layered protection system based on the importance of data and the degree of impact on national security, public interests or legitimate rights and interests of individuals or organizations when such data is tampered with, destroyed, leaked or illegally acquired or used. In addition, the Data Security Law provides a national security review procedure for those data activities that may affect national security, and imposes export restrictions on certain data and information. According to the PRC National Security Law, the State shall establish institutions and mechanisms for national security review and regulation, and conduct national security review on certain matters that affect or may affect PRC national security, such as key technologies and IT products and services. In early July 2021, regulatory authorities in China launched cybersecurity investigations with regard to several China-based companies that are listed in the United States.</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95</w:t>
      </w:r>
    </w:p>
    <w:p>
      <w:pPr>
        <w:sectPr>
          <w:pgSz w:w="11900" w:h="16838" w:orient="portrait"/>
          <w:cols w:equalWidth="0" w:num="1">
            <w:col w:w="10159"/>
          </w:cols>
          <w:pgMar w:left="300" w:top="388" w:right="1440"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ind w:left="1680" w:right="559" w:firstLine="317"/>
        <w:spacing w:after="0" w:line="255" w:lineRule="auto"/>
        <w:rPr>
          <w:sz w:val="20"/>
          <w:szCs w:val="20"/>
          <w:color w:val="auto"/>
        </w:rPr>
      </w:pPr>
      <w:r>
        <w:rPr>
          <w:rFonts w:ascii="Times New Roman" w:cs="Times New Roman" w:eastAsia="Times New Roman" w:hAnsi="Times New Roman"/>
          <w:sz w:val="13"/>
          <w:szCs w:val="13"/>
          <w:color w:val="auto"/>
        </w:rPr>
        <w:t xml:space="preserve">On July 10, 2021, the CAC released the revised draft of </w:t>
      </w:r>
      <w:r>
        <w:rPr>
          <w:rFonts w:ascii="Times New Roman" w:cs="Times New Roman" w:eastAsia="Times New Roman" w:hAnsi="Times New Roman"/>
          <w:sz w:val="13"/>
          <w:szCs w:val="13"/>
          <w:i w:val="1"/>
          <w:iCs w:val="1"/>
          <w:color w:val="auto"/>
        </w:rPr>
        <w:t>Cybersecurity Review Measures (for public comments)</w:t>
      </w:r>
      <w:r>
        <w:rPr>
          <w:rFonts w:ascii="Times New Roman" w:cs="Times New Roman" w:eastAsia="Times New Roman" w:hAnsi="Times New Roman"/>
          <w:sz w:val="13"/>
          <w:szCs w:val="13"/>
          <w:color w:val="auto"/>
        </w:rPr>
        <w:t xml:space="preserve">. On December 28, 2021, the CAC, NDRC, MIIT, the MPS, the Ministry of National Security, the MOF, the MOFCOM, the People’s Bank of China, the SAMR, the National Radio and Television Administration, the CSRC, the National Administration of State Secrets Protection and the State Cryptography Administration jointly released the </w:t>
      </w:r>
      <w:r>
        <w:rPr>
          <w:rFonts w:ascii="Times New Roman" w:cs="Times New Roman" w:eastAsia="Times New Roman" w:hAnsi="Times New Roman"/>
          <w:sz w:val="13"/>
          <w:szCs w:val="13"/>
          <w:i w:val="1"/>
          <w:iCs w:val="1"/>
          <w:color w:val="auto"/>
        </w:rPr>
        <w:t>Cybersecurity Review Measures</w:t>
      </w:r>
      <w:r>
        <w:rPr>
          <w:rFonts w:ascii="Times New Roman" w:cs="Times New Roman" w:eastAsia="Times New Roman" w:hAnsi="Times New Roman"/>
          <w:sz w:val="13"/>
          <w:szCs w:val="13"/>
          <w:color w:val="auto"/>
        </w:rPr>
        <w:t>, which took effect on February 15, 2022. Pursuant to the Cybersecurity Review Measures, network platform operators with information of over one million users shall be subject to cybersecurity review before listing abroad. The cybersecurity review will evaluate, among others, the risk of critical information infrastructure, core data, important data, or the risk of a large amount of personal information being influenced, controlled or maliciously used by foreign governments after going public, and Cyber information security risk.</w:t>
      </w:r>
    </w:p>
    <w:p>
      <w:pPr>
        <w:spacing w:after="0" w:line="133" w:lineRule="exact"/>
        <w:rPr>
          <w:sz w:val="20"/>
          <w:szCs w:val="20"/>
          <w:color w:val="auto"/>
        </w:rPr>
      </w:pPr>
    </w:p>
    <w:p>
      <w:pPr>
        <w:ind w:left="1680" w:right="579" w:firstLine="317"/>
        <w:spacing w:after="0" w:line="255" w:lineRule="auto"/>
        <w:rPr>
          <w:sz w:val="20"/>
          <w:szCs w:val="20"/>
          <w:color w:val="auto"/>
        </w:rPr>
      </w:pPr>
      <w:r>
        <w:rPr>
          <w:rFonts w:ascii="Times New Roman" w:cs="Times New Roman" w:eastAsia="Times New Roman" w:hAnsi="Times New Roman"/>
          <w:sz w:val="13"/>
          <w:szCs w:val="13"/>
          <w:color w:val="auto"/>
        </w:rPr>
        <w:t xml:space="preserve">On August 17, 2021, the State Council promulgated the </w:t>
      </w:r>
      <w:r>
        <w:rPr>
          <w:rFonts w:ascii="Times New Roman" w:cs="Times New Roman" w:eastAsia="Times New Roman" w:hAnsi="Times New Roman"/>
          <w:sz w:val="13"/>
          <w:szCs w:val="13"/>
          <w:i w:val="1"/>
          <w:iCs w:val="1"/>
          <w:color w:val="auto"/>
        </w:rPr>
        <w:t>Regulations on the Protection of the Security of Critical Information Infrastructure</w:t>
      </w:r>
      <w:r>
        <w:rPr>
          <w:rFonts w:ascii="Times New Roman" w:cs="Times New Roman" w:eastAsia="Times New Roman" w:hAnsi="Times New Roman"/>
          <w:sz w:val="13"/>
          <w:szCs w:val="13"/>
          <w:color w:val="auto"/>
        </w:rPr>
        <w:t>, or the CIIO Regulations, which took effect in September 2021. The CIIO Regulations supplement and specify the provisions on the security of critical information infrastructure as stated in the Cyber Security Law. The CIIO Regulations provide, among others, that protection department of certain industry or sector shall notify the operator of the critical information infrastructure in time after the identification of certain critical information infrastructure. According to the CIIO Regulations, operators of certain industries or sectors that may endanger national security, people’s livelihood and public interest in case of damage, function loss or data leakage may be identified as critical information infrastructure operators by the CAC or the respective industrial regulatory authorities once they meet the identification standards promulgated by the governmental authorities.</w:t>
      </w:r>
    </w:p>
    <w:p>
      <w:pPr>
        <w:spacing w:after="0" w:line="133" w:lineRule="exact"/>
        <w:rPr>
          <w:sz w:val="20"/>
          <w:szCs w:val="20"/>
          <w:color w:val="auto"/>
        </w:rPr>
      </w:pPr>
    </w:p>
    <w:p>
      <w:pPr>
        <w:ind w:left="1680" w:right="599" w:firstLine="317"/>
        <w:spacing w:after="0" w:line="255" w:lineRule="auto"/>
        <w:rPr>
          <w:sz w:val="20"/>
          <w:szCs w:val="20"/>
          <w:color w:val="auto"/>
        </w:rPr>
      </w:pPr>
      <w:r>
        <w:rPr>
          <w:rFonts w:ascii="Times New Roman" w:cs="Times New Roman" w:eastAsia="Times New Roman" w:hAnsi="Times New Roman"/>
          <w:sz w:val="13"/>
          <w:szCs w:val="13"/>
          <w:color w:val="auto"/>
        </w:rPr>
        <w:t xml:space="preserve">On August 20, 2021, the Standing Committee of the National People’s Congress of China promulgated the </w:t>
      </w:r>
      <w:r>
        <w:rPr>
          <w:rFonts w:ascii="Times New Roman" w:cs="Times New Roman" w:eastAsia="Times New Roman" w:hAnsi="Times New Roman"/>
          <w:sz w:val="13"/>
          <w:szCs w:val="13"/>
          <w:i w:val="1"/>
          <w:iCs w:val="1"/>
          <w:color w:val="auto"/>
        </w:rPr>
        <w:t>Personal Information Protection Law</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of the PRC</w:t>
      </w:r>
      <w:r>
        <w:rPr>
          <w:rFonts w:ascii="Times New Roman" w:cs="Times New Roman" w:eastAsia="Times New Roman" w:hAnsi="Times New Roman"/>
          <w:sz w:val="13"/>
          <w:szCs w:val="13"/>
          <w:color w:val="auto"/>
        </w:rPr>
        <w:t>, or the Personal Information Protection Law, which took effect in November 2021. As the first systematic and comprehensive law</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specifically for the protection of personal information in the PRC, the Personal Information Protection Law provides, among others, that (i) an individual’s separate consent shall be obtained before operation of such individual’s sensitive personal information, e.g., biometric characteristics and individual location tracking, (ii) personal information operators operating sensitive personal information shall notify individuals of the necessity of such operations and the influence on the individuals’ rights, (iii) if personal information operators reject individuals’ requests to exercise their rights, individuals may file a lawsuit with a People’s Court.</w:t>
      </w:r>
    </w:p>
    <w:p>
      <w:pPr>
        <w:spacing w:after="0" w:line="135" w:lineRule="exact"/>
        <w:rPr>
          <w:sz w:val="20"/>
          <w:szCs w:val="20"/>
          <w:color w:val="auto"/>
        </w:rPr>
      </w:pPr>
    </w:p>
    <w:p>
      <w:pPr>
        <w:ind w:left="1680" w:right="559" w:firstLine="317"/>
        <w:spacing w:after="0" w:line="264" w:lineRule="auto"/>
        <w:rPr>
          <w:sz w:val="20"/>
          <w:szCs w:val="20"/>
          <w:color w:val="auto"/>
        </w:rPr>
      </w:pPr>
      <w:r>
        <w:rPr>
          <w:rFonts w:ascii="Times New Roman" w:cs="Times New Roman" w:eastAsia="Times New Roman" w:hAnsi="Times New Roman"/>
          <w:sz w:val="13"/>
          <w:szCs w:val="13"/>
          <w:color w:val="auto"/>
        </w:rPr>
        <w:t>Furthermore, on May 28, 2020, the National People’s Congress of the PRC approved the PRC Civil Code, which came into effect on January 1, 2021. Pursuant to the PRC Civil Code, the collection, storage, use, process, transmission, provision and disclosure of personal information should follow the principles of legitimacy, properness and necessity.</w:t>
      </w:r>
    </w:p>
    <w:p>
      <w:pPr>
        <w:spacing w:after="0" w:line="127" w:lineRule="exact"/>
        <w:rPr>
          <w:sz w:val="20"/>
          <w:szCs w:val="20"/>
          <w:color w:val="auto"/>
        </w:rPr>
      </w:pPr>
    </w:p>
    <w:p>
      <w:pPr>
        <w:ind w:left="1680" w:right="579" w:firstLine="317"/>
        <w:spacing w:after="0" w:line="254" w:lineRule="auto"/>
        <w:rPr>
          <w:sz w:val="20"/>
          <w:szCs w:val="20"/>
          <w:color w:val="auto"/>
        </w:rPr>
      </w:pPr>
      <w:r>
        <w:rPr>
          <w:rFonts w:ascii="Times New Roman" w:cs="Times New Roman" w:eastAsia="Times New Roman" w:hAnsi="Times New Roman"/>
          <w:sz w:val="13"/>
          <w:szCs w:val="13"/>
          <w:color w:val="auto"/>
        </w:rPr>
        <w:t xml:space="preserve">On October 29, 2021, the CAC issued the </w:t>
      </w:r>
      <w:r>
        <w:rPr>
          <w:rFonts w:ascii="Times New Roman" w:cs="Times New Roman" w:eastAsia="Times New Roman" w:hAnsi="Times New Roman"/>
          <w:sz w:val="13"/>
          <w:szCs w:val="13"/>
          <w:i w:val="1"/>
          <w:iCs w:val="1"/>
          <w:color w:val="auto"/>
        </w:rPr>
        <w:t>Measures for the Security Assessment of Data Exit (Draft for Comment)</w:t>
      </w:r>
      <w:r>
        <w:rPr>
          <w:rFonts w:ascii="Times New Roman" w:cs="Times New Roman" w:eastAsia="Times New Roman" w:hAnsi="Times New Roman"/>
          <w:sz w:val="13"/>
          <w:szCs w:val="13"/>
          <w:color w:val="auto"/>
        </w:rPr>
        <w:t>, which stipulates that data processors who provide overseas the important data collected and generated during operations within the PRC and personal information that shall be subject to security assessment shall conduct a security assessment. Furthermore, if the data processor provides data overseas and meets one of the following circumstances, it shall declare the security assessment: (i) personal information and important data collected and generated by operators of critical information infrastructure; (ii) the data contains important data; (iii) personal information processors who have processed personal information of one million people provide personal information abroad; (iv) accumulatively provided personal information of more than one hundred thousand people or sensitive personal information of more than ten thousand people abroad; and (v) other circumstances as specified by the CAC. The assessment results of the data exit are valid for two years.</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96</w:t>
      </w:r>
    </w:p>
    <w:p>
      <w:pPr>
        <w:sectPr>
          <w:pgSz w:w="11900" w:h="16838" w:orient="portrait"/>
          <w:cols w:equalWidth="0" w:num="1">
            <w:col w:w="10159"/>
          </w:cols>
          <w:pgMar w:left="300" w:top="388" w:right="14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ind w:left="1680" w:right="559" w:firstLine="317"/>
        <w:spacing w:after="0" w:line="251" w:lineRule="auto"/>
        <w:rPr>
          <w:sz w:val="20"/>
          <w:szCs w:val="20"/>
          <w:color w:val="auto"/>
        </w:rPr>
      </w:pPr>
      <w:r>
        <w:rPr>
          <w:rFonts w:ascii="Times New Roman" w:cs="Times New Roman" w:eastAsia="Times New Roman" w:hAnsi="Times New Roman"/>
          <w:sz w:val="13"/>
          <w:szCs w:val="13"/>
          <w:color w:val="auto"/>
        </w:rPr>
        <w:t xml:space="preserve">In addition, on November 14, 2021, </w:t>
      </w:r>
      <w:r>
        <w:rPr>
          <w:rFonts w:ascii="Times New Roman" w:cs="Times New Roman" w:eastAsia="Times New Roman" w:hAnsi="Times New Roman"/>
          <w:sz w:val="13"/>
          <w:szCs w:val="13"/>
          <w:i w:val="1"/>
          <w:iCs w:val="1"/>
          <w:color w:val="auto"/>
        </w:rPr>
        <w:t>the Administration Regulations on Cyber Data Security (Draft for Comments)</w:t>
      </w:r>
      <w:r>
        <w:rPr>
          <w:rFonts w:ascii="Times New Roman" w:cs="Times New Roman" w:eastAsia="Times New Roman" w:hAnsi="Times New Roman"/>
          <w:sz w:val="13"/>
          <w:szCs w:val="13"/>
          <w:color w:val="auto"/>
        </w:rPr>
        <w:t xml:space="preserve"> was proposed by the CAC for public comments until December 13, 2021. It sets out general guidelines, protection of personal information, security of important data, security management of cross-border data transfer, obligations of internet platform operators, supervision and management, and legal liabilities. Key requirements include: data processors should be in compliance with the requirements of multi-level cybersecurity protection, strengthen the data processing system, data transmission network, data storage environment and other security protection, processing of important data systems in principle should meet the third level or above of multi-level cybersecurity protection and critical information infrastructure security protection requirements; data processors should establish a data security emergency response mechanism, and promptly start the emergency response mechanism in the event of a data security incident; the detailed rules for data processors to apply when providing personal information to third parties, or sharing, trading or entrusting important data to third parties; the scenarios of cybersecurity review which shall be subject to Cybersecurity Review Measures; the definitions of important data and operators’ security protection obligations; the detailed rules on cross-border data transfer which added missing details to the Personal Information Protection Law; data processors processing personal information of more than one million people shall also comply with the regulations for processing of important data; data processors dealing with important data or listing overseas (including Hong Kong) should carry out an annual data security assessment by themselves or by entrusting data security service agencies, and each year before January 31, data security assessment report for the previous year shall be submitted to the districted city level cyberspace administration department. The draft measures reiterate that data processors which process the personal information of at least one million users must apply for a cybersecurity review if they plan listing of companies in foreign countries, and the draft measures further require the data processors that carry out the following activities to apply for cybersecurity review in accordance with the relevant laws and regulations: (i) the merger, reorganization or division of internet platform operators that have gathered a large number of data resources related to national security, economic development and public interests affects or may affect national security; (ii) the listing of the data processor in Hong Kong affects or may affect the national security; and (iii) other data processing activities that affect or may affect national security. In addition, in one of the following situations, data processors shall delete or anonymize personal information within 15 business days: (i) the purpose of processing personal information has been achieved or the purpose of processing is no longer needed; (ii) the storage term agreed with the users or specified in the personal information processing rules has expired; (iii) the service has been terminated or the account has been canceled by the individual; or (iv) unnecessary personal information or personal information unavoidably collected due to the use of automatic data collection technology but without the consent of the individual. Any failure to comply with such requirements may subject us to, among others, suspension of services, fines, revoking relevant business permits or business licenses and penalties. Since the revised draft has not been formally adopted as of the date of the document, the revised draft (especially its operative provisions) and its anticipated adoption or effective date are subject to further changes with substantial uncertainty.</w:t>
      </w:r>
    </w:p>
    <w:p>
      <w:pPr>
        <w:spacing w:after="0" w:line="136" w:lineRule="exact"/>
        <w:rPr>
          <w:sz w:val="20"/>
          <w:szCs w:val="20"/>
          <w:color w:val="auto"/>
        </w:rPr>
      </w:pPr>
    </w:p>
    <w:p>
      <w:pPr>
        <w:ind w:left="1680" w:right="619" w:firstLine="317"/>
        <w:spacing w:after="0" w:line="282" w:lineRule="auto"/>
        <w:rPr>
          <w:sz w:val="20"/>
          <w:szCs w:val="20"/>
          <w:color w:val="auto"/>
        </w:rPr>
      </w:pPr>
      <w:r>
        <w:rPr>
          <w:rFonts w:ascii="Times New Roman" w:cs="Times New Roman" w:eastAsia="Times New Roman" w:hAnsi="Times New Roman"/>
          <w:sz w:val="13"/>
          <w:szCs w:val="13"/>
          <w:color w:val="auto"/>
        </w:rPr>
        <w:t xml:space="preserve">However, the relationship between the </w:t>
      </w:r>
      <w:r>
        <w:rPr>
          <w:rFonts w:ascii="Times New Roman" w:cs="Times New Roman" w:eastAsia="Times New Roman" w:hAnsi="Times New Roman"/>
          <w:sz w:val="13"/>
          <w:szCs w:val="13"/>
          <w:i w:val="1"/>
          <w:iCs w:val="1"/>
          <w:color w:val="auto"/>
        </w:rPr>
        <w:t>Data Security Law of the PRC</w:t>
      </w:r>
      <w:r>
        <w:rPr>
          <w:rFonts w:ascii="Times New Roman" w:cs="Times New Roman" w:eastAsia="Times New Roman" w:hAnsi="Times New Roman"/>
          <w:sz w:val="13"/>
          <w:szCs w:val="13"/>
          <w:color w:val="auto"/>
        </w:rPr>
        <w:t xml:space="preserve"> and the implemented </w:t>
      </w:r>
      <w:r>
        <w:rPr>
          <w:rFonts w:ascii="Times New Roman" w:cs="Times New Roman" w:eastAsia="Times New Roman" w:hAnsi="Times New Roman"/>
          <w:sz w:val="13"/>
          <w:szCs w:val="13"/>
          <w:i w:val="1"/>
          <w:iCs w:val="1"/>
          <w:color w:val="auto"/>
        </w:rPr>
        <w:t>National Security Law of the PRC, the Cyber Security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Law of the PRC</w:t>
      </w:r>
      <w:r>
        <w:rPr>
          <w:rFonts w:ascii="Times New Roman" w:cs="Times New Roman" w:eastAsia="Times New Roman" w:hAnsi="Times New Roman"/>
          <w:sz w:val="13"/>
          <w:szCs w:val="13"/>
          <w:color w:val="auto"/>
        </w:rPr>
        <w:t>, the</w:t>
      </w:r>
      <w:r>
        <w:rPr>
          <w:rFonts w:ascii="Times New Roman" w:cs="Times New Roman" w:eastAsia="Times New Roman" w:hAnsi="Times New Roman"/>
          <w:sz w:val="13"/>
          <w:szCs w:val="13"/>
          <w:i w:val="1"/>
          <w:iCs w:val="1"/>
          <w:color w:val="auto"/>
        </w:rPr>
        <w:t xml:space="preserve"> Confidentiality Law of the PRC </w:t>
      </w:r>
      <w:r>
        <w:rPr>
          <w:rFonts w:ascii="Times New Roman" w:cs="Times New Roman" w:eastAsia="Times New Roman" w:hAnsi="Times New Roman"/>
          <w:sz w:val="13"/>
          <w:szCs w:val="13"/>
          <w:color w:val="auto"/>
        </w:rPr>
        <w:t>and the</w:t>
      </w:r>
      <w:r>
        <w:rPr>
          <w:rFonts w:ascii="Times New Roman" w:cs="Times New Roman" w:eastAsia="Times New Roman" w:hAnsi="Times New Roman"/>
          <w:sz w:val="13"/>
          <w:szCs w:val="13"/>
          <w:i w:val="1"/>
          <w:iCs w:val="1"/>
          <w:color w:val="auto"/>
        </w:rPr>
        <w:t xml:space="preserve"> Personal Information Protection Law of the PRC </w:t>
      </w:r>
      <w:r>
        <w:rPr>
          <w:rFonts w:ascii="Times New Roman" w:cs="Times New Roman" w:eastAsia="Times New Roman" w:hAnsi="Times New Roman"/>
          <w:sz w:val="13"/>
          <w:szCs w:val="13"/>
          <w:color w:val="auto"/>
        </w:rPr>
        <w:t>needs to be carefully clarified.</w:t>
      </w:r>
    </w:p>
    <w:p>
      <w:pPr>
        <w:spacing w:after="0" w:line="19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Intellectual Property Rights</w:t>
      </w:r>
    </w:p>
    <w:p>
      <w:pPr>
        <w:spacing w:after="0" w:line="8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Patent Law</w:t>
      </w:r>
    </w:p>
    <w:p>
      <w:pPr>
        <w:spacing w:after="0" w:line="86" w:lineRule="exact"/>
        <w:rPr>
          <w:sz w:val="20"/>
          <w:szCs w:val="20"/>
          <w:color w:val="auto"/>
        </w:rPr>
      </w:pPr>
    </w:p>
    <w:p>
      <w:pPr>
        <w:ind w:left="1680" w:right="639" w:firstLine="317"/>
        <w:spacing w:after="0" w:line="256" w:lineRule="auto"/>
        <w:rPr>
          <w:sz w:val="20"/>
          <w:szCs w:val="20"/>
          <w:color w:val="auto"/>
        </w:rPr>
      </w:pPr>
      <w:r>
        <w:rPr>
          <w:rFonts w:ascii="Times New Roman" w:cs="Times New Roman" w:eastAsia="Times New Roman" w:hAnsi="Times New Roman"/>
          <w:sz w:val="13"/>
          <w:szCs w:val="13"/>
          <w:color w:val="auto"/>
        </w:rPr>
        <w:t xml:space="preserve">According to the </w:t>
      </w:r>
      <w:r>
        <w:rPr>
          <w:rFonts w:ascii="Times New Roman" w:cs="Times New Roman" w:eastAsia="Times New Roman" w:hAnsi="Times New Roman"/>
          <w:sz w:val="13"/>
          <w:szCs w:val="13"/>
          <w:i w:val="1"/>
          <w:iCs w:val="1"/>
          <w:color w:val="auto"/>
        </w:rPr>
        <w:t>Patent Law of the PRC</w:t>
      </w:r>
      <w:r>
        <w:rPr>
          <w:rFonts w:ascii="Times New Roman" w:cs="Times New Roman" w:eastAsia="Times New Roman" w:hAnsi="Times New Roman"/>
          <w:sz w:val="13"/>
          <w:szCs w:val="13"/>
          <w:color w:val="auto"/>
        </w:rPr>
        <w:t xml:space="preserve"> (as amended in 1992, 2000, 2008 and 2020), or the Patent Law, the State Intellectual Property Office is responsible for administering patent laws in the PRC. The provincial, autonomous region and municipal level patent administration departments are responsible for the administration of patent laws within their respective jurisdictions. The Chinese patent system adopts a first-to-file principle, which means that when more than one person files patent applications with respect to the same invention, the person who files the application first will obtain the patent of the invention. To be patentable, an invention or a utility model must meet three criteria: novelty, inventiveness and practicability. A patent is valid for twenty years in the case of an invention, ten years in the case of utility models and fifteen years in the case of designs.</w:t>
      </w:r>
    </w:p>
    <w:p>
      <w:pPr>
        <w:spacing w:after="0" w:line="20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Regulations on Copyright</w:t>
      </w:r>
    </w:p>
    <w:p>
      <w:pPr>
        <w:spacing w:after="0" w:line="86" w:lineRule="exact"/>
        <w:rPr>
          <w:sz w:val="20"/>
          <w:szCs w:val="20"/>
          <w:color w:val="auto"/>
        </w:rPr>
      </w:pPr>
    </w:p>
    <w:p>
      <w:pPr>
        <w:ind w:left="1680" w:right="539" w:firstLine="317"/>
        <w:spacing w:after="0" w:line="253" w:lineRule="auto"/>
        <w:rPr>
          <w:sz w:val="20"/>
          <w:szCs w:val="20"/>
          <w:color w:val="auto"/>
        </w:rPr>
      </w:pPr>
      <w:r>
        <w:rPr>
          <w:rFonts w:ascii="Times New Roman" w:cs="Times New Roman" w:eastAsia="Times New Roman" w:hAnsi="Times New Roman"/>
          <w:sz w:val="13"/>
          <w:szCs w:val="13"/>
          <w:color w:val="auto"/>
        </w:rPr>
        <w:t xml:space="preserve">The </w:t>
      </w:r>
      <w:r>
        <w:rPr>
          <w:rFonts w:ascii="Times New Roman" w:cs="Times New Roman" w:eastAsia="Times New Roman" w:hAnsi="Times New Roman"/>
          <w:sz w:val="13"/>
          <w:szCs w:val="13"/>
          <w:i w:val="1"/>
          <w:iCs w:val="1"/>
          <w:color w:val="auto"/>
        </w:rPr>
        <w:t>Copyright Law of the PRC</w:t>
      </w:r>
      <w:r>
        <w:rPr>
          <w:rFonts w:ascii="Times New Roman" w:cs="Times New Roman" w:eastAsia="Times New Roman" w:hAnsi="Times New Roman"/>
          <w:sz w:val="13"/>
          <w:szCs w:val="13"/>
          <w:color w:val="auto"/>
        </w:rPr>
        <w:t xml:space="preserve">, or the Copyright Law, which took effect on June 1, 1991 and was amended in 2001, 2010 and 2020, provides that Chinese citizens, legal persons, or other organizations shall, whether published or not, own copyright in their copyrightable works, which include, among others, works of literature, art, natural science, social science, engineering technology and computer software. Copyright owners enjoy certain legal rights, including right of publication, right of authorship and right of reproduction. The Copyright Law also extends copyright protection to internet activities, products disseminated over the internet and software products. In addition, the Copyright Law provides for a voluntary registration system administered by the China Copyright Protection Center, or the CPCC. According to the Copyright Law, an infringer of the copyrights shall be subject to various civil liabilities, which include ceasing infringement activities, making apology to the copyright owners and compensating the copyright owners for his/her loss. Infringers of copyright may also be subject to fines and/or administrative or criminal liabilities in severe situations. In order to further implement the Regulations on Computer Software Protection, the National Copyright Administration issued the </w:t>
      </w:r>
      <w:r>
        <w:rPr>
          <w:rFonts w:ascii="Times New Roman" w:cs="Times New Roman" w:eastAsia="Times New Roman" w:hAnsi="Times New Roman"/>
          <w:sz w:val="13"/>
          <w:szCs w:val="13"/>
          <w:i w:val="1"/>
          <w:iCs w:val="1"/>
          <w:color w:val="auto"/>
        </w:rPr>
        <w:t>Measures for the Registration of</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Computer Software Copyright </w:t>
      </w:r>
      <w:r>
        <w:rPr>
          <w:rFonts w:ascii="Times New Roman" w:cs="Times New Roman" w:eastAsia="Times New Roman" w:hAnsi="Times New Roman"/>
          <w:sz w:val="13"/>
          <w:szCs w:val="13"/>
          <w:color w:val="auto"/>
        </w:rPr>
        <w:t>on February 20, 2002, which specify detailed procedures and requirements with respect to the registration of software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copyrights.</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97</w:t>
      </w:r>
    </w:p>
    <w:p>
      <w:pPr>
        <w:sectPr>
          <w:pgSz w:w="11900" w:h="16838" w:orient="portrait"/>
          <w:cols w:equalWidth="0" w:num="1">
            <w:col w:w="10159"/>
          </w:cols>
          <w:pgMar w:left="300" w:top="388" w:right="144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1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20" w:lineRule="exact"/>
        <w:rPr>
          <w:sz w:val="20"/>
          <w:szCs w:val="20"/>
          <w:color w:val="auto"/>
        </w:rPr>
      </w:pPr>
    </w:p>
    <w:p>
      <w:pPr>
        <w:ind w:left="1680" w:right="639" w:firstLine="317"/>
        <w:spacing w:after="0" w:line="260" w:lineRule="auto"/>
        <w:rPr>
          <w:sz w:val="20"/>
          <w:szCs w:val="20"/>
          <w:color w:val="auto"/>
        </w:rPr>
      </w:pPr>
      <w:r>
        <w:rPr>
          <w:rFonts w:ascii="Times New Roman" w:cs="Times New Roman" w:eastAsia="Times New Roman" w:hAnsi="Times New Roman"/>
          <w:sz w:val="13"/>
          <w:szCs w:val="13"/>
          <w:color w:val="auto"/>
        </w:rPr>
        <w:t xml:space="preserve">Pursuant to the </w:t>
      </w:r>
      <w:r>
        <w:rPr>
          <w:rFonts w:ascii="Times New Roman" w:cs="Times New Roman" w:eastAsia="Times New Roman" w:hAnsi="Times New Roman"/>
          <w:sz w:val="13"/>
          <w:szCs w:val="13"/>
          <w:i w:val="1"/>
          <w:iCs w:val="1"/>
          <w:color w:val="auto"/>
        </w:rPr>
        <w:t>Computer Software Copyright Protection Regulations</w:t>
      </w:r>
      <w:r>
        <w:rPr>
          <w:rFonts w:ascii="Times New Roman" w:cs="Times New Roman" w:eastAsia="Times New Roman" w:hAnsi="Times New Roman"/>
          <w:sz w:val="13"/>
          <w:szCs w:val="13"/>
          <w:color w:val="auto"/>
        </w:rPr>
        <w:t xml:space="preserve"> promulgated by the State Council on December 20, 2001 and amended on January 30, 2013, software copyright owner may complete registration formalities with a software registration authority recognized by the State Council’s copyright administrative department. The software copyright owner may authorize others to exercise that copyright, and is entitled to receive remuneration.</w:t>
      </w:r>
    </w:p>
    <w:p>
      <w:pPr>
        <w:spacing w:after="0" w:line="20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Trademark Law</w:t>
      </w:r>
    </w:p>
    <w:p>
      <w:pPr>
        <w:spacing w:after="0" w:line="86" w:lineRule="exact"/>
        <w:rPr>
          <w:sz w:val="20"/>
          <w:szCs w:val="20"/>
          <w:color w:val="auto"/>
        </w:rPr>
      </w:pPr>
    </w:p>
    <w:p>
      <w:pPr>
        <w:ind w:left="1680" w:right="699" w:firstLine="317"/>
        <w:spacing w:after="0" w:line="276" w:lineRule="auto"/>
        <w:rPr>
          <w:sz w:val="20"/>
          <w:szCs w:val="20"/>
          <w:color w:val="auto"/>
        </w:rPr>
      </w:pPr>
      <w:r>
        <w:rPr>
          <w:rFonts w:ascii="Times New Roman" w:cs="Times New Roman" w:eastAsia="Times New Roman" w:hAnsi="Times New Roman"/>
          <w:sz w:val="12"/>
          <w:szCs w:val="12"/>
          <w:color w:val="auto"/>
        </w:rPr>
        <w:t xml:space="preserve">Trademarks are protected by the </w:t>
      </w:r>
      <w:r>
        <w:rPr>
          <w:rFonts w:ascii="Times New Roman" w:cs="Times New Roman" w:eastAsia="Times New Roman" w:hAnsi="Times New Roman"/>
          <w:sz w:val="12"/>
          <w:szCs w:val="12"/>
          <w:i w:val="1"/>
          <w:iCs w:val="1"/>
          <w:color w:val="auto"/>
        </w:rPr>
        <w:t>Trademark Law of the PRC</w:t>
      </w:r>
      <w:r>
        <w:rPr>
          <w:rFonts w:ascii="Times New Roman" w:cs="Times New Roman" w:eastAsia="Times New Roman" w:hAnsi="Times New Roman"/>
          <w:sz w:val="12"/>
          <w:szCs w:val="12"/>
          <w:color w:val="auto"/>
        </w:rPr>
        <w:t xml:space="preserve"> which was adopted on August 23, 1982 and subsequently amended in 1993, 2001, 2013 and 2019 (to take effect on November 1, 2019) as well as by the </w:t>
      </w:r>
      <w:r>
        <w:rPr>
          <w:rFonts w:ascii="Times New Roman" w:cs="Times New Roman" w:eastAsia="Times New Roman" w:hAnsi="Times New Roman"/>
          <w:sz w:val="12"/>
          <w:szCs w:val="12"/>
          <w:i w:val="1"/>
          <w:iCs w:val="1"/>
          <w:color w:val="auto"/>
        </w:rPr>
        <w:t>Implementation Regulations of the PRC Trademark Law</w:t>
      </w:r>
      <w:r>
        <w:rPr>
          <w:rFonts w:ascii="Times New Roman" w:cs="Times New Roman" w:eastAsia="Times New Roman" w:hAnsi="Times New Roman"/>
          <w:sz w:val="12"/>
          <w:szCs w:val="12"/>
          <w:color w:val="auto"/>
        </w:rPr>
        <w:t xml:space="preserve"> adopted by the State Council in 2002 and as most recently amended on April 29, 2014. The Trademark Office under the State Administration for Industry and Commerce takes charge of trademark registrations. The Trademark Office grants a ten-year term to registered trademarks which term may be renewed for another ten-year period upon request by the trademark owner. A trademark registrant may license its registered trademarks to another party by entering into trademark license agreements, which must be filed with the Trademark Office for its record. As with trademark registrations, the Trademark Law has adopted a first-to-file principle. If a trademark applied for is identical or similar to another trademark which has already been registered or subject to a preliminary examination and approval for use on the same or similar kinds of products or services, such trademark application may be rejected. Any person applying for the registration of a trademark may not injure existing trademark rights first obtained by others, nor may any person register in advance a trademark that has already been used by another party and has already gained a “sufficient degree of reputation” through such party’s use.</w:t>
      </w:r>
    </w:p>
    <w:p>
      <w:pPr>
        <w:spacing w:after="0" w:line="20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Regulations on Domain Names</w:t>
      </w:r>
    </w:p>
    <w:p>
      <w:pPr>
        <w:spacing w:after="0" w:line="86" w:lineRule="exact"/>
        <w:rPr>
          <w:sz w:val="20"/>
          <w:szCs w:val="20"/>
          <w:color w:val="auto"/>
        </w:rPr>
      </w:pPr>
    </w:p>
    <w:p>
      <w:pPr>
        <w:ind w:left="1680" w:right="559" w:firstLine="317"/>
        <w:spacing w:after="0" w:line="256" w:lineRule="auto"/>
        <w:rPr>
          <w:sz w:val="20"/>
          <w:szCs w:val="20"/>
          <w:color w:val="auto"/>
        </w:rPr>
      </w:pPr>
      <w:r>
        <w:rPr>
          <w:rFonts w:ascii="Times New Roman" w:cs="Times New Roman" w:eastAsia="Times New Roman" w:hAnsi="Times New Roman"/>
          <w:sz w:val="13"/>
          <w:szCs w:val="13"/>
          <w:color w:val="auto"/>
        </w:rPr>
        <w:t xml:space="preserve">The MIIT promulgated the </w:t>
      </w:r>
      <w:r>
        <w:rPr>
          <w:rFonts w:ascii="Times New Roman" w:cs="Times New Roman" w:eastAsia="Times New Roman" w:hAnsi="Times New Roman"/>
          <w:sz w:val="13"/>
          <w:szCs w:val="13"/>
          <w:i w:val="1"/>
          <w:iCs w:val="1"/>
          <w:color w:val="auto"/>
        </w:rPr>
        <w:t>Measures on Administration of Internet Domain Names</w:t>
      </w:r>
      <w:r>
        <w:rPr>
          <w:rFonts w:ascii="Times New Roman" w:cs="Times New Roman" w:eastAsia="Times New Roman" w:hAnsi="Times New Roman"/>
          <w:sz w:val="13"/>
          <w:szCs w:val="13"/>
          <w:color w:val="auto"/>
        </w:rPr>
        <w:t xml:space="preserve">, or the Domain Name Measures, on August 24, 2017, which took effect on November 1, 2017 and replaced the </w:t>
      </w:r>
      <w:r>
        <w:rPr>
          <w:rFonts w:ascii="Times New Roman" w:cs="Times New Roman" w:eastAsia="Times New Roman" w:hAnsi="Times New Roman"/>
          <w:sz w:val="13"/>
          <w:szCs w:val="13"/>
          <w:i w:val="1"/>
          <w:iCs w:val="1"/>
          <w:color w:val="auto"/>
        </w:rPr>
        <w:t>Administrative Measures on China Internet Domain Name</w:t>
      </w:r>
      <w:r>
        <w:rPr>
          <w:rFonts w:ascii="Times New Roman" w:cs="Times New Roman" w:eastAsia="Times New Roman" w:hAnsi="Times New Roman"/>
          <w:sz w:val="13"/>
          <w:szCs w:val="13"/>
          <w:color w:val="auto"/>
        </w:rPr>
        <w:t>s promulgated by the MIIT on November 5, 2004. According to the Domain Name Measures, the MIIT is in charge of the administration of PRC internet domain names. The domain name registrations follow a first-to-file principle. Applicants for registration of domain names must provide the true, accurate and complete information of their identities to domain name registration service institutions. The applicants will become the holders of such domain names upon the completion of the registration procedures.</w:t>
      </w:r>
    </w:p>
    <w:p>
      <w:pPr>
        <w:spacing w:after="0" w:line="20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Foreign Investment</w:t>
      </w:r>
    </w:p>
    <w:p>
      <w:pPr>
        <w:spacing w:after="0" w:line="8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The Foreign Investment Law</w:t>
      </w:r>
    </w:p>
    <w:p>
      <w:pPr>
        <w:spacing w:after="0" w:line="86" w:lineRule="exact"/>
        <w:rPr>
          <w:sz w:val="20"/>
          <w:szCs w:val="20"/>
          <w:color w:val="auto"/>
        </w:rPr>
      </w:pPr>
    </w:p>
    <w:p>
      <w:pPr>
        <w:ind w:left="1680" w:right="639" w:firstLine="317"/>
        <w:spacing w:after="0" w:line="255" w:lineRule="auto"/>
        <w:rPr>
          <w:sz w:val="20"/>
          <w:szCs w:val="20"/>
          <w:color w:val="auto"/>
        </w:rPr>
      </w:pPr>
      <w:r>
        <w:rPr>
          <w:rFonts w:ascii="Times New Roman" w:cs="Times New Roman" w:eastAsia="Times New Roman" w:hAnsi="Times New Roman"/>
          <w:sz w:val="13"/>
          <w:szCs w:val="13"/>
          <w:color w:val="auto"/>
        </w:rPr>
        <w:t xml:space="preserve">On March 15, 2019, the SCNPC approved the </w:t>
      </w:r>
      <w:r>
        <w:rPr>
          <w:rFonts w:ascii="Times New Roman" w:cs="Times New Roman" w:eastAsia="Times New Roman" w:hAnsi="Times New Roman"/>
          <w:sz w:val="13"/>
          <w:szCs w:val="13"/>
          <w:i w:val="1"/>
          <w:iCs w:val="1"/>
          <w:color w:val="auto"/>
        </w:rPr>
        <w:t>Foreign Investment Law of the PRC</w:t>
      </w:r>
      <w:r>
        <w:rPr>
          <w:rFonts w:ascii="Times New Roman" w:cs="Times New Roman" w:eastAsia="Times New Roman" w:hAnsi="Times New Roman"/>
          <w:sz w:val="13"/>
          <w:szCs w:val="13"/>
          <w:color w:val="auto"/>
        </w:rPr>
        <w:t xml:space="preserve">, which took effect on January 1, 2020 and replace three existing laws on foreign investments in China, namely, the </w:t>
      </w:r>
      <w:r>
        <w:rPr>
          <w:rFonts w:ascii="Times New Roman" w:cs="Times New Roman" w:eastAsia="Times New Roman" w:hAnsi="Times New Roman"/>
          <w:sz w:val="13"/>
          <w:szCs w:val="13"/>
          <w:i w:val="1"/>
          <w:iCs w:val="1"/>
          <w:color w:val="auto"/>
        </w:rPr>
        <w:t>PRC Equity Joint Venture Law, the PRC Cooperative Joint Venture Law</w:t>
      </w:r>
      <w:r>
        <w:rPr>
          <w:rFonts w:ascii="Times New Roman" w:cs="Times New Roman" w:eastAsia="Times New Roman" w:hAnsi="Times New Roman"/>
          <w:sz w:val="13"/>
          <w:szCs w:val="13"/>
          <w:color w:val="auto"/>
        </w:rPr>
        <w:t xml:space="preserve"> and the </w:t>
      </w:r>
      <w:r>
        <w:rPr>
          <w:rFonts w:ascii="Times New Roman" w:cs="Times New Roman" w:eastAsia="Times New Roman" w:hAnsi="Times New Roman"/>
          <w:sz w:val="13"/>
          <w:szCs w:val="13"/>
          <w:i w:val="1"/>
          <w:iCs w:val="1"/>
          <w:color w:val="auto"/>
        </w:rPr>
        <w:t>Wholly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Foreign-owned Enterprise Law</w:t>
      </w:r>
      <w:r>
        <w:rPr>
          <w:rFonts w:ascii="Times New Roman" w:cs="Times New Roman" w:eastAsia="Times New Roman" w:hAnsi="Times New Roman"/>
          <w:sz w:val="13"/>
          <w:szCs w:val="13"/>
          <w:color w:val="auto"/>
        </w:rPr>
        <w:t>, together with their implementation rules and ancillary regulations. The</w:t>
      </w:r>
      <w:r>
        <w:rPr>
          <w:rFonts w:ascii="Times New Roman" w:cs="Times New Roman" w:eastAsia="Times New Roman" w:hAnsi="Times New Roman"/>
          <w:sz w:val="13"/>
          <w:szCs w:val="13"/>
          <w:i w:val="1"/>
          <w:iCs w:val="1"/>
          <w:color w:val="auto"/>
        </w:rPr>
        <w:t xml:space="preserve"> Foreign Investment Law </w:t>
      </w:r>
      <w:r>
        <w:rPr>
          <w:rFonts w:ascii="Times New Roman" w:cs="Times New Roman" w:eastAsia="Times New Roman" w:hAnsi="Times New Roman"/>
          <w:sz w:val="13"/>
          <w:szCs w:val="13"/>
          <w:color w:val="auto"/>
        </w:rPr>
        <w:t>embodies an expected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PRC regulatory trend to rationalize its foreign investment regulatory regime in line with prevailing international practice and the legislative efforts to unify the corporate legal requirements for both foreign and domestic invested enterprises in China. The </w:t>
      </w:r>
      <w:r>
        <w:rPr>
          <w:rFonts w:ascii="Times New Roman" w:cs="Times New Roman" w:eastAsia="Times New Roman" w:hAnsi="Times New Roman"/>
          <w:sz w:val="13"/>
          <w:szCs w:val="13"/>
          <w:i w:val="1"/>
          <w:iCs w:val="1"/>
          <w:color w:val="auto"/>
        </w:rPr>
        <w:t>Foreign Investment Law</w:t>
      </w:r>
      <w:r>
        <w:rPr>
          <w:rFonts w:ascii="Times New Roman" w:cs="Times New Roman" w:eastAsia="Times New Roman" w:hAnsi="Times New Roman"/>
          <w:sz w:val="13"/>
          <w:szCs w:val="13"/>
          <w:color w:val="auto"/>
        </w:rPr>
        <w:t xml:space="preserve"> establishes the basic framework for the access to, and the promotion, protection and administration of foreign investments in view of investment protection and fair competition.</w:t>
      </w:r>
    </w:p>
    <w:p>
      <w:pPr>
        <w:spacing w:after="0" w:line="133" w:lineRule="exact"/>
        <w:rPr>
          <w:sz w:val="20"/>
          <w:szCs w:val="20"/>
          <w:color w:val="auto"/>
        </w:rPr>
      </w:pPr>
    </w:p>
    <w:p>
      <w:pPr>
        <w:ind w:left="1680" w:right="719" w:firstLine="317"/>
        <w:spacing w:after="0" w:line="254" w:lineRule="auto"/>
        <w:rPr>
          <w:sz w:val="20"/>
          <w:szCs w:val="20"/>
          <w:color w:val="auto"/>
        </w:rPr>
      </w:pPr>
      <w:r>
        <w:rPr>
          <w:rFonts w:ascii="Times New Roman" w:cs="Times New Roman" w:eastAsia="Times New Roman" w:hAnsi="Times New Roman"/>
          <w:sz w:val="13"/>
          <w:szCs w:val="13"/>
          <w:color w:val="auto"/>
        </w:rPr>
        <w:t xml:space="preserve">According to the </w:t>
      </w:r>
      <w:r>
        <w:rPr>
          <w:rFonts w:ascii="Times New Roman" w:cs="Times New Roman" w:eastAsia="Times New Roman" w:hAnsi="Times New Roman"/>
          <w:sz w:val="13"/>
          <w:szCs w:val="13"/>
          <w:i w:val="1"/>
          <w:iCs w:val="1"/>
          <w:color w:val="auto"/>
        </w:rPr>
        <w:t>Foreign Investment Law</w:t>
      </w:r>
      <w:r>
        <w:rPr>
          <w:rFonts w:ascii="Times New Roman" w:cs="Times New Roman" w:eastAsia="Times New Roman" w:hAnsi="Times New Roman"/>
          <w:sz w:val="13"/>
          <w:szCs w:val="13"/>
          <w:color w:val="auto"/>
        </w:rPr>
        <w:t>, “foreign investment” refers to investment activities directly or indirectly conducted by one or more natural persons, business entities, or otherwise organizations of a foreign country (collectively referred to as “foreign investor”) within China, and the investment activities include the following situations: (i) a foreign investor, individually or collectively with other investors, establishes a foreign-invested enterprise within China; (ii) a foreign investor acquires stock shares, equity shares, shares in assets, or other like rights and interests of an enterprise within China; (iii) a foreign investor, individually or collectively with other investors, invests in a new project within China; and</w:t>
      </w:r>
    </w:p>
    <w:p>
      <w:pPr>
        <w:spacing w:after="0" w:line="1" w:lineRule="exact"/>
        <w:rPr>
          <w:sz w:val="20"/>
          <w:szCs w:val="20"/>
          <w:color w:val="auto"/>
        </w:rPr>
      </w:pPr>
    </w:p>
    <w:p>
      <w:pPr>
        <w:ind w:left="5580" w:right="3239" w:hanging="3904"/>
        <w:spacing w:after="0" w:line="431" w:lineRule="auto"/>
        <w:tabs>
          <w:tab w:leader="none" w:pos="1896"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investments in other means as provided by laws, administrative regulations, or the State Council. 98</w:t>
      </w:r>
    </w:p>
    <w:p>
      <w:pPr>
        <w:sectPr>
          <w:pgSz w:w="11900" w:h="16838" w:orient="portrait"/>
          <w:cols w:equalWidth="0" w:num="1">
            <w:col w:w="10159"/>
          </w:cols>
          <w:pgMar w:left="300" w:top="388" w:right="144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1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20" w:lineRule="exact"/>
        <w:rPr>
          <w:sz w:val="20"/>
          <w:szCs w:val="20"/>
          <w:color w:val="auto"/>
        </w:rPr>
      </w:pPr>
    </w:p>
    <w:p>
      <w:pPr>
        <w:ind w:left="1680" w:right="599" w:firstLine="317"/>
        <w:spacing w:after="0" w:line="257" w:lineRule="auto"/>
        <w:rPr>
          <w:sz w:val="20"/>
          <w:szCs w:val="20"/>
          <w:color w:val="auto"/>
        </w:rPr>
      </w:pPr>
      <w:r>
        <w:rPr>
          <w:rFonts w:ascii="Times New Roman" w:cs="Times New Roman" w:eastAsia="Times New Roman" w:hAnsi="Times New Roman"/>
          <w:sz w:val="13"/>
          <w:szCs w:val="13"/>
          <w:color w:val="auto"/>
        </w:rPr>
        <w:t xml:space="preserve">According to the </w:t>
      </w:r>
      <w:r>
        <w:rPr>
          <w:rFonts w:ascii="Times New Roman" w:cs="Times New Roman" w:eastAsia="Times New Roman" w:hAnsi="Times New Roman"/>
          <w:sz w:val="13"/>
          <w:szCs w:val="13"/>
          <w:i w:val="1"/>
          <w:iCs w:val="1"/>
          <w:color w:val="auto"/>
        </w:rPr>
        <w:t>Foreign Investment Law</w:t>
      </w:r>
      <w:r>
        <w:rPr>
          <w:rFonts w:ascii="Times New Roman" w:cs="Times New Roman" w:eastAsia="Times New Roman" w:hAnsi="Times New Roman"/>
          <w:sz w:val="13"/>
          <w:szCs w:val="13"/>
          <w:color w:val="auto"/>
        </w:rPr>
        <w:t xml:space="preserve">, the State Council will publish or approve to publish a catalogue for special administrative measures, or the “negative list.” The </w:t>
      </w:r>
      <w:r>
        <w:rPr>
          <w:rFonts w:ascii="Times New Roman" w:cs="Times New Roman" w:eastAsia="Times New Roman" w:hAnsi="Times New Roman"/>
          <w:sz w:val="13"/>
          <w:szCs w:val="13"/>
          <w:i w:val="1"/>
          <w:iCs w:val="1"/>
          <w:color w:val="auto"/>
        </w:rPr>
        <w:t>Foreign Investment Law</w:t>
      </w:r>
      <w:r>
        <w:rPr>
          <w:rFonts w:ascii="Times New Roman" w:cs="Times New Roman" w:eastAsia="Times New Roman" w:hAnsi="Times New Roman"/>
          <w:sz w:val="13"/>
          <w:szCs w:val="13"/>
          <w:color w:val="auto"/>
        </w:rPr>
        <w:t xml:space="preserve"> grants national treatment to foreign invested entities, except for those foreign invested entities that operate in industries deemed to be either “restricted” or “prohibited” in the “negative list”. The </w:t>
      </w:r>
      <w:r>
        <w:rPr>
          <w:rFonts w:ascii="Times New Roman" w:cs="Times New Roman" w:eastAsia="Times New Roman" w:hAnsi="Times New Roman"/>
          <w:sz w:val="13"/>
          <w:szCs w:val="13"/>
          <w:i w:val="1"/>
          <w:iCs w:val="1"/>
          <w:color w:val="auto"/>
        </w:rPr>
        <w:t>Foreign Investment Law</w:t>
      </w:r>
      <w:r>
        <w:rPr>
          <w:rFonts w:ascii="Times New Roman" w:cs="Times New Roman" w:eastAsia="Times New Roman" w:hAnsi="Times New Roman"/>
          <w:sz w:val="13"/>
          <w:szCs w:val="13"/>
          <w:color w:val="auto"/>
        </w:rPr>
        <w:t xml:space="preserve"> provides that foreign invested entities operating in foreign restricted or prohibited industries will require market entry clearance and other approvals from relevant PRC governmental authorities.</w:t>
      </w:r>
    </w:p>
    <w:p>
      <w:pPr>
        <w:spacing w:after="0" w:line="133" w:lineRule="exact"/>
        <w:rPr>
          <w:sz w:val="20"/>
          <w:szCs w:val="20"/>
          <w:color w:val="auto"/>
        </w:rPr>
      </w:pPr>
    </w:p>
    <w:p>
      <w:pPr>
        <w:ind w:left="1680" w:right="679" w:firstLine="317"/>
        <w:spacing w:after="0" w:line="282" w:lineRule="auto"/>
        <w:rPr>
          <w:sz w:val="20"/>
          <w:szCs w:val="20"/>
          <w:color w:val="auto"/>
        </w:rPr>
      </w:pPr>
      <w:r>
        <w:rPr>
          <w:rFonts w:ascii="Times New Roman" w:cs="Times New Roman" w:eastAsia="Times New Roman" w:hAnsi="Times New Roman"/>
          <w:sz w:val="13"/>
          <w:szCs w:val="13"/>
          <w:color w:val="auto"/>
        </w:rPr>
        <w:t xml:space="preserve">Furthermore, the </w:t>
      </w:r>
      <w:r>
        <w:rPr>
          <w:rFonts w:ascii="Times New Roman" w:cs="Times New Roman" w:eastAsia="Times New Roman" w:hAnsi="Times New Roman"/>
          <w:sz w:val="13"/>
          <w:szCs w:val="13"/>
          <w:i w:val="1"/>
          <w:iCs w:val="1"/>
          <w:color w:val="auto"/>
        </w:rPr>
        <w:t>Foreign Investment Law</w:t>
      </w:r>
      <w:r>
        <w:rPr>
          <w:rFonts w:ascii="Times New Roman" w:cs="Times New Roman" w:eastAsia="Times New Roman" w:hAnsi="Times New Roman"/>
          <w:sz w:val="13"/>
          <w:szCs w:val="13"/>
          <w:color w:val="auto"/>
        </w:rPr>
        <w:t xml:space="preserve"> provides that foreign invested enterprises established according to the existing laws regulating foreign investment may maintain their structure and corporate governance within five years after the implementing of the </w:t>
      </w:r>
      <w:r>
        <w:rPr>
          <w:rFonts w:ascii="Times New Roman" w:cs="Times New Roman" w:eastAsia="Times New Roman" w:hAnsi="Times New Roman"/>
          <w:sz w:val="13"/>
          <w:szCs w:val="13"/>
          <w:i w:val="1"/>
          <w:iCs w:val="1"/>
          <w:color w:val="auto"/>
        </w:rPr>
        <w:t>Foreign Investment Law</w:t>
      </w:r>
      <w:r>
        <w:rPr>
          <w:rFonts w:ascii="Times New Roman" w:cs="Times New Roman" w:eastAsia="Times New Roman" w:hAnsi="Times New Roman"/>
          <w:sz w:val="13"/>
          <w:szCs w:val="13"/>
          <w:color w:val="auto"/>
        </w:rPr>
        <w:t>.</w:t>
      </w:r>
    </w:p>
    <w:p>
      <w:pPr>
        <w:spacing w:after="0" w:line="116" w:lineRule="exact"/>
        <w:rPr>
          <w:sz w:val="20"/>
          <w:szCs w:val="20"/>
          <w:color w:val="auto"/>
        </w:rPr>
      </w:pPr>
    </w:p>
    <w:p>
      <w:pPr>
        <w:ind w:left="1680" w:right="659" w:firstLine="317"/>
        <w:spacing w:after="0" w:line="254" w:lineRule="auto"/>
        <w:rPr>
          <w:sz w:val="20"/>
          <w:szCs w:val="20"/>
          <w:color w:val="auto"/>
        </w:rPr>
      </w:pPr>
      <w:r>
        <w:rPr>
          <w:rFonts w:ascii="Times New Roman" w:cs="Times New Roman" w:eastAsia="Times New Roman" w:hAnsi="Times New Roman"/>
          <w:sz w:val="13"/>
          <w:szCs w:val="13"/>
          <w:color w:val="auto"/>
        </w:rPr>
        <w:t xml:space="preserve">In addition, the </w:t>
      </w:r>
      <w:r>
        <w:rPr>
          <w:rFonts w:ascii="Times New Roman" w:cs="Times New Roman" w:eastAsia="Times New Roman" w:hAnsi="Times New Roman"/>
          <w:sz w:val="13"/>
          <w:szCs w:val="13"/>
          <w:i w:val="1"/>
          <w:iCs w:val="1"/>
          <w:color w:val="auto"/>
        </w:rPr>
        <w:t>Foreign Investment Law</w:t>
      </w:r>
      <w:r>
        <w:rPr>
          <w:rFonts w:ascii="Times New Roman" w:cs="Times New Roman" w:eastAsia="Times New Roman" w:hAnsi="Times New Roman"/>
          <w:sz w:val="13"/>
          <w:szCs w:val="13"/>
          <w:color w:val="auto"/>
        </w:rPr>
        <w:t xml:space="preserve"> also provides several protective rules and principles for foreign investors and their investments in the PRC, including, among others, that local governments shall abide by their commitments to the foreign investors; foreign-invested enterprises are allowed to issue stocks and corporate bonds; except for special circumstances, in which case statutory procedures shall be followed and fair and reasonable compensation shall be made in a timely manner, expropriation or requisition of the investment of foreign investors is prohibited; mandatory technology transfer is prohibited; and the capital contributions, profits, capital gains, proceeds out of asset disposal, licensing fees of intellectual property rights, indemnity or compensation legally obtained, or proceeds received upon settlement by foreign investors within China, may be freely remitted inward and outward in RMB or a foreign currency. Also, foreign investors or the foreign investment enterprise should be imposed legal liabilities for failing to report investment information in accordance with the requirements.</w:t>
      </w:r>
    </w:p>
    <w:p>
      <w:pPr>
        <w:spacing w:after="0" w:line="135" w:lineRule="exact"/>
        <w:rPr>
          <w:sz w:val="20"/>
          <w:szCs w:val="20"/>
          <w:color w:val="auto"/>
        </w:rPr>
      </w:pPr>
    </w:p>
    <w:p>
      <w:pPr>
        <w:ind w:left="1680" w:right="559" w:firstLine="317"/>
        <w:spacing w:after="0" w:line="257" w:lineRule="auto"/>
        <w:rPr>
          <w:sz w:val="20"/>
          <w:szCs w:val="20"/>
          <w:color w:val="auto"/>
        </w:rPr>
      </w:pPr>
      <w:r>
        <w:rPr>
          <w:rFonts w:ascii="Times New Roman" w:cs="Times New Roman" w:eastAsia="Times New Roman" w:hAnsi="Times New Roman"/>
          <w:sz w:val="13"/>
          <w:szCs w:val="13"/>
          <w:color w:val="auto"/>
        </w:rPr>
        <w:t xml:space="preserve">On December 26, 2019, the State Council promulgated the </w:t>
      </w:r>
      <w:r>
        <w:rPr>
          <w:rFonts w:ascii="Times New Roman" w:cs="Times New Roman" w:eastAsia="Times New Roman" w:hAnsi="Times New Roman"/>
          <w:sz w:val="13"/>
          <w:szCs w:val="13"/>
          <w:i w:val="1"/>
          <w:iCs w:val="1"/>
          <w:color w:val="auto"/>
        </w:rPr>
        <w:t>Implementation Regulations on the Foreign Investment Law</w:t>
      </w:r>
      <w:r>
        <w:rPr>
          <w:rFonts w:ascii="Times New Roman" w:cs="Times New Roman" w:eastAsia="Times New Roman" w:hAnsi="Times New Roman"/>
          <w:sz w:val="13"/>
          <w:szCs w:val="13"/>
          <w:color w:val="auto"/>
        </w:rPr>
        <w:t>, which came into effect on January 1, 2020. It further requires that foreign-invested enterprises and domestic enterprises shall be treated equally with respect to policy making and implementation. Pursuant to the Implementation Regulations on the Foreign Investment Law, if the existing foreign-invested enterprises fail to change their original forms as of January 1, 2025, the relevant market regulation departments will not process other registration matters for these enterprises, and may disclose their relevant information to the public.</w:t>
      </w:r>
    </w:p>
    <w:p>
      <w:pPr>
        <w:spacing w:after="0" w:line="133" w:lineRule="exact"/>
        <w:rPr>
          <w:sz w:val="20"/>
          <w:szCs w:val="20"/>
          <w:color w:val="auto"/>
        </w:rPr>
      </w:pPr>
    </w:p>
    <w:p>
      <w:pPr>
        <w:ind w:left="1680" w:right="619" w:firstLine="317"/>
        <w:spacing w:after="0" w:line="253" w:lineRule="auto"/>
        <w:rPr>
          <w:sz w:val="20"/>
          <w:szCs w:val="20"/>
          <w:color w:val="auto"/>
        </w:rPr>
      </w:pPr>
      <w:r>
        <w:rPr>
          <w:rFonts w:ascii="Times New Roman" w:cs="Times New Roman" w:eastAsia="Times New Roman" w:hAnsi="Times New Roman"/>
          <w:sz w:val="13"/>
          <w:szCs w:val="13"/>
          <w:color w:val="auto"/>
        </w:rPr>
        <w:t xml:space="preserve">On December 30, 2019, the MOFCOM and the State Administration for Market Regulation jointly issued the </w:t>
      </w:r>
      <w:r>
        <w:rPr>
          <w:rFonts w:ascii="Times New Roman" w:cs="Times New Roman" w:eastAsia="Times New Roman" w:hAnsi="Times New Roman"/>
          <w:sz w:val="13"/>
          <w:szCs w:val="13"/>
          <w:i w:val="1"/>
          <w:iCs w:val="1"/>
          <w:color w:val="auto"/>
        </w:rPr>
        <w:t>Measures for</w:t>
      </w:r>
      <w:r>
        <w:rPr>
          <w:rFonts w:ascii="Times New Roman" w:cs="Times New Roman" w:eastAsia="Times New Roman" w:hAnsi="Times New Roman"/>
          <w:sz w:val="13"/>
          <w:szCs w:val="13"/>
          <w:color w:val="auto"/>
        </w:rPr>
        <w:t xml:space="preserve"> Reporting </w:t>
      </w:r>
      <w:r>
        <w:rPr>
          <w:rFonts w:ascii="Times New Roman" w:cs="Times New Roman" w:eastAsia="Times New Roman" w:hAnsi="Times New Roman"/>
          <w:sz w:val="13"/>
          <w:szCs w:val="13"/>
          <w:i w:val="1"/>
          <w:iCs w:val="1"/>
          <w:color w:val="auto"/>
        </w:rPr>
        <w:t>of Foreign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Investment Information</w:t>
      </w:r>
      <w:r>
        <w:rPr>
          <w:rFonts w:ascii="Times New Roman" w:cs="Times New Roman" w:eastAsia="Times New Roman" w:hAnsi="Times New Roman"/>
          <w:sz w:val="13"/>
          <w:szCs w:val="13"/>
          <w:color w:val="auto"/>
        </w:rPr>
        <w:t>, or</w:t>
      </w:r>
      <w:r>
        <w:rPr>
          <w:rFonts w:ascii="Times New Roman" w:cs="Times New Roman" w:eastAsia="Times New Roman" w:hAnsi="Times New Roman"/>
          <w:sz w:val="13"/>
          <w:szCs w:val="13"/>
          <w:i w:val="1"/>
          <w:iCs w:val="1"/>
          <w:color w:val="auto"/>
        </w:rPr>
        <w:t xml:space="preserve"> the Foreign Investment Information Measures</w:t>
      </w:r>
      <w:r>
        <w:rPr>
          <w:rFonts w:ascii="Times New Roman" w:cs="Times New Roman" w:eastAsia="Times New Roman" w:hAnsi="Times New Roman"/>
          <w:sz w:val="13"/>
          <w:szCs w:val="13"/>
          <w:color w:val="auto"/>
        </w:rPr>
        <w:t>, which came into effect on January 1, 2020 and replaced the Interim</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Administrative Measures for the Record-filing of the Establishment and Modification of Foreign-invested Enterprises. Since January 1, 2020, for foreign investors carrying out investment activities directly or indirectly in the PRC, foreign investors or foreign-invested enterprises shall submit investment information through the Enterprise Registration System and the National Enterprise Credit Information Publicity System operated by the State Administration for Market Regulation. Foreign investors or foreign-invested enterprises shall disclose their investment information by submitting reports for their establishments, modifications and cancellations and their annual reports in accordance with the Foreign Investment Information Measures. If a foreign-invested enterprise investing in the PRC has finished submitting its reports for its establishment, modifications and cancellation and its annual reports, the relevant information will be shared by the competent market regulation department to the competent commercial department, and does not require such foreign-invested enterprise to submit the reports separately.</w:t>
      </w:r>
    </w:p>
    <w:p>
      <w:pPr>
        <w:spacing w:after="0" w:line="138" w:lineRule="exact"/>
        <w:rPr>
          <w:sz w:val="20"/>
          <w:szCs w:val="20"/>
          <w:color w:val="auto"/>
        </w:rPr>
      </w:pPr>
    </w:p>
    <w:p>
      <w:pPr>
        <w:ind w:left="1680" w:right="759" w:firstLine="317"/>
        <w:spacing w:after="0" w:line="257" w:lineRule="auto"/>
        <w:rPr>
          <w:sz w:val="20"/>
          <w:szCs w:val="20"/>
          <w:color w:val="auto"/>
        </w:rPr>
      </w:pPr>
      <w:r>
        <w:rPr>
          <w:rFonts w:ascii="Times New Roman" w:cs="Times New Roman" w:eastAsia="Times New Roman" w:hAnsi="Times New Roman"/>
          <w:sz w:val="13"/>
          <w:szCs w:val="13"/>
          <w:color w:val="auto"/>
        </w:rPr>
        <w:t>The establishment, operation and management of corporate entities in the PRC are governed by the PRC Company Law, which was initially promulgated by the SCNPC on December 29, 1993 and was most recently amended on October 26, 2018. The current PRC Company Law came into effect on October 26, 2018. The PRC Company Law generally governs two types of companies, limited liability companies and joint stock limited companies. The PRC Company Law also applies to foreign-invested companies that are also subject to the operation of other laws and regulations applicable to foreign investment.</w:t>
      </w:r>
    </w:p>
    <w:p>
      <w:pPr>
        <w:spacing w:after="0" w:line="2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Foreign Investment Industries Guidance Catalogue</w:t>
      </w:r>
    </w:p>
    <w:p>
      <w:pPr>
        <w:spacing w:after="0" w:line="88" w:lineRule="exact"/>
        <w:rPr>
          <w:sz w:val="20"/>
          <w:szCs w:val="20"/>
          <w:color w:val="auto"/>
        </w:rPr>
      </w:pPr>
    </w:p>
    <w:p>
      <w:pPr>
        <w:ind w:left="1680" w:right="639" w:firstLine="317"/>
        <w:spacing w:after="0" w:line="253" w:lineRule="auto"/>
        <w:rPr>
          <w:sz w:val="20"/>
          <w:szCs w:val="20"/>
          <w:color w:val="auto"/>
        </w:rPr>
      </w:pPr>
      <w:r>
        <w:rPr>
          <w:rFonts w:ascii="Times New Roman" w:cs="Times New Roman" w:eastAsia="Times New Roman" w:hAnsi="Times New Roman"/>
          <w:sz w:val="13"/>
          <w:szCs w:val="13"/>
          <w:color w:val="auto"/>
        </w:rPr>
        <w:t xml:space="preserve">On June 28, 2017, the Ministry of Commerce of the People’s Republic of China, or the MOFCOM, and the National Development and Reform Commission, or the NDRC, jointly promulgated the </w:t>
      </w:r>
      <w:r>
        <w:rPr>
          <w:rFonts w:ascii="Times New Roman" w:cs="Times New Roman" w:eastAsia="Times New Roman" w:hAnsi="Times New Roman"/>
          <w:sz w:val="13"/>
          <w:szCs w:val="13"/>
          <w:i w:val="1"/>
          <w:iCs w:val="1"/>
          <w:color w:val="auto"/>
        </w:rPr>
        <w:t>Guidance Catalogue of Industries for Foreign Investment (Revised in 2017)</w:t>
      </w:r>
      <w:r>
        <w:rPr>
          <w:rFonts w:ascii="Times New Roman" w:cs="Times New Roman" w:eastAsia="Times New Roman" w:hAnsi="Times New Roman"/>
          <w:sz w:val="13"/>
          <w:szCs w:val="13"/>
          <w:color w:val="auto"/>
        </w:rPr>
        <w:t>, or the Catalogue, which came into effect on July 28, 2017. The Catalogue includes the Catalogue of Industries for Encouraging Foreign Investment, or the Encouraged Catalogue, and the Special Administrative Measures for Access of Foreign Investment (Negative List), or the Negative List. The Encourage Catalogue sets forth the industries and economic activities that foreign investment in China is encouraged to be engaged in. The Negative List sets forth the prohibited or restricted industries or economic activities for foreign investment in China. The Encouraged Catalogue was amended on June 30, 2019, and the Negative List was amended on June 28, 2018, June 30, 2019, June 23, 2020 and December 27, 2021. Any industry not listed in the Encouraged Catalogue and the Negative List is a permitted industry. Pursuant to the Negative List, a company that designs and manufactures UAVs can be wholly owned by foreign investors.</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99</w:t>
      </w:r>
    </w:p>
    <w:p>
      <w:pPr>
        <w:sectPr>
          <w:pgSz w:w="11900" w:h="16838" w:orient="portrait"/>
          <w:cols w:equalWidth="0" w:num="1">
            <w:col w:w="10159"/>
          </w:cols>
          <w:pgMar w:left="300" w:top="388" w:right="1440"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Foreign Exchange</w:t>
      </w:r>
    </w:p>
    <w:p>
      <w:pPr>
        <w:spacing w:after="0" w:line="8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General Administration of Foreign Exchange</w:t>
      </w:r>
    </w:p>
    <w:p>
      <w:pPr>
        <w:spacing w:after="0" w:line="86" w:lineRule="exact"/>
        <w:rPr>
          <w:sz w:val="20"/>
          <w:szCs w:val="20"/>
          <w:color w:val="auto"/>
        </w:rPr>
      </w:pPr>
    </w:p>
    <w:p>
      <w:pPr>
        <w:ind w:left="1680" w:right="599" w:firstLine="317"/>
        <w:spacing w:after="0" w:line="256" w:lineRule="auto"/>
        <w:rPr>
          <w:sz w:val="20"/>
          <w:szCs w:val="20"/>
          <w:color w:val="auto"/>
        </w:rPr>
      </w:pPr>
      <w:r>
        <w:rPr>
          <w:rFonts w:ascii="Times New Roman" w:cs="Times New Roman" w:eastAsia="Times New Roman" w:hAnsi="Times New Roman"/>
          <w:sz w:val="13"/>
          <w:szCs w:val="13"/>
          <w:color w:val="auto"/>
        </w:rPr>
        <w:t xml:space="preserve">Under the </w:t>
      </w:r>
      <w:r>
        <w:rPr>
          <w:rFonts w:ascii="Times New Roman" w:cs="Times New Roman" w:eastAsia="Times New Roman" w:hAnsi="Times New Roman"/>
          <w:sz w:val="13"/>
          <w:szCs w:val="13"/>
          <w:i w:val="1"/>
          <w:iCs w:val="1"/>
          <w:color w:val="auto"/>
        </w:rPr>
        <w:t>Regulation of the People’s Republic of China on Foreign Exchange Administration</w:t>
      </w:r>
      <w:r>
        <w:rPr>
          <w:rFonts w:ascii="Times New Roman" w:cs="Times New Roman" w:eastAsia="Times New Roman" w:hAnsi="Times New Roman"/>
          <w:sz w:val="13"/>
          <w:szCs w:val="13"/>
          <w:color w:val="auto"/>
        </w:rPr>
        <w:t xml:space="preserve"> promulgated on January 29, 1996 and most recently amended on August 5, 2008 and various regulations issued by the State Administration of Foreign Exchange, or the SAFE, and other relevant PRC government authorities, Renminbi is convertible into other currencies for current account items, such as trade-related receipts and payments and payment of interest and dividends. The conversion of Renminbi into other currencies and remittance of the converted foreign currency outside the PRC for capital account items, such as direct equity investments, loans and repatriation of investment, require the prior approval from the SAFE or its local office.</w:t>
      </w:r>
    </w:p>
    <w:p>
      <w:pPr>
        <w:spacing w:after="0" w:line="135" w:lineRule="exact"/>
        <w:rPr>
          <w:sz w:val="20"/>
          <w:szCs w:val="20"/>
          <w:color w:val="auto"/>
        </w:rPr>
      </w:pPr>
    </w:p>
    <w:p>
      <w:pPr>
        <w:ind w:left="1680" w:right="599" w:firstLine="317"/>
        <w:spacing w:after="0" w:line="255" w:lineRule="auto"/>
        <w:rPr>
          <w:sz w:val="20"/>
          <w:szCs w:val="20"/>
          <w:color w:val="auto"/>
        </w:rPr>
      </w:pPr>
      <w:r>
        <w:rPr>
          <w:rFonts w:ascii="Times New Roman" w:cs="Times New Roman" w:eastAsia="Times New Roman" w:hAnsi="Times New Roman"/>
          <w:sz w:val="13"/>
          <w:szCs w:val="13"/>
          <w:color w:val="auto"/>
        </w:rPr>
        <w:t>Payments for transactions that take place within the PRC must be made in Renminbi. Unless otherwise approved, PRC companies may not repatriate foreign currency payments received from abroad or retain the same abroad. Foreign-invested enterprises may retain foreign exchange in accounts with designated foreign exchange banks under the current account items subject to a cap set by the SAFE or its local office. Foreign exchange proceeds under the current accounts may be either retained or sold to a financial institution engaged in settlement and sale of foreign exchange pursuant to relevant SAFE rules and regulations. For foreign exchange proceeds under the capital accounts, approval from the SAFE is generally required for the retention or sale of such proceeds to a financial institution engaged in settlement and sale of foreign exchange.</w:t>
      </w:r>
    </w:p>
    <w:p>
      <w:pPr>
        <w:spacing w:after="0" w:line="134" w:lineRule="exact"/>
        <w:rPr>
          <w:sz w:val="20"/>
          <w:szCs w:val="20"/>
          <w:color w:val="auto"/>
        </w:rPr>
      </w:pPr>
    </w:p>
    <w:p>
      <w:pPr>
        <w:ind w:left="1680" w:right="579" w:firstLine="317"/>
        <w:spacing w:after="0" w:line="256" w:lineRule="auto"/>
        <w:rPr>
          <w:sz w:val="20"/>
          <w:szCs w:val="20"/>
          <w:color w:val="auto"/>
        </w:rPr>
      </w:pPr>
      <w:r>
        <w:rPr>
          <w:rFonts w:ascii="Times New Roman" w:cs="Times New Roman" w:eastAsia="Times New Roman" w:hAnsi="Times New Roman"/>
          <w:sz w:val="13"/>
          <w:szCs w:val="13"/>
          <w:color w:val="auto"/>
        </w:rPr>
        <w:t xml:space="preserve">Pursuant to the </w:t>
      </w:r>
      <w:r>
        <w:rPr>
          <w:rFonts w:ascii="Times New Roman" w:cs="Times New Roman" w:eastAsia="Times New Roman" w:hAnsi="Times New Roman"/>
          <w:sz w:val="13"/>
          <w:szCs w:val="13"/>
          <w:i w:val="1"/>
          <w:iCs w:val="1"/>
          <w:color w:val="auto"/>
        </w:rPr>
        <w:t>Circular of the SAFE on Further Improving and Adjusting Foreign Exchange Administration Policies for Direct Investments</w:t>
      </w:r>
      <w:r>
        <w:rPr>
          <w:rFonts w:ascii="Times New Roman" w:cs="Times New Roman" w:eastAsia="Times New Roman" w:hAnsi="Times New Roman"/>
          <w:sz w:val="13"/>
          <w:szCs w:val="13"/>
          <w:color w:val="auto"/>
        </w:rPr>
        <w:t>, or the SAFE Circular No. 59 promulgated by the SAFE on November 19, 2012, which became effective on December 17, 2012 and was further amended on May 4, 2015, and again October 10, 2018, and December 30, 2019, approval of the SAFE is not required for opening a foreign exchange account and depositing foreign exchange into the accounts relating to the direct investments. The SAFE Circular No. 59 also simplified foreign exchange-related registration required for foreign investors to acquire equity interests in PRC companies and further improved the administration on foreign exchange settlement for foreign-invested enterprises.</w:t>
      </w:r>
    </w:p>
    <w:p>
      <w:pPr>
        <w:spacing w:after="0" w:line="133" w:lineRule="exact"/>
        <w:rPr>
          <w:sz w:val="20"/>
          <w:szCs w:val="20"/>
          <w:color w:val="auto"/>
        </w:rPr>
      </w:pPr>
    </w:p>
    <w:p>
      <w:pPr>
        <w:ind w:left="1680" w:right="919" w:firstLine="317"/>
        <w:spacing w:after="0" w:line="257" w:lineRule="auto"/>
        <w:rPr>
          <w:sz w:val="20"/>
          <w:szCs w:val="20"/>
          <w:color w:val="auto"/>
        </w:rPr>
      </w:pPr>
      <w:r>
        <w:rPr>
          <w:rFonts w:ascii="Times New Roman" w:cs="Times New Roman" w:eastAsia="Times New Roman" w:hAnsi="Times New Roman"/>
          <w:sz w:val="13"/>
          <w:szCs w:val="13"/>
          <w:color w:val="auto"/>
        </w:rPr>
        <w:t xml:space="preserve">The </w:t>
      </w:r>
      <w:r>
        <w:rPr>
          <w:rFonts w:ascii="Times New Roman" w:cs="Times New Roman" w:eastAsia="Times New Roman" w:hAnsi="Times New Roman"/>
          <w:sz w:val="13"/>
          <w:szCs w:val="13"/>
          <w:i w:val="1"/>
          <w:iCs w:val="1"/>
          <w:color w:val="auto"/>
        </w:rPr>
        <w:t>Circular on Further Simplifying and Improving the Foreign Currency Management Policy on Direct Investments</w:t>
      </w:r>
      <w:r>
        <w:rPr>
          <w:rFonts w:ascii="Times New Roman" w:cs="Times New Roman" w:eastAsia="Times New Roman" w:hAnsi="Times New Roman"/>
          <w:sz w:val="13"/>
          <w:szCs w:val="13"/>
          <w:color w:val="auto"/>
        </w:rPr>
        <w:t>, or the SAFE Circular No. 13, effective from June 1, 2015, and was amended on December 30, 2019, removes the requirement of administrative approvals for foreign exchange registration of direct domestic investments and direct overseas investments and simplifies the procedure of foreign exchange-related registration. Pursuant to the SAFE Circular No. 13, the investors shall register with banks for direct domestic investment and direct overseas investments.</w:t>
      </w:r>
    </w:p>
    <w:p>
      <w:pPr>
        <w:spacing w:after="0" w:line="133" w:lineRule="exact"/>
        <w:rPr>
          <w:sz w:val="20"/>
          <w:szCs w:val="20"/>
          <w:color w:val="auto"/>
        </w:rPr>
      </w:pPr>
    </w:p>
    <w:p>
      <w:pPr>
        <w:ind w:left="1680" w:right="579" w:firstLine="317"/>
        <w:spacing w:after="0" w:line="275" w:lineRule="auto"/>
        <w:rPr>
          <w:sz w:val="20"/>
          <w:szCs w:val="20"/>
          <w:color w:val="auto"/>
        </w:rPr>
      </w:pPr>
      <w:r>
        <w:rPr>
          <w:rFonts w:ascii="Times New Roman" w:cs="Times New Roman" w:eastAsia="Times New Roman" w:hAnsi="Times New Roman"/>
          <w:sz w:val="12"/>
          <w:szCs w:val="12"/>
          <w:color w:val="auto"/>
        </w:rPr>
        <w:t xml:space="preserve">The </w:t>
      </w:r>
      <w:r>
        <w:rPr>
          <w:rFonts w:ascii="Times New Roman" w:cs="Times New Roman" w:eastAsia="Times New Roman" w:hAnsi="Times New Roman"/>
          <w:sz w:val="12"/>
          <w:szCs w:val="12"/>
          <w:i w:val="1"/>
          <w:iCs w:val="1"/>
          <w:color w:val="auto"/>
        </w:rPr>
        <w:t>Circular on Reforming the Management Approach regarding the Settlement of Foreign Exchange of Foreign-invested Enterprises</w:t>
      </w:r>
      <w:r>
        <w:rPr>
          <w:rFonts w:ascii="Times New Roman" w:cs="Times New Roman" w:eastAsia="Times New Roman" w:hAnsi="Times New Roman"/>
          <w:sz w:val="12"/>
          <w:szCs w:val="12"/>
          <w:color w:val="auto"/>
        </w:rPr>
        <w:t xml:space="preserve">, or the SAFE Circular No. 19, which was promulgated by the SAFE on March 30, 2015 and became effective on June 1, 2015, provides that a foreign-invested enterprise may, according to its actual business needs, settle with a bank the portion of the foreign exchange capital in its capital account for which the relevant foreign exchange administration has confirmed monetary capital contribution rights and interests (or for which the bank has registered the injection of the monetary capital contribution into the account). Pursuant to the SAFE Circular No. 19, for the time being, foreign-invested enterprises are allowed to settle 100% of their foreign exchange capital on a discretionary basis; a foreign-invested enterprise shall truthfully use its capital for its own operational purposes within the scope of business; where an ordinary foreign-invested enterprise makes domestic equity investment with the amount of foreign exchanges settled, the invested enterprise must first go through domestic re-investment registration and open a corresponding account for foreign exchange settlement pending payment with the foreign exchange administration or the bank at the place where it is registered. According to the </w:t>
      </w:r>
      <w:r>
        <w:rPr>
          <w:rFonts w:ascii="Times New Roman" w:cs="Times New Roman" w:eastAsia="Times New Roman" w:hAnsi="Times New Roman"/>
          <w:sz w:val="12"/>
          <w:szCs w:val="12"/>
          <w:i w:val="1"/>
          <w:iCs w:val="1"/>
          <w:color w:val="auto"/>
        </w:rPr>
        <w:t>Circular of the State Administration of Foreign Exchange on Abolishing and Nullifying Five Regulatory Documents on Foreign Exchange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Administration and Seven Regulatory Documents on Foreign Exchange Administration </w:t>
      </w:r>
      <w:r>
        <w:rPr>
          <w:rFonts w:ascii="Times New Roman" w:cs="Times New Roman" w:eastAsia="Times New Roman" w:hAnsi="Times New Roman"/>
          <w:sz w:val="12"/>
          <w:szCs w:val="12"/>
          <w:color w:val="auto"/>
        </w:rPr>
        <w:t>promulgated on December 30, 2019, there are no longer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restrictions on the use of foreign exchange settlement in the special overseas inflow deposit account and the special domestic inflow deposit account.</w:t>
      </w:r>
    </w:p>
    <w:p>
      <w:pPr>
        <w:spacing w:after="0" w:line="7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100</w:t>
      </w:r>
    </w:p>
    <w:p>
      <w:pPr>
        <w:sectPr>
          <w:pgSz w:w="11900" w:h="16838" w:orient="portrait"/>
          <w:cols w:equalWidth="0" w:num="1">
            <w:col w:w="10159"/>
          </w:cols>
          <w:pgMar w:left="300" w:top="388" w:right="144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ind w:left="1680" w:right="559" w:firstLine="317"/>
        <w:spacing w:after="0" w:line="257" w:lineRule="auto"/>
        <w:rPr>
          <w:sz w:val="20"/>
          <w:szCs w:val="20"/>
          <w:color w:val="auto"/>
        </w:rPr>
      </w:pPr>
      <w:r>
        <w:rPr>
          <w:rFonts w:ascii="Times New Roman" w:cs="Times New Roman" w:eastAsia="Times New Roman" w:hAnsi="Times New Roman"/>
          <w:sz w:val="13"/>
          <w:szCs w:val="13"/>
          <w:color w:val="auto"/>
        </w:rPr>
        <w:t xml:space="preserve">The </w:t>
      </w:r>
      <w:r>
        <w:rPr>
          <w:rFonts w:ascii="Times New Roman" w:cs="Times New Roman" w:eastAsia="Times New Roman" w:hAnsi="Times New Roman"/>
          <w:sz w:val="13"/>
          <w:szCs w:val="13"/>
          <w:i w:val="1"/>
          <w:iCs w:val="1"/>
          <w:color w:val="auto"/>
        </w:rPr>
        <w:t>Circular on Reforming and Regulating Policies on the Control over Foreign Exchange Settlement of Capital Accounts</w:t>
      </w:r>
      <w:r>
        <w:rPr>
          <w:rFonts w:ascii="Times New Roman" w:cs="Times New Roman" w:eastAsia="Times New Roman" w:hAnsi="Times New Roman"/>
          <w:sz w:val="13"/>
          <w:szCs w:val="13"/>
          <w:color w:val="auto"/>
        </w:rPr>
        <w:t>, or the SAFE Circular No. 16, which was promulgated by the SAFE and became effective on June 9, 2016, provides that enterprises registered in the PRC may also convert their foreign debts from foreign currency into Renminbi on a self-discretionary basis. The SAFE Circular No. 16 also provides an integrated standard for conversion of foreign exchange under capital account items (including but not limited to foreign currency capital and foreign debts) on a self-discretionary basis, which applies to all enterprises registered in the PRC.</w:t>
      </w:r>
    </w:p>
    <w:p>
      <w:pPr>
        <w:spacing w:after="0" w:line="133" w:lineRule="exact"/>
        <w:rPr>
          <w:sz w:val="20"/>
          <w:szCs w:val="20"/>
          <w:color w:val="auto"/>
        </w:rPr>
      </w:pPr>
    </w:p>
    <w:p>
      <w:pPr>
        <w:ind w:left="1680" w:right="659" w:firstLine="317"/>
        <w:spacing w:after="0" w:line="256" w:lineRule="auto"/>
        <w:rPr>
          <w:sz w:val="20"/>
          <w:szCs w:val="20"/>
          <w:color w:val="auto"/>
        </w:rPr>
      </w:pPr>
      <w:r>
        <w:rPr>
          <w:rFonts w:ascii="Times New Roman" w:cs="Times New Roman" w:eastAsia="Times New Roman" w:hAnsi="Times New Roman"/>
          <w:sz w:val="13"/>
          <w:szCs w:val="13"/>
          <w:color w:val="auto"/>
        </w:rPr>
        <w:t xml:space="preserve">According to the SAFE Circular No. 13, the </w:t>
      </w:r>
      <w:r>
        <w:rPr>
          <w:rFonts w:ascii="Times New Roman" w:cs="Times New Roman" w:eastAsia="Times New Roman" w:hAnsi="Times New Roman"/>
          <w:sz w:val="13"/>
          <w:szCs w:val="13"/>
          <w:i w:val="1"/>
          <w:iCs w:val="1"/>
          <w:color w:val="auto"/>
        </w:rPr>
        <w:t>Administrative Rules on the Company Registration</w:t>
      </w:r>
      <w:r>
        <w:rPr>
          <w:rFonts w:ascii="Times New Roman" w:cs="Times New Roman" w:eastAsia="Times New Roman" w:hAnsi="Times New Roman"/>
          <w:sz w:val="13"/>
          <w:szCs w:val="13"/>
          <w:color w:val="auto"/>
        </w:rPr>
        <w:t xml:space="preserve"> that was promulgated by the State Council on June 24, 1994 and most recently amended on February 6, 2016, and other laws and regulations governing foreign invested enterprises and company registrations, the establishment of a foreign invested enterprise and any capital increases and other major changes in a foreign invested enterprise shall be registered with a designated bank at the place of its registration and the State Administration for Market Regulation, or the SAMR, or its local counterparts, and be filed via the foreign investment comprehensive administrative system, or the FICMIS, if such foreign invested enterprise does not involve special access administrative measures prescribed by the PRC government.</w:t>
      </w:r>
    </w:p>
    <w:p>
      <w:pPr>
        <w:spacing w:after="0" w:line="133" w:lineRule="exact"/>
        <w:rPr>
          <w:sz w:val="20"/>
          <w:szCs w:val="20"/>
          <w:color w:val="auto"/>
        </w:rPr>
      </w:pPr>
    </w:p>
    <w:p>
      <w:pPr>
        <w:ind w:left="1680" w:right="599" w:firstLine="317"/>
        <w:spacing w:after="0" w:line="260" w:lineRule="auto"/>
        <w:rPr>
          <w:sz w:val="20"/>
          <w:szCs w:val="20"/>
          <w:color w:val="auto"/>
        </w:rPr>
      </w:pPr>
      <w:r>
        <w:rPr>
          <w:rFonts w:ascii="Times New Roman" w:cs="Times New Roman" w:eastAsia="Times New Roman" w:hAnsi="Times New Roman"/>
          <w:sz w:val="13"/>
          <w:szCs w:val="13"/>
          <w:color w:val="auto"/>
        </w:rPr>
        <w:t xml:space="preserve">On October 23, 2019, the SAFE promulgated the </w:t>
      </w:r>
      <w:r>
        <w:rPr>
          <w:rFonts w:ascii="Times New Roman" w:cs="Times New Roman" w:eastAsia="Times New Roman" w:hAnsi="Times New Roman"/>
          <w:sz w:val="13"/>
          <w:szCs w:val="13"/>
          <w:i w:val="1"/>
          <w:iCs w:val="1"/>
          <w:color w:val="auto"/>
        </w:rPr>
        <w:t>Notice of the State Administration of Foreign Exchange on Further Promoting the Convenience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of Cross-border Trade and Investment</w:t>
      </w:r>
      <w:r>
        <w:rPr>
          <w:rFonts w:ascii="Times New Roman" w:cs="Times New Roman" w:eastAsia="Times New Roman" w:hAnsi="Times New Roman"/>
          <w:sz w:val="13"/>
          <w:szCs w:val="13"/>
          <w:color w:val="auto"/>
        </w:rPr>
        <w:t>, or the SAFE Circular 28. The SAFE Circular 28 stipulates that non-investment FIEs may use capital to carry out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domestic equity investment in accordance with the law provided that such investment does not violate the Negative List and the projects invested are genuine and in compliance with laws and regulations.</w:t>
      </w:r>
    </w:p>
    <w:p>
      <w:pPr>
        <w:spacing w:after="0" w:line="20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Loans by the Foreign Companies to their PRC Subsidiaries</w:t>
      </w:r>
    </w:p>
    <w:p>
      <w:pPr>
        <w:spacing w:after="0" w:line="88" w:lineRule="exact"/>
        <w:rPr>
          <w:sz w:val="20"/>
          <w:szCs w:val="20"/>
          <w:color w:val="auto"/>
        </w:rPr>
      </w:pPr>
    </w:p>
    <w:p>
      <w:pPr>
        <w:ind w:left="1680" w:right="599" w:firstLine="317"/>
        <w:spacing w:after="0" w:line="278" w:lineRule="auto"/>
        <w:rPr>
          <w:sz w:val="20"/>
          <w:szCs w:val="20"/>
          <w:color w:val="auto"/>
        </w:rPr>
      </w:pPr>
      <w:r>
        <w:rPr>
          <w:rFonts w:ascii="Times New Roman" w:cs="Times New Roman" w:eastAsia="Times New Roman" w:hAnsi="Times New Roman"/>
          <w:sz w:val="12"/>
          <w:szCs w:val="12"/>
          <w:color w:val="auto"/>
        </w:rPr>
        <w:t xml:space="preserve">A loan made by foreign investors to a foreign invested enterprise in which it has an equity interest is considered to be foreign debt in China and is regulated by various laws and regulations, including the </w:t>
      </w:r>
      <w:r>
        <w:rPr>
          <w:rFonts w:ascii="Times New Roman" w:cs="Times New Roman" w:eastAsia="Times New Roman" w:hAnsi="Times New Roman"/>
          <w:sz w:val="12"/>
          <w:szCs w:val="12"/>
          <w:i w:val="1"/>
          <w:iCs w:val="1"/>
          <w:color w:val="auto"/>
        </w:rPr>
        <w:t>Regulation of the People’s Republic of China on Foreign Exchange Administration</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i w:val="1"/>
          <w:iCs w:val="1"/>
          <w:color w:val="auto"/>
        </w:rPr>
        <w:t>Interim</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Provisions on the Management of Foreign Debts</w:t>
      </w:r>
      <w:r>
        <w:rPr>
          <w:rFonts w:ascii="Times New Roman" w:cs="Times New Roman" w:eastAsia="Times New Roman" w:hAnsi="Times New Roman"/>
          <w:sz w:val="12"/>
          <w:szCs w:val="12"/>
          <w:color w:val="auto"/>
        </w:rPr>
        <w:t>, the</w:t>
      </w:r>
      <w:r>
        <w:rPr>
          <w:rFonts w:ascii="Times New Roman" w:cs="Times New Roman" w:eastAsia="Times New Roman" w:hAnsi="Times New Roman"/>
          <w:sz w:val="12"/>
          <w:szCs w:val="12"/>
          <w:i w:val="1"/>
          <w:iCs w:val="1"/>
          <w:color w:val="auto"/>
        </w:rPr>
        <w:t xml:space="preserve"> Statistical Monitoring of Foreign Debts Tentative Provisions</w:t>
      </w:r>
      <w:r>
        <w:rPr>
          <w:rFonts w:ascii="Times New Roman" w:cs="Times New Roman" w:eastAsia="Times New Roman" w:hAnsi="Times New Roman"/>
          <w:sz w:val="12"/>
          <w:szCs w:val="12"/>
          <w:color w:val="auto"/>
        </w:rPr>
        <w:t>, the</w:t>
      </w:r>
      <w:r>
        <w:rPr>
          <w:rFonts w:ascii="Times New Roman" w:cs="Times New Roman" w:eastAsia="Times New Roman" w:hAnsi="Times New Roman"/>
          <w:sz w:val="12"/>
          <w:szCs w:val="12"/>
          <w:i w:val="1"/>
          <w:iCs w:val="1"/>
          <w:color w:val="auto"/>
        </w:rPr>
        <w:t xml:space="preserve"> Detailed Rules for the Implementation of Provisional Regulations on Statistics and Supervision of External Debt</w:t>
      </w:r>
      <w:r>
        <w:rPr>
          <w:rFonts w:ascii="Times New Roman" w:cs="Times New Roman" w:eastAsia="Times New Roman" w:hAnsi="Times New Roman"/>
          <w:sz w:val="12"/>
          <w:szCs w:val="12"/>
          <w:color w:val="auto"/>
        </w:rPr>
        <w:t>, and the</w:t>
      </w:r>
      <w:r>
        <w:rPr>
          <w:rFonts w:ascii="Times New Roman" w:cs="Times New Roman" w:eastAsia="Times New Roman" w:hAnsi="Times New Roman"/>
          <w:sz w:val="12"/>
          <w:szCs w:val="12"/>
          <w:i w:val="1"/>
          <w:iCs w:val="1"/>
          <w:color w:val="auto"/>
        </w:rPr>
        <w:t xml:space="preserve"> Administrative Measures for Registration of Foreign Debts</w:t>
      </w:r>
      <w:r>
        <w:rPr>
          <w:rFonts w:ascii="Times New Roman" w:cs="Times New Roman" w:eastAsia="Times New Roman" w:hAnsi="Times New Roman"/>
          <w:sz w:val="12"/>
          <w:szCs w:val="12"/>
          <w:color w:val="auto"/>
        </w:rPr>
        <w:t>. Under these rules and regulations, a shareholder loan in the form of foreign debt made to a PRC entity does not require the prior approval of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SAFE. However, such foreign debt must be registered with and recorded by the SAFE or its local branches within fifteen business days after execution of the relevant agreement. Pursuant to these rules and regulations, the balance of the foreign debts of a foreign invested enterprise shall not exceed the difference between the total investment and the registered capital of the foreign invested enterprise, or Total Investment and Registered Capital Balance.</w:t>
      </w:r>
    </w:p>
    <w:p>
      <w:pPr>
        <w:spacing w:after="0" w:line="12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Pursuant to the Interim Provisions of the State Administration for Industry and Commerce on the Ratio of the Registered Capital to the Total</w:t>
      </w:r>
    </w:p>
    <w:p>
      <w:pPr>
        <w:spacing w:after="0" w:line="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Investment of a Sino-Foreign Equity Joint Venture Enterprise, promulgated by SAMR on February 17, 1987 and taking effect on March 1, 1987, with</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respect to a sino-foreign equity join venture, the registered capital shall be (i) no less than 7/10 of its total investment, if the total investment is</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US$3 million or under US$3 million; (ii) no less than 1/2 of its total investment, if the total investment is ranging from US$3 million to US$10 million</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(including US$10 million), provided that the registered capital shall not be less than US$2.1 million if the total investment is less than US$4.2 million;</w:t>
      </w:r>
    </w:p>
    <w:p>
      <w:pPr>
        <w:spacing w:after="0" w:line="6" w:lineRule="exact"/>
        <w:rPr>
          <w:sz w:val="20"/>
          <w:szCs w:val="20"/>
          <w:color w:val="auto"/>
        </w:rPr>
      </w:pPr>
    </w:p>
    <w:p>
      <w:pPr>
        <w:ind w:left="1680" w:right="599" w:hanging="4"/>
        <w:spacing w:after="0" w:line="253" w:lineRule="auto"/>
        <w:tabs>
          <w:tab w:leader="none" w:pos="1907"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less than 2/5 of its total investment, if the total investment is ranging from US$10 million to US$30 million (including US$30 million), provided that the registered capital shall not be less than US$5 million if the total investment is less than US$12.5 million; and (iv) no less than 1/3 of its total investment, if the total investment exceeds US$30 million, provided that the registered capital shall not be less than US$12 million if the total investment is less than US$36 million.</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101</w:t>
      </w:r>
    </w:p>
    <w:p>
      <w:pPr>
        <w:sectPr>
          <w:pgSz w:w="11900" w:h="16838" w:orient="portrait"/>
          <w:cols w:equalWidth="0" w:num="1">
            <w:col w:w="10159"/>
          </w:cols>
          <w:pgMar w:left="300" w:top="388" w:right="14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559" w:firstLine="317"/>
        <w:spacing w:after="0" w:line="251" w:lineRule="auto"/>
        <w:rPr>
          <w:sz w:val="20"/>
          <w:szCs w:val="20"/>
          <w:color w:val="auto"/>
        </w:rPr>
      </w:pPr>
      <w:r>
        <w:rPr>
          <w:rFonts w:ascii="Times New Roman" w:cs="Times New Roman" w:eastAsia="Times New Roman" w:hAnsi="Times New Roman"/>
          <w:sz w:val="13"/>
          <w:szCs w:val="13"/>
          <w:color w:val="auto"/>
        </w:rPr>
        <w:t>On January 11, 2017, the People’s Bank of China, or the PBOC promulgated the Notice of the People’s Bank of China on Matters concerning the Macro-Prudential Management of Full-Covered Cross-Border Financing, or the PBOC Notice No. 9. Pursuant to the PBOC Notice No. 9, within a transition period of one year from January 11, 2017, the foreign invested enterprises may adopt the currently valid foreign debt management mechanism, or Current Foreign Debt Mechanism, or the mechanism as provided in the PBOC Notice No. 9, or Notice No. 9 Foreign Debt Mechanism, at their own discretions. The PBOC Notice No. 9 provides that enterprises may conduct independent cross-border financing in Renminbi or foreign currencies as required. Pursuant to the PBOC Notice No. 9, the outstanding cross-border financing of an enterprise (the outstanding balance drawn, here and below) shall be calculated using a risk-weighted approach, or Risk-Weighted Approach, and shall not exceed the specified upper limit, namely: risk-weighted outstanding cross-border financing ≤ the upper limit of risk-weighted outstanding cross-border financing. Risk-weighted outstanding cross-border financing = Σoutstanding amount of Renminbi and foreign currency denominated cross-border financing * maturity risk conversion factor * type risk conversion factor + Σoutstanding foreign currency denominated cross-border financing * exchange rate risk conversion factor. Maturity risk conversion factor shall be one (1) for medium and long-term cross-border financing with a term of more than one year and 1.5 for short-term cross-border financing with a term of no less than one (1) year. Type risk conversion factor shall be one (1) for on-balance-sheet financing and one (1) for off-balance-sheet financing (contingent liabilities) for the time being. Exchange rate risk conversion factor shall be 0.5. The PBOC Notice No. 9 further provides that the upper limit of risk-weighted outstanding cross-border financing for enterprises shall calculated and adjustable based on the equation of upper limit of risk-weighted outstanding cross-border financing = the capital or the net assets × the leverage rate of cross-border financing × the macro-prudential adjustment parameter. For enterprises, the leverage rate of cross-border financing shall be 2 and the macro-prudential adjustment parameter shall be 1, which means that the upper limit of risk-weighted outstanding cross-border financing for an enterprise shall be 200% of its net assets. Enterprises shall file with the SAFE in its capital item information system after entering into the relevant cross-border financing contracts and prior to three (3) business days before drawing any money from the foreign debts. On March 11, 2020, the PBOC and the SAFE issued PBOC and SAFE Notice Concerning Adjustment to the Full Caliber Cross-border Finance Adjustment Parameter, pursuant to which the macro-prudential adjustment parameter has been increased from 1 to 1.25, which means that the upper limit of risk-weighted outstanding cross-border financing for an enterprise is increased to 250% of its net assets.</w:t>
      </w:r>
    </w:p>
    <w:p>
      <w:pPr>
        <w:spacing w:after="0" w:line="140" w:lineRule="exact"/>
        <w:rPr>
          <w:sz w:val="20"/>
          <w:szCs w:val="20"/>
          <w:color w:val="auto"/>
        </w:rPr>
      </w:pPr>
    </w:p>
    <w:p>
      <w:pPr>
        <w:ind w:left="1680" w:right="559" w:firstLine="317"/>
        <w:spacing w:after="0" w:line="253" w:lineRule="auto"/>
        <w:rPr>
          <w:sz w:val="20"/>
          <w:szCs w:val="20"/>
          <w:color w:val="auto"/>
        </w:rPr>
      </w:pPr>
      <w:r>
        <w:rPr>
          <w:rFonts w:ascii="Times New Roman" w:cs="Times New Roman" w:eastAsia="Times New Roman" w:hAnsi="Times New Roman"/>
          <w:sz w:val="13"/>
          <w:szCs w:val="13"/>
          <w:color w:val="auto"/>
        </w:rPr>
        <w:t>Based on the foregoing, if we provide funding to our wholly foreign owned subsidiaries through shareholder loans, the balance of such loans shall not exceed the Total Investment and Registered Capital Balance and we will need to register such loans with the SAFE or its local branches in the event that the Current Foreign Debt Mechanism applies, or the balance of such loans shall be subject to the Risk-Weighted Approach and the net asset limits and we will need to file the loans with the SAFE in its information system in the event that the Notice No. 9 Foreign Debt Mechanism applies. According to the PBOC Notice No. 9, after a transition period of one year from January 11, 2017, the PBOC and the SAFE will determine the cross-border financing administration mechanism for the foreign-invested enterprises after evaluating the overall implementation of the PBOC Notice No. 9. It is uncertain which mechanism will be adopted by the PBOC and the SAFE in the future and what statutory limits will be imposed on us when providing loans to our PRC subsidiaries.</w:t>
      </w:r>
    </w:p>
    <w:p>
      <w:pPr>
        <w:spacing w:after="0" w:line="21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Offshore Investment by PRC Residents</w:t>
      </w:r>
    </w:p>
    <w:p>
      <w:pPr>
        <w:spacing w:after="0" w:line="88" w:lineRule="exact"/>
        <w:rPr>
          <w:sz w:val="20"/>
          <w:szCs w:val="20"/>
          <w:color w:val="auto"/>
        </w:rPr>
      </w:pPr>
    </w:p>
    <w:p>
      <w:pPr>
        <w:ind w:left="1680" w:right="559" w:firstLine="317"/>
        <w:spacing w:after="0" w:line="252" w:lineRule="auto"/>
        <w:rPr>
          <w:sz w:val="20"/>
          <w:szCs w:val="20"/>
          <w:color w:val="auto"/>
        </w:rPr>
      </w:pPr>
      <w:r>
        <w:rPr>
          <w:rFonts w:ascii="Times New Roman" w:cs="Times New Roman" w:eastAsia="Times New Roman" w:hAnsi="Times New Roman"/>
          <w:sz w:val="13"/>
          <w:szCs w:val="13"/>
          <w:color w:val="auto"/>
        </w:rPr>
        <w:t>Pursuant to the SAFE’s Notice on Relevant Issues Concerning Foreign Exchange Administration for PRC Residents to Engage in Financing and Round-Trip Investment via Overseas Special Purpose Vehicles and its subsequent amendments, supplements or implementation rules, or SAFE Circular 75, issued on October 21, 2005, a PRC resident (whether a natural person or a legal person) shall register with the local branch of the SAFE before it establishes or controls an overseas special purpose vehicle, or an SPV, with assets or equity interests in a PRC company, for the purpose of overseas equity financing. On July 4, 2014, SAFE issued the SAFE’s Notice on Relevant Issues Concerning Foreign Exchange Administration for PRC Residents to Engage in Outbound Investment and Financing and Round-trip Investments via Special Purpose Vehicles, or the SAFE Circular 37, which superseded SAFE Circular 75. According to SAFE Circular 37, the PRC domestic resident shall apply for SAFE registration for overseas investment before paying capital to SPV by using his, her or its legal assets whether overseas or domestic. The SPV is defined as “offshore enterprise directly established or indirectly controlled by the domestic residents (including domestic institutions and individuals) with their legally owned assets and equity of the domestic enterprise, or legally owned offshore assets or equity, for the purpose of offshore investment and financing”. In addition, in the event that the SPV undergoes changes of its basic information such as the individual shareholder, name, operation term, etc., or material events including increase or decrease in investment amount by domestic individual shareholder, equity transfer or swap, mergers, spin-off, etc., the domestic resident shall timely complete the change of foreign exchange registration formality for offshore investment.</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102</w:t>
      </w:r>
    </w:p>
    <w:p>
      <w:pPr>
        <w:sectPr>
          <w:pgSz w:w="11900" w:h="16838" w:orient="portrait"/>
          <w:cols w:equalWidth="0" w:num="1">
            <w:col w:w="10159"/>
          </w:cols>
          <w:pgMar w:left="300" w:top="388" w:right="14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619" w:firstLine="317"/>
        <w:spacing w:after="0" w:line="254" w:lineRule="auto"/>
        <w:rPr>
          <w:sz w:val="20"/>
          <w:szCs w:val="20"/>
          <w:color w:val="auto"/>
        </w:rPr>
      </w:pPr>
      <w:r>
        <w:rPr>
          <w:rFonts w:ascii="Times New Roman" w:cs="Times New Roman" w:eastAsia="Times New Roman" w:hAnsi="Times New Roman"/>
          <w:sz w:val="13"/>
          <w:szCs w:val="13"/>
          <w:color w:val="auto"/>
        </w:rPr>
        <w:t>According to the SAFE Circular 37, failure to make such registration or truthfully disclose actual controllers of the round-trip enterprises may subject PRC residents to fines of up to RMB300,000 in case of domestic institutions or RMB50,000 in case of domestic individuals. If the registered or beneficial shareholders of the offshore holding company who are PRC residents do not complete their registration with the local SAFE branches, the relevant PRC subsidiary may be prohibited from distributing their profits and proceeds from any reduction in capital, share transfer or liquidation to the offshore company, and the offshore company may be restricted in its ability to contribute additional capital to its PRC subsidiary. Moreover, failure to comply with the SAFE registration and amendment requirements described above could result in liability under PRC laws for violating applicable foreign exchange restrictions.</w:t>
      </w:r>
    </w:p>
    <w:p>
      <w:pPr>
        <w:spacing w:after="0" w:line="138" w:lineRule="exact"/>
        <w:rPr>
          <w:sz w:val="20"/>
          <w:szCs w:val="20"/>
          <w:color w:val="auto"/>
        </w:rPr>
      </w:pPr>
    </w:p>
    <w:p>
      <w:pPr>
        <w:ind w:left="1680" w:right="559" w:firstLine="317"/>
        <w:spacing w:after="0" w:line="254" w:lineRule="auto"/>
        <w:rPr>
          <w:sz w:val="20"/>
          <w:szCs w:val="20"/>
          <w:color w:val="auto"/>
        </w:rPr>
      </w:pPr>
      <w:r>
        <w:rPr>
          <w:rFonts w:ascii="Times New Roman" w:cs="Times New Roman" w:eastAsia="Times New Roman" w:hAnsi="Times New Roman"/>
          <w:sz w:val="13"/>
          <w:szCs w:val="13"/>
          <w:color w:val="auto"/>
        </w:rPr>
        <w:t>Mr. Huazhi Hu, our founder, has completed initial registration under the SAFE Circular 37 with respect to his shareholding in our company through his wholly-owned company incorporated in the British Virgin Islands. An amendment to the registration is required if there are material changes to the registrant, such as any changes to the identity of the registrant, increases or decreases in investment amount, transfers or exchanges of shares and mergers. We cannot provide any assurance that all of our shareholders who are PRC residents will file all applicable registrations or amend previously filed registrations as required by these SAFE regulations. The failure or inability of our PRC resident shareholders to comply with the registration procedures may subject the PRC resident shareholders to fines and legal sanctions, restrict our cross-border investment activities, or limit our PRC subsidiaries’ ability to distribute dividends to or obtain foreign exchange-dominated loans from our company.</w:t>
      </w:r>
    </w:p>
    <w:p>
      <w:pPr>
        <w:spacing w:after="0" w:line="21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Dividend Distribution</w:t>
      </w:r>
    </w:p>
    <w:p>
      <w:pPr>
        <w:spacing w:after="0" w:line="86" w:lineRule="exact"/>
        <w:rPr>
          <w:sz w:val="20"/>
          <w:szCs w:val="20"/>
          <w:color w:val="auto"/>
        </w:rPr>
      </w:pPr>
    </w:p>
    <w:p>
      <w:pPr>
        <w:ind w:left="1680" w:right="559" w:firstLine="317"/>
        <w:spacing w:after="0" w:line="255" w:lineRule="auto"/>
        <w:rPr>
          <w:sz w:val="20"/>
          <w:szCs w:val="20"/>
          <w:color w:val="auto"/>
        </w:rPr>
      </w:pPr>
      <w:r>
        <w:rPr>
          <w:rFonts w:ascii="Times New Roman" w:cs="Times New Roman" w:eastAsia="Times New Roman" w:hAnsi="Times New Roman"/>
          <w:sz w:val="13"/>
          <w:szCs w:val="13"/>
          <w:color w:val="auto"/>
        </w:rPr>
        <w:t xml:space="preserve">The principal laws and regulations regulating the distribution of dividends by foreign-invested enterprises in the PRC include the </w:t>
      </w:r>
      <w:r>
        <w:rPr>
          <w:rFonts w:ascii="Times New Roman" w:cs="Times New Roman" w:eastAsia="Times New Roman" w:hAnsi="Times New Roman"/>
          <w:sz w:val="13"/>
          <w:szCs w:val="13"/>
          <w:i w:val="1"/>
          <w:iCs w:val="1"/>
          <w:color w:val="auto"/>
        </w:rPr>
        <w:t>PRC Company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Law</w:t>
      </w:r>
      <w:r>
        <w:rPr>
          <w:rFonts w:ascii="Times New Roman" w:cs="Times New Roman" w:eastAsia="Times New Roman" w:hAnsi="Times New Roman"/>
          <w:sz w:val="13"/>
          <w:szCs w:val="13"/>
          <w:color w:val="auto"/>
        </w:rPr>
        <w:t>, as amended in 2004, 2005, 2013 and 2018, the</w:t>
      </w:r>
      <w:r>
        <w:rPr>
          <w:rFonts w:ascii="Times New Roman" w:cs="Times New Roman" w:eastAsia="Times New Roman" w:hAnsi="Times New Roman"/>
          <w:sz w:val="13"/>
          <w:szCs w:val="13"/>
          <w:i w:val="1"/>
          <w:iCs w:val="1"/>
          <w:color w:val="auto"/>
        </w:rPr>
        <w:t xml:space="preserve"> Foreign Investment Law of PRC </w:t>
      </w:r>
      <w:r>
        <w:rPr>
          <w:rFonts w:ascii="Times New Roman" w:cs="Times New Roman" w:eastAsia="Times New Roman" w:hAnsi="Times New Roman"/>
          <w:sz w:val="13"/>
          <w:szCs w:val="13"/>
          <w:color w:val="auto"/>
        </w:rPr>
        <w:t>promulgated in 2020 and the</w:t>
      </w:r>
      <w:r>
        <w:rPr>
          <w:rFonts w:ascii="Times New Roman" w:cs="Times New Roman" w:eastAsia="Times New Roman" w:hAnsi="Times New Roman"/>
          <w:sz w:val="13"/>
          <w:szCs w:val="13"/>
          <w:i w:val="1"/>
          <w:iCs w:val="1"/>
          <w:color w:val="auto"/>
        </w:rPr>
        <w:t xml:space="preserve"> Implementation Rules to the Foreign Investment Law </w:t>
      </w:r>
      <w:r>
        <w:rPr>
          <w:rFonts w:ascii="Times New Roman" w:cs="Times New Roman" w:eastAsia="Times New Roman" w:hAnsi="Times New Roman"/>
          <w:sz w:val="13"/>
          <w:szCs w:val="13"/>
          <w:color w:val="auto"/>
        </w:rPr>
        <w:t>promulgated in 2020. Under the current regulatory regime in the PRC, foreign-invested enterprises may pay dividends only out of their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retained earnings, if any, as determined in accordance with PRC accounting standards and regulations. A PRC company is required to set aside as statutory reserve funds of at least 10% of its after-tax profit, until the cumulative amount of such reserve funds reaches 50% of its registered capital unless laws regarding foreign investment provide otherwise. A PRC company shall not distribute any profits until any losses from prior fiscal years have been offset. Profits retained from prior fiscal years may be distributed together with distributable profits from the current fiscal year.</w:t>
      </w:r>
    </w:p>
    <w:p>
      <w:pPr>
        <w:spacing w:after="0" w:line="20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Taxation</w:t>
      </w:r>
    </w:p>
    <w:p>
      <w:pPr>
        <w:spacing w:after="0" w:line="8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Enterprise Income Tax</w:t>
      </w:r>
    </w:p>
    <w:p>
      <w:pPr>
        <w:spacing w:after="0" w:line="86" w:lineRule="exact"/>
        <w:rPr>
          <w:sz w:val="20"/>
          <w:szCs w:val="20"/>
          <w:color w:val="auto"/>
        </w:rPr>
      </w:pPr>
    </w:p>
    <w:p>
      <w:pPr>
        <w:ind w:left="1680" w:right="619" w:firstLine="317"/>
        <w:spacing w:after="0" w:line="252" w:lineRule="auto"/>
        <w:rPr>
          <w:sz w:val="20"/>
          <w:szCs w:val="20"/>
          <w:color w:val="auto"/>
        </w:rPr>
      </w:pPr>
      <w:r>
        <w:rPr>
          <w:rFonts w:ascii="Times New Roman" w:cs="Times New Roman" w:eastAsia="Times New Roman" w:hAnsi="Times New Roman"/>
          <w:sz w:val="13"/>
          <w:szCs w:val="13"/>
          <w:color w:val="auto"/>
        </w:rPr>
        <w:t xml:space="preserve">On March 16, 2007, the SCNPC promulgated the </w:t>
      </w:r>
      <w:r>
        <w:rPr>
          <w:rFonts w:ascii="Times New Roman" w:cs="Times New Roman" w:eastAsia="Times New Roman" w:hAnsi="Times New Roman"/>
          <w:sz w:val="13"/>
          <w:szCs w:val="13"/>
          <w:i w:val="1"/>
          <w:iCs w:val="1"/>
          <w:color w:val="auto"/>
        </w:rPr>
        <w:t>Enterprise Income Tax Law of the PRC</w:t>
      </w:r>
      <w:r>
        <w:rPr>
          <w:rFonts w:ascii="Times New Roman" w:cs="Times New Roman" w:eastAsia="Times New Roman" w:hAnsi="Times New Roman"/>
          <w:sz w:val="13"/>
          <w:szCs w:val="13"/>
          <w:color w:val="auto"/>
        </w:rPr>
        <w:t xml:space="preserve"> which was amended on February 24, 2017 and December 29, 2018. On December 6, 2007, the State Council enacted the </w:t>
      </w:r>
      <w:r>
        <w:rPr>
          <w:rFonts w:ascii="Times New Roman" w:cs="Times New Roman" w:eastAsia="Times New Roman" w:hAnsi="Times New Roman"/>
          <w:sz w:val="13"/>
          <w:szCs w:val="13"/>
          <w:i w:val="1"/>
          <w:iCs w:val="1"/>
          <w:color w:val="auto"/>
        </w:rPr>
        <w:t>Regulations for the Implementation of the Enterprise Income Tax Law</w:t>
      </w:r>
      <w:r>
        <w:rPr>
          <w:rFonts w:ascii="Times New Roman" w:cs="Times New Roman" w:eastAsia="Times New Roman" w:hAnsi="Times New Roman"/>
          <w:sz w:val="13"/>
          <w:szCs w:val="13"/>
          <w:color w:val="auto"/>
        </w:rPr>
        <w:t>, or collectively, the EIT Law. The EIT Law came into effect on January 1, 2008 and was amended on April 23, 2019. Under the EIT Law, both resident enterprises and non-resident enterprises are subject to tax in the PRC. Resident enterprises are defined as enterprises that are established in China in accordance with PRC laws, or that are established in accordance with the laws of foreign countries but are actually or in effect controlled from within the PRC. Non-resident enterprises are defined as enterprises that are organized under the laws of foreign countries and whose actual management is conducted outside the PRC, but have established institutions or premises in the PRC, or have no such established institutions or premises but have income generated from inside the PRC. Under the EIT Law and relevant implementing regulations, a uniform corporate income tax rate of 25% is applied. However, if non-resident enterprises have not formed permanent establishments or premises in the PRC, or if they have formed permanent establishment or premises in the PRC but there is no actual relationship between the relevant income derived in the PRC and the established institutions or premises set up by them, enterprise income tax is set at the rate of 10% with respect to their income sourced from inside the PRC. According to the EIT Law and relevant regulations, subject to the approval of competent tax authorities, the income tax of an enterprise that has been determined to be a high and new technology enterprise shall be reduced to a preferential rate of 15%.</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103</w:t>
      </w:r>
    </w:p>
    <w:p>
      <w:pPr>
        <w:sectPr>
          <w:pgSz w:w="11900" w:h="16838" w:orient="portrait"/>
          <w:cols w:equalWidth="0" w:num="1">
            <w:col w:w="10159"/>
          </w:cols>
          <w:pgMar w:left="300" w:top="388" w:right="1440"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1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Value-added Tax</w:t>
      </w:r>
    </w:p>
    <w:p>
      <w:pPr>
        <w:spacing w:after="0" w:line="86" w:lineRule="exact"/>
        <w:rPr>
          <w:sz w:val="20"/>
          <w:szCs w:val="20"/>
          <w:color w:val="auto"/>
        </w:rPr>
      </w:pPr>
    </w:p>
    <w:p>
      <w:pPr>
        <w:ind w:left="1680" w:right="539" w:firstLine="317"/>
        <w:spacing w:after="0" w:line="256" w:lineRule="auto"/>
        <w:rPr>
          <w:sz w:val="20"/>
          <w:szCs w:val="20"/>
          <w:color w:val="auto"/>
        </w:rPr>
      </w:pPr>
      <w:r>
        <w:rPr>
          <w:rFonts w:ascii="Times New Roman" w:cs="Times New Roman" w:eastAsia="Times New Roman" w:hAnsi="Times New Roman"/>
          <w:sz w:val="13"/>
          <w:szCs w:val="13"/>
          <w:color w:val="auto"/>
        </w:rPr>
        <w:t xml:space="preserve">The </w:t>
      </w:r>
      <w:r>
        <w:rPr>
          <w:rFonts w:ascii="Times New Roman" w:cs="Times New Roman" w:eastAsia="Times New Roman" w:hAnsi="Times New Roman"/>
          <w:sz w:val="13"/>
          <w:szCs w:val="13"/>
          <w:i w:val="1"/>
          <w:iCs w:val="1"/>
          <w:color w:val="auto"/>
        </w:rPr>
        <w:t>Provisional Regulations of the PRC on Value-added Tax</w:t>
      </w:r>
      <w:r>
        <w:rPr>
          <w:rFonts w:ascii="Times New Roman" w:cs="Times New Roman" w:eastAsia="Times New Roman" w:hAnsi="Times New Roman"/>
          <w:sz w:val="13"/>
          <w:szCs w:val="13"/>
          <w:color w:val="auto"/>
        </w:rPr>
        <w:t xml:space="preserve"> was promulgated by the State Council on December 13, 1993 and came into effect on January 1, 1994 and was subsequently amended from time to time, and the </w:t>
      </w:r>
      <w:r>
        <w:rPr>
          <w:rFonts w:ascii="Times New Roman" w:cs="Times New Roman" w:eastAsia="Times New Roman" w:hAnsi="Times New Roman"/>
          <w:sz w:val="13"/>
          <w:szCs w:val="13"/>
          <w:i w:val="1"/>
          <w:iCs w:val="1"/>
          <w:color w:val="auto"/>
        </w:rPr>
        <w:t>Detailed Rules for the Implementation of the Provisional Regulations of the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PRC on Value-added Tax </w:t>
      </w:r>
      <w:r>
        <w:rPr>
          <w:rFonts w:ascii="Times New Roman" w:cs="Times New Roman" w:eastAsia="Times New Roman" w:hAnsi="Times New Roman"/>
          <w:sz w:val="13"/>
          <w:szCs w:val="13"/>
          <w:color w:val="auto"/>
        </w:rPr>
        <w:t>(Revised in 2011) was promulgated by the Ministry of Finance, or the MOF, on December 25, 1993 and subsequently amended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on December 15, 2008 and October 28, 2011, or collectively, VAT Law. According to the VAT Law and the Order 691, all enterprises and individuals engaged in the sale of goods, the provision of processing, repair and replacement services, sale of services, intangible assets, real property and the importation of goods within the territory of the PRC are taxpayers of VAT.</w:t>
      </w:r>
    </w:p>
    <w:p>
      <w:pPr>
        <w:spacing w:after="0" w:line="133" w:lineRule="exact"/>
        <w:rPr>
          <w:sz w:val="20"/>
          <w:szCs w:val="20"/>
          <w:color w:val="auto"/>
        </w:rPr>
      </w:pPr>
    </w:p>
    <w:p>
      <w:pPr>
        <w:ind w:left="1680" w:right="559" w:firstLine="317"/>
        <w:spacing w:after="0" w:line="253" w:lineRule="auto"/>
        <w:rPr>
          <w:sz w:val="20"/>
          <w:szCs w:val="20"/>
          <w:color w:val="auto"/>
        </w:rPr>
      </w:pPr>
      <w:r>
        <w:rPr>
          <w:rFonts w:ascii="Times New Roman" w:cs="Times New Roman" w:eastAsia="Times New Roman" w:hAnsi="Times New Roman"/>
          <w:sz w:val="13"/>
          <w:szCs w:val="13"/>
          <w:color w:val="auto"/>
        </w:rPr>
        <w:t xml:space="preserve">On November 19, 2017, the State Council promulgated the </w:t>
      </w:r>
      <w:r>
        <w:rPr>
          <w:rFonts w:ascii="Times New Roman" w:cs="Times New Roman" w:eastAsia="Times New Roman" w:hAnsi="Times New Roman"/>
          <w:sz w:val="13"/>
          <w:szCs w:val="13"/>
          <w:i w:val="1"/>
          <w:iCs w:val="1"/>
          <w:color w:val="auto"/>
        </w:rPr>
        <w:t>Decisions on Abolishing the Provisional Regulations of the PRC on Business Tax and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Amending the Provisional Regulations of the PRC on Value-added Tax</w:t>
      </w:r>
      <w:r>
        <w:rPr>
          <w:rFonts w:ascii="Times New Roman" w:cs="Times New Roman" w:eastAsia="Times New Roman" w:hAnsi="Times New Roman"/>
          <w:sz w:val="13"/>
          <w:szCs w:val="13"/>
          <w:color w:val="auto"/>
        </w:rPr>
        <w:t>, or the Order 691. The VAT tax rates generally applicable are simplified as 17%,</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11%, 6% and 0%, and the VAT tax rate applicable to the small-scale taxpayers is 3%. Pursuant to the </w:t>
      </w:r>
      <w:r>
        <w:rPr>
          <w:rFonts w:ascii="Times New Roman" w:cs="Times New Roman" w:eastAsia="Times New Roman" w:hAnsi="Times New Roman"/>
          <w:sz w:val="13"/>
          <w:szCs w:val="13"/>
          <w:i w:val="1"/>
          <w:iCs w:val="1"/>
          <w:color w:val="auto"/>
        </w:rPr>
        <w:t>Circular of the Ministry of Finance and the State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Administration of Taxation on Adjusting Value-added Tax Rates </w:t>
      </w:r>
      <w:r>
        <w:rPr>
          <w:rFonts w:ascii="Times New Roman" w:cs="Times New Roman" w:eastAsia="Times New Roman" w:hAnsi="Times New Roman"/>
          <w:sz w:val="13"/>
          <w:szCs w:val="13"/>
          <w:color w:val="auto"/>
        </w:rPr>
        <w:t>promulgated on April 4, 2018 by the Ministry of Finance and the State Administration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of Taxation, which became effective on May 1, 2018, where a taxpayer engages in a taxable sales activity for the value-added tax purpose or imports goods, the previous applicable 17% and 11% tax rates are adjusted to be 16% and 10%, respectively. Pursuant to </w:t>
      </w:r>
      <w:r>
        <w:rPr>
          <w:rFonts w:ascii="Times New Roman" w:cs="Times New Roman" w:eastAsia="Times New Roman" w:hAnsi="Times New Roman"/>
          <w:sz w:val="13"/>
          <w:szCs w:val="13"/>
          <w:i w:val="1"/>
          <w:iCs w:val="1"/>
          <w:color w:val="auto"/>
        </w:rPr>
        <w:t>Announcement on Policies for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Deepening the VAT Reform </w:t>
      </w:r>
      <w:r>
        <w:rPr>
          <w:rFonts w:ascii="Times New Roman" w:cs="Times New Roman" w:eastAsia="Times New Roman" w:hAnsi="Times New Roman"/>
          <w:sz w:val="13"/>
          <w:szCs w:val="13"/>
          <w:color w:val="auto"/>
        </w:rPr>
        <w:t>issued by the PRC Ministry of Finance, the PRC State Taxation Administration and the General Administration of Customs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(“Announcement No. 39”) on March 20, 2019 and effective on April 1, 2019, the previous rate of 16% or 10% are adjusted to be 13% or 9%, respective, for taxpayer’s general sale activities or imports.</w:t>
      </w:r>
    </w:p>
    <w:p>
      <w:pPr>
        <w:spacing w:after="0" w:line="21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Tax on Indirect Transfer</w:t>
      </w:r>
    </w:p>
    <w:p>
      <w:pPr>
        <w:spacing w:after="0" w:line="86" w:lineRule="exact"/>
        <w:rPr>
          <w:sz w:val="20"/>
          <w:szCs w:val="20"/>
          <w:color w:val="auto"/>
        </w:rPr>
      </w:pPr>
    </w:p>
    <w:p>
      <w:pPr>
        <w:ind w:left="1680" w:right="599" w:firstLine="317"/>
        <w:spacing w:after="0" w:line="252" w:lineRule="auto"/>
        <w:rPr>
          <w:sz w:val="20"/>
          <w:szCs w:val="20"/>
          <w:color w:val="auto"/>
        </w:rPr>
      </w:pPr>
      <w:r>
        <w:rPr>
          <w:rFonts w:ascii="Times New Roman" w:cs="Times New Roman" w:eastAsia="Times New Roman" w:hAnsi="Times New Roman"/>
          <w:sz w:val="13"/>
          <w:szCs w:val="13"/>
          <w:color w:val="auto"/>
        </w:rPr>
        <w:t xml:space="preserve">On February 3, 2015, the SAT issued the </w:t>
      </w:r>
      <w:r>
        <w:rPr>
          <w:rFonts w:ascii="Times New Roman" w:cs="Times New Roman" w:eastAsia="Times New Roman" w:hAnsi="Times New Roman"/>
          <w:sz w:val="13"/>
          <w:szCs w:val="13"/>
          <w:i w:val="1"/>
          <w:iCs w:val="1"/>
          <w:color w:val="auto"/>
        </w:rPr>
        <w:t>Circular on Issues of Enterprise Income Tax on Indirect Transfers of Assets by Non-PRC Resident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Enterprises</w:t>
      </w:r>
      <w:r>
        <w:rPr>
          <w:rFonts w:ascii="Times New Roman" w:cs="Times New Roman" w:eastAsia="Times New Roman" w:hAnsi="Times New Roman"/>
          <w:sz w:val="13"/>
          <w:szCs w:val="13"/>
          <w:color w:val="auto"/>
        </w:rPr>
        <w:t>, or the SAT Circular 7. Pursuant to the SAT Circular 7, an “indirect transfer” of assets, including equity interests in a PRC resident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enterprise, by non-PRC resident enterprises, may be recharacterized and treated as a direct transfer of PRC taxable assets, if such arrangement does not have a reasonable commercial purpose and was established for the purpose of avoiding payment of PRC enterprise income tax. As a result, gains derived from such indirect transfer may be subject to PRC enterprise income tax. When determining whether there is a “reasonable commercial purpose” of the transaction arrangement, features to be taken into consideration include, </w:t>
      </w:r>
      <w:r>
        <w:rPr>
          <w:rFonts w:ascii="Times New Roman" w:cs="Times New Roman" w:eastAsia="Times New Roman" w:hAnsi="Times New Roman"/>
          <w:sz w:val="13"/>
          <w:szCs w:val="13"/>
          <w:i w:val="1"/>
          <w:iCs w:val="1"/>
          <w:color w:val="auto"/>
        </w:rPr>
        <w:t>inter alia</w:t>
      </w:r>
      <w:r>
        <w:rPr>
          <w:rFonts w:ascii="Times New Roman" w:cs="Times New Roman" w:eastAsia="Times New Roman" w:hAnsi="Times New Roman"/>
          <w:sz w:val="13"/>
          <w:szCs w:val="13"/>
          <w:color w:val="auto"/>
        </w:rPr>
        <w:t xml:space="preserve">, whether the main value of the equity interest of the relevant offshore enterprise derives directly or indirectly from PRC taxable assets; whether the assets of the relevant offshore enterprise mainly consists of direct or indirect investment in China or if its income is mainly derived from China; and whether the offshore enterprise and its subsidiaries directly or indirectly holding PRC taxable assets have real commercial nature which is evidenced by their actual function and risk exposure. The SAT Circular 7 does not apply to transactions of sale of shares by investors through a public stock exchange where such shares were acquired on a public stock exchange. On October 17, 2017, the SAT issued the </w:t>
      </w:r>
      <w:r>
        <w:rPr>
          <w:rFonts w:ascii="Times New Roman" w:cs="Times New Roman" w:eastAsia="Times New Roman" w:hAnsi="Times New Roman"/>
          <w:sz w:val="13"/>
          <w:szCs w:val="13"/>
          <w:i w:val="1"/>
          <w:iCs w:val="1"/>
          <w:color w:val="auto"/>
        </w:rPr>
        <w:t>Circular on Issues of Tax Withholding regarding Source of Non-PRC Resident Enterprise Income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Tax</w:t>
      </w:r>
      <w:r>
        <w:rPr>
          <w:rFonts w:ascii="Times New Roman" w:cs="Times New Roman" w:eastAsia="Times New Roman" w:hAnsi="Times New Roman"/>
          <w:sz w:val="13"/>
          <w:szCs w:val="13"/>
          <w:color w:val="auto"/>
        </w:rPr>
        <w:t>, or the SAT Circular 37, which further elaborates on the relevant implemental rules regarding the calculation, reporting and payment obligations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withholding tax by the non-resident enterprises.</w:t>
      </w:r>
    </w:p>
    <w:p>
      <w:pPr>
        <w:spacing w:after="0" w:line="214" w:lineRule="exact"/>
        <w:rPr>
          <w:sz w:val="20"/>
          <w:szCs w:val="20"/>
          <w:color w:val="auto"/>
        </w:rPr>
      </w:pPr>
    </w:p>
    <w:p>
      <w:pPr>
        <w:jc w:val="center"/>
        <w:ind w:right="5079"/>
        <w:spacing w:after="0"/>
        <w:rPr>
          <w:sz w:val="20"/>
          <w:szCs w:val="20"/>
          <w:color w:val="auto"/>
        </w:rPr>
      </w:pPr>
      <w:r>
        <w:rPr>
          <w:rFonts w:ascii="Times New Roman" w:cs="Times New Roman" w:eastAsia="Times New Roman" w:hAnsi="Times New Roman"/>
          <w:sz w:val="13"/>
          <w:szCs w:val="13"/>
          <w:b w:val="1"/>
          <w:bCs w:val="1"/>
          <w:i w:val="1"/>
          <w:iCs w:val="1"/>
          <w:color w:val="auto"/>
        </w:rPr>
        <w:t>Employment and Social Welfare</w:t>
      </w:r>
    </w:p>
    <w:p>
      <w:pPr>
        <w:spacing w:after="0" w:line="84" w:lineRule="exact"/>
        <w:rPr>
          <w:sz w:val="20"/>
          <w:szCs w:val="20"/>
          <w:color w:val="auto"/>
        </w:rPr>
      </w:pPr>
    </w:p>
    <w:p>
      <w:pPr>
        <w:jc w:val="center"/>
        <w:ind w:right="5079"/>
        <w:spacing w:after="0"/>
        <w:rPr>
          <w:sz w:val="20"/>
          <w:szCs w:val="20"/>
          <w:color w:val="auto"/>
        </w:rPr>
      </w:pPr>
      <w:r>
        <w:rPr>
          <w:rFonts w:ascii="Times New Roman" w:cs="Times New Roman" w:eastAsia="Times New Roman" w:hAnsi="Times New Roman"/>
          <w:sz w:val="13"/>
          <w:szCs w:val="13"/>
          <w:b w:val="1"/>
          <w:bCs w:val="1"/>
          <w:i w:val="1"/>
          <w:iCs w:val="1"/>
          <w:color w:val="auto"/>
        </w:rPr>
        <w:t>Labor Contract Law</w:t>
      </w:r>
    </w:p>
    <w:p>
      <w:pPr>
        <w:spacing w:after="0" w:line="86" w:lineRule="exact"/>
        <w:rPr>
          <w:sz w:val="20"/>
          <w:szCs w:val="20"/>
          <w:color w:val="auto"/>
        </w:rPr>
      </w:pPr>
    </w:p>
    <w:p>
      <w:pPr>
        <w:ind w:left="1680" w:right="599" w:firstLine="317"/>
        <w:spacing w:after="0" w:line="256" w:lineRule="auto"/>
        <w:rPr>
          <w:sz w:val="20"/>
          <w:szCs w:val="20"/>
          <w:color w:val="auto"/>
        </w:rPr>
      </w:pPr>
      <w:r>
        <w:rPr>
          <w:rFonts w:ascii="Times New Roman" w:cs="Times New Roman" w:eastAsia="Times New Roman" w:hAnsi="Times New Roman"/>
          <w:sz w:val="13"/>
          <w:szCs w:val="13"/>
          <w:color w:val="auto"/>
        </w:rPr>
        <w:t xml:space="preserve">The </w:t>
      </w:r>
      <w:r>
        <w:rPr>
          <w:rFonts w:ascii="Times New Roman" w:cs="Times New Roman" w:eastAsia="Times New Roman" w:hAnsi="Times New Roman"/>
          <w:sz w:val="13"/>
          <w:szCs w:val="13"/>
          <w:i w:val="1"/>
          <w:iCs w:val="1"/>
          <w:color w:val="auto"/>
        </w:rPr>
        <w:t>Labor Contract Law of the PRC</w:t>
      </w:r>
      <w:r>
        <w:rPr>
          <w:rFonts w:ascii="Times New Roman" w:cs="Times New Roman" w:eastAsia="Times New Roman" w:hAnsi="Times New Roman"/>
          <w:sz w:val="13"/>
          <w:szCs w:val="13"/>
          <w:color w:val="auto"/>
        </w:rPr>
        <w:t>, or the Labor Contract Law, which was promulgated on January 1, 2008 and amended on December 28, 2012, is primarily aimed at regulating rights and obligations of employer and employee relationships, including the establishment, performance and termination of labor contracts. Pursuant to the Labor Contract Law, labor contracts shall be concluded in writing if labor relationships are to be or have been established between employers and employees. Employers are prohibited from forcing employees to work in excess of certain time limit and employers shall pay employees for overtime work in accordance with national regulations. In addition, employee wages shall be no lower than the local minimum wages and must be paid to employees in a timely manner</w:t>
      </w:r>
      <w:r>
        <w:rPr>
          <w:rFonts w:ascii="Times New Roman" w:cs="Times New Roman" w:eastAsia="Times New Roman" w:hAnsi="Times New Roman"/>
          <w:sz w:val="13"/>
          <w:szCs w:val="13"/>
          <w:b w:val="1"/>
          <w:bCs w:val="1"/>
          <w:color w:val="auto"/>
        </w:rPr>
        <w:t>.</w:t>
      </w:r>
    </w:p>
    <w:p>
      <w:pPr>
        <w:spacing w:after="0" w:line="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104</w:t>
      </w:r>
    </w:p>
    <w:p>
      <w:pPr>
        <w:sectPr>
          <w:pgSz w:w="11900" w:h="16838" w:orient="portrait"/>
          <w:cols w:equalWidth="0" w:num="1">
            <w:col w:w="10159"/>
          </w:cols>
          <w:pgMar w:left="300" w:top="388" w:right="1440"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1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Interim Provisions on Labor Dispatch</w:t>
      </w:r>
    </w:p>
    <w:p>
      <w:pPr>
        <w:spacing w:after="0" w:line="86" w:lineRule="exact"/>
        <w:rPr>
          <w:sz w:val="20"/>
          <w:szCs w:val="20"/>
          <w:color w:val="auto"/>
        </w:rPr>
      </w:pPr>
    </w:p>
    <w:p>
      <w:pPr>
        <w:ind w:left="1680" w:right="579" w:firstLine="317"/>
        <w:spacing w:after="0" w:line="260" w:lineRule="auto"/>
        <w:rPr>
          <w:sz w:val="20"/>
          <w:szCs w:val="20"/>
          <w:color w:val="auto"/>
        </w:rPr>
      </w:pPr>
      <w:r>
        <w:rPr>
          <w:rFonts w:ascii="Times New Roman" w:cs="Times New Roman" w:eastAsia="Times New Roman" w:hAnsi="Times New Roman"/>
          <w:sz w:val="13"/>
          <w:szCs w:val="13"/>
          <w:color w:val="auto"/>
        </w:rPr>
        <w:t xml:space="preserve">Pursuant to the </w:t>
      </w:r>
      <w:r>
        <w:rPr>
          <w:rFonts w:ascii="Times New Roman" w:cs="Times New Roman" w:eastAsia="Times New Roman" w:hAnsi="Times New Roman"/>
          <w:sz w:val="13"/>
          <w:szCs w:val="13"/>
          <w:i w:val="1"/>
          <w:iCs w:val="1"/>
          <w:color w:val="auto"/>
        </w:rPr>
        <w:t>Interim Provisions on Labor Dispatch</w:t>
      </w:r>
      <w:r>
        <w:rPr>
          <w:rFonts w:ascii="Times New Roman" w:cs="Times New Roman" w:eastAsia="Times New Roman" w:hAnsi="Times New Roman"/>
          <w:sz w:val="13"/>
          <w:szCs w:val="13"/>
          <w:color w:val="auto"/>
        </w:rPr>
        <w:t xml:space="preserve"> promulgated by the Ministry of Human Resources and Social Security on January 24, 2014, which became effective on March 1, 2014, dispatched workers are entitled to the same pay as the fulltime employees for the same nature of work. Employers are allowed to use dispatched workers for temporary, auxiliary or substitutive positions, and the number of dispatched workers must not exceed 10% of the total number of employees.</w:t>
      </w:r>
    </w:p>
    <w:p>
      <w:pPr>
        <w:spacing w:after="0" w:line="20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Social Insurance and Housing Fund</w:t>
      </w:r>
    </w:p>
    <w:p>
      <w:pPr>
        <w:spacing w:after="0" w:line="8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As required under the Regulation of Insurance for Labor Injury implemented on January 1, 2004 and amended in 2010, the Provisional Measures</w:t>
      </w:r>
    </w:p>
    <w:p>
      <w:pPr>
        <w:spacing w:after="0" w:line="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 xml:space="preserve">for Maternity Insurance of Employees of Corporations implemented on January 1, 1995, the </w:t>
      </w:r>
      <w:r>
        <w:rPr>
          <w:rFonts w:ascii="Times New Roman" w:cs="Times New Roman" w:eastAsia="Times New Roman" w:hAnsi="Times New Roman"/>
          <w:sz w:val="13"/>
          <w:szCs w:val="13"/>
          <w:i w:val="1"/>
          <w:iCs w:val="1"/>
          <w:color w:val="auto"/>
        </w:rPr>
        <w:t>Decisions on the Establishment of a Unified Pension</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i w:val="1"/>
          <w:iCs w:val="1"/>
          <w:color w:val="auto"/>
        </w:rPr>
        <w:t xml:space="preserve">Insurance Program for Enterprise Employees of the State Council </w:t>
      </w:r>
      <w:r>
        <w:rPr>
          <w:rFonts w:ascii="Times New Roman" w:cs="Times New Roman" w:eastAsia="Times New Roman" w:hAnsi="Times New Roman"/>
          <w:sz w:val="13"/>
          <w:szCs w:val="13"/>
          <w:color w:val="auto"/>
        </w:rPr>
        <w:t>issued on July 16, 1997, the Decisions on the</w:t>
      </w:r>
      <w:r>
        <w:rPr>
          <w:rFonts w:ascii="Times New Roman" w:cs="Times New Roman" w:eastAsia="Times New Roman" w:hAnsi="Times New Roman"/>
          <w:sz w:val="13"/>
          <w:szCs w:val="13"/>
          <w:i w:val="1"/>
          <w:iCs w:val="1"/>
          <w:color w:val="auto"/>
        </w:rPr>
        <w:t xml:space="preserve"> Establishment of the Medical Insurance</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i w:val="1"/>
          <w:iCs w:val="1"/>
          <w:color w:val="auto"/>
        </w:rPr>
        <w:t xml:space="preserve">Program for Urban Workers of the State </w:t>
      </w:r>
      <w:r>
        <w:rPr>
          <w:rFonts w:ascii="Times New Roman" w:cs="Times New Roman" w:eastAsia="Times New Roman" w:hAnsi="Times New Roman"/>
          <w:sz w:val="13"/>
          <w:szCs w:val="13"/>
          <w:color w:val="auto"/>
        </w:rPr>
        <w:t>Council promulgated on December 14, 1998, the</w:t>
      </w:r>
      <w:r>
        <w:rPr>
          <w:rFonts w:ascii="Times New Roman" w:cs="Times New Roman" w:eastAsia="Times New Roman" w:hAnsi="Times New Roman"/>
          <w:sz w:val="13"/>
          <w:szCs w:val="13"/>
          <w:i w:val="1"/>
          <w:iCs w:val="1"/>
          <w:color w:val="auto"/>
        </w:rPr>
        <w:t xml:space="preserve"> Unemployment Insurance Measures </w:t>
      </w:r>
      <w:r>
        <w:rPr>
          <w:rFonts w:ascii="Times New Roman" w:cs="Times New Roman" w:eastAsia="Times New Roman" w:hAnsi="Times New Roman"/>
          <w:sz w:val="13"/>
          <w:szCs w:val="13"/>
          <w:color w:val="auto"/>
        </w:rPr>
        <w:t>promulgated on</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2"/>
          <w:szCs w:val="12"/>
          <w:color w:val="auto"/>
        </w:rPr>
        <w:t xml:space="preserve">January 22, 1999 and the </w:t>
      </w:r>
      <w:r>
        <w:rPr>
          <w:rFonts w:ascii="Times New Roman" w:cs="Times New Roman" w:eastAsia="Times New Roman" w:hAnsi="Times New Roman"/>
          <w:sz w:val="12"/>
          <w:szCs w:val="12"/>
          <w:i w:val="1"/>
          <w:iCs w:val="1"/>
          <w:color w:val="auto"/>
        </w:rPr>
        <w:t>Social Insurance Law of the PRC</w:t>
      </w:r>
      <w:r>
        <w:rPr>
          <w:rFonts w:ascii="Times New Roman" w:cs="Times New Roman" w:eastAsia="Times New Roman" w:hAnsi="Times New Roman"/>
          <w:sz w:val="12"/>
          <w:szCs w:val="12"/>
          <w:color w:val="auto"/>
        </w:rPr>
        <w:t xml:space="preserve"> implemented on July 1, 2011 and amended on December 29, 2018, employers are required to</w:t>
      </w:r>
    </w:p>
    <w:p>
      <w:pPr>
        <w:spacing w:after="0" w:line="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provide their employees in the PRC with welfare benefits covering pension insurance, unemployment insurance, maternity insurance, labor injury</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insurance and medical insurance. These payments are made to local administrative authorities. Any employer that fails to make social insurance</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contributions may be ordered to rectify the non-compliance and pay the required contributions within a prescribed time limit and be subject to a late fee.</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If the employer still fails to rectify the failure to make the relevant contributions within the grace period, it may be subject to a fine ranging from one</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(1) to three (3) times the amount overdue.</w:t>
      </w:r>
    </w:p>
    <w:p>
      <w:pPr>
        <w:spacing w:after="0" w:line="148" w:lineRule="exact"/>
        <w:rPr>
          <w:sz w:val="20"/>
          <w:szCs w:val="20"/>
          <w:color w:val="auto"/>
        </w:rPr>
      </w:pPr>
    </w:p>
    <w:p>
      <w:pPr>
        <w:ind w:left="1680" w:right="579" w:firstLine="317"/>
        <w:spacing w:after="0" w:line="260" w:lineRule="auto"/>
        <w:rPr>
          <w:sz w:val="20"/>
          <w:szCs w:val="20"/>
          <w:color w:val="auto"/>
        </w:rPr>
      </w:pPr>
      <w:r>
        <w:rPr>
          <w:rFonts w:ascii="Times New Roman" w:cs="Times New Roman" w:eastAsia="Times New Roman" w:hAnsi="Times New Roman"/>
          <w:sz w:val="13"/>
          <w:szCs w:val="13"/>
          <w:color w:val="auto"/>
        </w:rPr>
        <w:t xml:space="preserve">In accordance with the </w:t>
      </w:r>
      <w:r>
        <w:rPr>
          <w:rFonts w:ascii="Times New Roman" w:cs="Times New Roman" w:eastAsia="Times New Roman" w:hAnsi="Times New Roman"/>
          <w:sz w:val="13"/>
          <w:szCs w:val="13"/>
          <w:i w:val="1"/>
          <w:iCs w:val="1"/>
          <w:color w:val="auto"/>
        </w:rPr>
        <w:t>Regulations on the Management of Housing Fund</w:t>
      </w:r>
      <w:r>
        <w:rPr>
          <w:rFonts w:ascii="Times New Roman" w:cs="Times New Roman" w:eastAsia="Times New Roman" w:hAnsi="Times New Roman"/>
          <w:sz w:val="13"/>
          <w:szCs w:val="13"/>
          <w:color w:val="auto"/>
        </w:rPr>
        <w:t xml:space="preserve"> which was promulgated by the State Council in 1999 and amended in 2002 and 2019, employers must register at the designated administrative centers and open bank accounts for depositing employees’ housing funds. An employee and his/her employer are also required to pay and deposit certain percentage of the monthly average salary of such employee as housing funds in the preceding year in full and on time.</w:t>
      </w:r>
    </w:p>
    <w:p>
      <w:pPr>
        <w:spacing w:after="0" w:line="20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Employee Stock Incentive Plan</w:t>
      </w:r>
    </w:p>
    <w:p>
      <w:pPr>
        <w:spacing w:after="0" w:line="88" w:lineRule="exact"/>
        <w:rPr>
          <w:sz w:val="20"/>
          <w:szCs w:val="20"/>
          <w:color w:val="auto"/>
        </w:rPr>
      </w:pPr>
    </w:p>
    <w:p>
      <w:pPr>
        <w:ind w:left="1680" w:right="559" w:firstLine="317"/>
        <w:spacing w:after="0" w:line="253" w:lineRule="auto"/>
        <w:rPr>
          <w:sz w:val="20"/>
          <w:szCs w:val="20"/>
          <w:color w:val="auto"/>
        </w:rPr>
      </w:pPr>
      <w:r>
        <w:rPr>
          <w:rFonts w:ascii="Times New Roman" w:cs="Times New Roman" w:eastAsia="Times New Roman" w:hAnsi="Times New Roman"/>
          <w:sz w:val="13"/>
          <w:szCs w:val="13"/>
          <w:color w:val="auto"/>
        </w:rPr>
        <w:t>Pursuant to the Notice of Issues Related to the Foreign Exchange Administration for Domestic Individuals Participating in Stock Incentive Plan of Overseas Listed Company, or the SAFE Circular 7, which was issued by the SAFE on February 15, 2012, if PRC “domestic individuals” (both PRC residents and non-PRC residents who reside in China for a continuous period of not less than one year, excluding foreign diplomatic personnel and representatives of international organizations) participate in any stock incentive plan of an overseas listed company, a PRC domestic qualified agent, which could be the PRC subsidiary of such overseas listed company, shall, among others things, file, on behalf of such individual, an application with the SAFE to conduct the SAFE registration with respect to such stock incentive plan, and obtain approval for an annual allowance with respect to the purchase of foreign exchange in connection with stock holding or stock option exercises. In addition, the SAFE Circular 37 also provides certain requirements and procedures of foreign exchange registration in relation to equity incentive plan of SPV before listing. In this regard, if a non-listed SPV grants equity incentives to its directors, supervisors, senior officers or other employees in its domestic subsidiaries, the relevant domestic individual residents may register with the SAFE before exercising their rights.</w:t>
      </w:r>
    </w:p>
    <w:p>
      <w:pPr>
        <w:spacing w:after="0" w:line="136" w:lineRule="exact"/>
        <w:rPr>
          <w:sz w:val="20"/>
          <w:szCs w:val="20"/>
          <w:color w:val="auto"/>
        </w:rPr>
      </w:pPr>
    </w:p>
    <w:p>
      <w:pPr>
        <w:ind w:left="1680" w:right="539" w:firstLine="317"/>
        <w:spacing w:after="0" w:line="255" w:lineRule="auto"/>
        <w:rPr>
          <w:sz w:val="20"/>
          <w:szCs w:val="20"/>
          <w:color w:val="auto"/>
        </w:rPr>
      </w:pPr>
      <w:r>
        <w:rPr>
          <w:rFonts w:ascii="Times New Roman" w:cs="Times New Roman" w:eastAsia="Times New Roman" w:hAnsi="Times New Roman"/>
          <w:sz w:val="13"/>
          <w:szCs w:val="13"/>
          <w:color w:val="auto"/>
        </w:rPr>
        <w:t>In addition, the SAT has issued certain circulars concerning employee stock options and restricted shares. Under these circulars, employees working in the PRC who exercise stock options or are granted restricted shares will be subject to PRC individual income tax. The PRC subsidiaries of an overseas listed company are required to file documents related to employee stock options and restricted shares with relevant tax authorities and to withhold individual income taxes of employees who exercise their stock option or purchase restricted shares. If the employees fail to pay or the PRC subsidiaries fail to withhold income tax in accordance with relevant laws and regulations, the PRC subsidiaries may face sanctions imposed by the tax authorities or other PRC governmental authorities.</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105</w:t>
      </w:r>
    </w:p>
    <w:p>
      <w:pPr>
        <w:sectPr>
          <w:pgSz w:w="11900" w:h="16838" w:orient="portrait"/>
          <w:cols w:equalWidth="0" w:num="1">
            <w:col w:w="10159"/>
          </w:cols>
          <w:pgMar w:left="300" w:top="388" w:right="1440"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1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M&amp;A Rules and Overseas Listing</w:t>
      </w:r>
    </w:p>
    <w:p>
      <w:pPr>
        <w:spacing w:after="0" w:line="88" w:lineRule="exact"/>
        <w:rPr>
          <w:sz w:val="20"/>
          <w:szCs w:val="20"/>
          <w:color w:val="auto"/>
        </w:rPr>
      </w:pPr>
    </w:p>
    <w:p>
      <w:pPr>
        <w:ind w:left="1680" w:right="559" w:firstLine="317"/>
        <w:spacing w:after="0" w:line="253" w:lineRule="auto"/>
        <w:rPr>
          <w:sz w:val="20"/>
          <w:szCs w:val="20"/>
          <w:color w:val="auto"/>
        </w:rPr>
      </w:pPr>
      <w:r>
        <w:rPr>
          <w:rFonts w:ascii="Times New Roman" w:cs="Times New Roman" w:eastAsia="Times New Roman" w:hAnsi="Times New Roman"/>
          <w:sz w:val="13"/>
          <w:szCs w:val="13"/>
          <w:color w:val="auto"/>
        </w:rPr>
        <w:t xml:space="preserve">On August 8, 2006, six (6) PRC governmental and regulatory agencies, including the MOFCOM and the China Securities Regulatory Commission, or the CSRC, promulgated the </w:t>
      </w:r>
      <w:r>
        <w:rPr>
          <w:rFonts w:ascii="Times New Roman" w:cs="Times New Roman" w:eastAsia="Times New Roman" w:hAnsi="Times New Roman"/>
          <w:sz w:val="13"/>
          <w:szCs w:val="13"/>
          <w:i w:val="1"/>
          <w:iCs w:val="1"/>
          <w:color w:val="auto"/>
        </w:rPr>
        <w:t>Rules on Acquisition of Domestic Enterprises by Foreign Investors</w:t>
      </w:r>
      <w:r>
        <w:rPr>
          <w:rFonts w:ascii="Times New Roman" w:cs="Times New Roman" w:eastAsia="Times New Roman" w:hAnsi="Times New Roman"/>
          <w:sz w:val="13"/>
          <w:szCs w:val="13"/>
          <w:color w:val="auto"/>
        </w:rPr>
        <w:t>, or the M&amp;A Rules that became effective on September 8, 2006 and was revised on June 22, 2009, governing the mergers and acquisitions of domestic enterprises by foreign investors. The M&amp;A Rules, among other things, require that if an overseas company established or controlled by PRC companies or individuals, or PRC Citizens, intends to acquire equity interests or assets of any other PRC domestic company affiliated with the PRC Citizens, such acquisition must be submitted to the MOFCOM for approval. The M&amp;A Rules also require that an offshore SPV, or an SPV formed for overseas listing purposes and controlled directly or indirectly by PRC companies or individuals, shall obtain the approval of the CSRC prior to overseas listing and trading of such SPV’s securities on an overseas stock exchange.</w:t>
      </w:r>
    </w:p>
    <w:p>
      <w:pPr>
        <w:spacing w:after="0" w:line="21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Environmental Protection and Work Safety</w:t>
      </w:r>
    </w:p>
    <w:p>
      <w:pPr>
        <w:spacing w:after="0" w:line="8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Environmental Protection</w:t>
      </w:r>
    </w:p>
    <w:p>
      <w:pPr>
        <w:spacing w:after="0" w:line="86" w:lineRule="exact"/>
        <w:rPr>
          <w:sz w:val="20"/>
          <w:szCs w:val="20"/>
          <w:color w:val="auto"/>
        </w:rPr>
      </w:pPr>
    </w:p>
    <w:p>
      <w:pPr>
        <w:ind w:left="1680" w:right="719" w:firstLine="317"/>
        <w:spacing w:after="0" w:line="260" w:lineRule="auto"/>
        <w:rPr>
          <w:sz w:val="20"/>
          <w:szCs w:val="20"/>
          <w:color w:val="auto"/>
        </w:rPr>
      </w:pPr>
      <w:r>
        <w:rPr>
          <w:rFonts w:ascii="Times New Roman" w:cs="Times New Roman" w:eastAsia="Times New Roman" w:hAnsi="Times New Roman"/>
          <w:sz w:val="13"/>
          <w:szCs w:val="13"/>
          <w:color w:val="auto"/>
        </w:rPr>
        <w:t xml:space="preserve">Pursuant to the </w:t>
      </w:r>
      <w:r>
        <w:rPr>
          <w:rFonts w:ascii="Times New Roman" w:cs="Times New Roman" w:eastAsia="Times New Roman" w:hAnsi="Times New Roman"/>
          <w:sz w:val="13"/>
          <w:szCs w:val="13"/>
          <w:i w:val="1"/>
          <w:iCs w:val="1"/>
          <w:color w:val="auto"/>
        </w:rPr>
        <w:t>Environmental Protection Law of the PRC</w:t>
      </w:r>
      <w:r>
        <w:rPr>
          <w:rFonts w:ascii="Times New Roman" w:cs="Times New Roman" w:eastAsia="Times New Roman" w:hAnsi="Times New Roman"/>
          <w:sz w:val="13"/>
          <w:szCs w:val="13"/>
          <w:color w:val="auto"/>
        </w:rPr>
        <w:t xml:space="preserve"> promulgated by the SCNPC, on December 26, 1989, amended on April 24, 2014 and effective on January 1, 2015, any entity which discharges or will discharge pollutants during course of operations or other activities must implement effective environmental protection safeguards and procedures to control and properly treat waste gas, waste water, waste residue, dust, malodorous gases, radioactive substances, noise vibrations, electromagnetic radiation and other hazards produced during such activities.</w:t>
      </w:r>
    </w:p>
    <w:p>
      <w:pPr>
        <w:spacing w:after="0" w:line="130" w:lineRule="exact"/>
        <w:rPr>
          <w:sz w:val="20"/>
          <w:szCs w:val="20"/>
          <w:color w:val="auto"/>
        </w:rPr>
      </w:pPr>
    </w:p>
    <w:p>
      <w:pPr>
        <w:ind w:left="1680" w:right="639" w:firstLine="317"/>
        <w:spacing w:after="0" w:line="256" w:lineRule="auto"/>
        <w:rPr>
          <w:sz w:val="20"/>
          <w:szCs w:val="20"/>
          <w:color w:val="auto"/>
        </w:rPr>
      </w:pPr>
      <w:r>
        <w:rPr>
          <w:rFonts w:ascii="Times New Roman" w:cs="Times New Roman" w:eastAsia="Times New Roman" w:hAnsi="Times New Roman"/>
          <w:sz w:val="13"/>
          <w:szCs w:val="13"/>
          <w:color w:val="auto"/>
        </w:rPr>
        <w:t xml:space="preserve">Environmental protection authorities impose various administrative penalties on persons or enterprises in violation of the </w:t>
      </w:r>
      <w:r>
        <w:rPr>
          <w:rFonts w:ascii="Times New Roman" w:cs="Times New Roman" w:eastAsia="Times New Roman" w:hAnsi="Times New Roman"/>
          <w:sz w:val="13"/>
          <w:szCs w:val="13"/>
          <w:i w:val="1"/>
          <w:iCs w:val="1"/>
          <w:color w:val="auto"/>
        </w:rPr>
        <w:t>Environmental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Protection Law</w:t>
      </w:r>
      <w:r>
        <w:rPr>
          <w:rFonts w:ascii="Times New Roman" w:cs="Times New Roman" w:eastAsia="Times New Roman" w:hAnsi="Times New Roman"/>
          <w:sz w:val="13"/>
          <w:szCs w:val="13"/>
          <w:color w:val="auto"/>
        </w:rPr>
        <w:t>. Such penalties include warnings, fines, orders to rectify within the prescribed period, orders to cease construction, orders to restrict 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suspend production, orders to make recovery, orders to disclose relevant information or make an announcement, imposition of administrative action against relevant responsible persons, and orders to shut down enterprises. Any person or entity that pollutes the environment resulting in damage could also be held liable under the Civil Code of the PRC. In addition, environmental organizations may also bring lawsuits against any entity that discharges pollutants detrimental to the public welfare.</w:t>
      </w:r>
    </w:p>
    <w:p>
      <w:pPr>
        <w:spacing w:after="0" w:line="20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Work Safety</w:t>
      </w:r>
    </w:p>
    <w:p>
      <w:pPr>
        <w:spacing w:after="0" w:line="86" w:lineRule="exact"/>
        <w:rPr>
          <w:sz w:val="20"/>
          <w:szCs w:val="20"/>
          <w:color w:val="auto"/>
        </w:rPr>
      </w:pPr>
    </w:p>
    <w:p>
      <w:pPr>
        <w:ind w:left="1680" w:right="599" w:firstLine="317"/>
        <w:spacing w:after="0" w:line="256" w:lineRule="auto"/>
        <w:rPr>
          <w:sz w:val="20"/>
          <w:szCs w:val="20"/>
          <w:color w:val="auto"/>
        </w:rPr>
      </w:pPr>
      <w:r>
        <w:rPr>
          <w:rFonts w:ascii="Times New Roman" w:cs="Times New Roman" w:eastAsia="Times New Roman" w:hAnsi="Times New Roman"/>
          <w:sz w:val="13"/>
          <w:szCs w:val="13"/>
          <w:color w:val="auto"/>
        </w:rPr>
        <w:t xml:space="preserve">Under relevant construction safety laws and regulations, including the </w:t>
      </w:r>
      <w:r>
        <w:rPr>
          <w:rFonts w:ascii="Times New Roman" w:cs="Times New Roman" w:eastAsia="Times New Roman" w:hAnsi="Times New Roman"/>
          <w:sz w:val="13"/>
          <w:szCs w:val="13"/>
          <w:i w:val="1"/>
          <w:iCs w:val="1"/>
          <w:color w:val="auto"/>
        </w:rPr>
        <w:t>Work Safety Law of the PRC</w:t>
      </w:r>
      <w:r>
        <w:rPr>
          <w:rFonts w:ascii="Times New Roman" w:cs="Times New Roman" w:eastAsia="Times New Roman" w:hAnsi="Times New Roman"/>
          <w:sz w:val="13"/>
          <w:szCs w:val="13"/>
          <w:color w:val="auto"/>
        </w:rPr>
        <w:t xml:space="preserve"> which was promulgated by the SCNPC on June 29, 2002, amended on August 27, 2009, August 31, 2014, and effective as of December 1, 2014, production and operating business entities must establish objectives and measures for work safety and improve the working environment and conditions for workers in a planned and systematic way. A work safety protection scheme must also be set up to implement the work safety job responsibility system. In addition, production and operating business entities must arrange work safety training and provide the employees with protective equipment that meets the national standards or industrial standards. Automobile and components manufacturers are subject to the aforementioned environment protection and work safety requirements.</w:t>
      </w:r>
    </w:p>
    <w:p>
      <w:pPr>
        <w:spacing w:after="0" w:line="20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Fire Control</w:t>
      </w:r>
    </w:p>
    <w:p>
      <w:pPr>
        <w:spacing w:after="0" w:line="86" w:lineRule="exact"/>
        <w:rPr>
          <w:sz w:val="20"/>
          <w:szCs w:val="20"/>
          <w:color w:val="auto"/>
        </w:rPr>
      </w:pPr>
    </w:p>
    <w:p>
      <w:pPr>
        <w:ind w:left="1680" w:right="559" w:firstLine="317"/>
        <w:spacing w:after="0" w:line="253" w:lineRule="auto"/>
        <w:rPr>
          <w:sz w:val="20"/>
          <w:szCs w:val="20"/>
          <w:color w:val="auto"/>
        </w:rPr>
      </w:pPr>
      <w:r>
        <w:rPr>
          <w:rFonts w:ascii="Times New Roman" w:cs="Times New Roman" w:eastAsia="Times New Roman" w:hAnsi="Times New Roman"/>
          <w:sz w:val="13"/>
          <w:szCs w:val="13"/>
          <w:color w:val="auto"/>
        </w:rPr>
        <w:t xml:space="preserve">Pursuant to the </w:t>
      </w:r>
      <w:r>
        <w:rPr>
          <w:rFonts w:ascii="Times New Roman" w:cs="Times New Roman" w:eastAsia="Times New Roman" w:hAnsi="Times New Roman"/>
          <w:sz w:val="13"/>
          <w:szCs w:val="13"/>
          <w:i w:val="1"/>
          <w:iCs w:val="1"/>
          <w:color w:val="auto"/>
        </w:rPr>
        <w:t>Fire Safety Law of the PRC</w:t>
      </w:r>
      <w:r>
        <w:rPr>
          <w:rFonts w:ascii="Times New Roman" w:cs="Times New Roman" w:eastAsia="Times New Roman" w:hAnsi="Times New Roman"/>
          <w:sz w:val="13"/>
          <w:szCs w:val="13"/>
          <w:color w:val="auto"/>
        </w:rPr>
        <w:t xml:space="preserve"> promulgated by the SCNPC on April 29, 1998, amended on October 28, 2008 and April 23, 2019 and which became effective on April 23, 2019 and the </w:t>
      </w:r>
      <w:r>
        <w:rPr>
          <w:rFonts w:ascii="Times New Roman" w:cs="Times New Roman" w:eastAsia="Times New Roman" w:hAnsi="Times New Roman"/>
          <w:sz w:val="13"/>
          <w:szCs w:val="13"/>
          <w:i w:val="1"/>
          <w:iCs w:val="1"/>
          <w:color w:val="auto"/>
        </w:rPr>
        <w:t>Interim Provisions for Management of Examination and Acceptance of Fire Protection Design of</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Construction Projects </w:t>
      </w:r>
      <w:r>
        <w:rPr>
          <w:rFonts w:ascii="Times New Roman" w:cs="Times New Roman" w:eastAsia="Times New Roman" w:hAnsi="Times New Roman"/>
          <w:sz w:val="13"/>
          <w:szCs w:val="13"/>
          <w:color w:val="auto"/>
        </w:rPr>
        <w:t>promulgated by the Ministry of Housing and Urban-Rural Development of the PRC on April 1, 2020 and became effective 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June 1, 2020, the construction entity of a large-scale crowded venue (including the construction of a manufacturing factory that is over 2,500 square meters) and other special construction projects must apply for fire prevention design review with fire control authorities, and complete fire assessment inspection and acceptance procedures after the construction project is completed. The construction entity of other construction projects must provide fire protection design and technical materials meeting the construction needs when it applies for construction work permits, and complete the filing for fire safety completion inspection and acceptance procedures within five business days after passing the construction completion inspection and acceptance. If the construction entity fails to pass the fire safety inspection before such venue is put into use, or fails to conform to the fire safety requirements after such inspection, it shall be subject to (i) orders to suspend the construction of projects, use of such projects or operation of relevant business; and (ii) a fine ranging between RMB30,000 and RMB300,000.</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106</w:t>
      </w:r>
    </w:p>
    <w:p>
      <w:pPr>
        <w:sectPr>
          <w:pgSz w:w="11900" w:h="16838" w:orient="portrait"/>
          <w:cols w:equalWidth="0" w:num="1">
            <w:col w:w="10159"/>
          </w:cols>
          <w:pgMar w:left="300" w:top="388" w:right="1440"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U.S. Regulation</w:t>
      </w:r>
    </w:p>
    <w:p>
      <w:pPr>
        <w:spacing w:after="0" w:line="164" w:lineRule="exact"/>
        <w:rPr>
          <w:sz w:val="20"/>
          <w:szCs w:val="20"/>
          <w:color w:val="auto"/>
        </w:rPr>
      </w:pPr>
    </w:p>
    <w:p>
      <w:pPr>
        <w:ind w:left="1680" w:right="599" w:firstLine="317"/>
        <w:spacing w:after="0" w:line="253" w:lineRule="auto"/>
        <w:rPr>
          <w:sz w:val="20"/>
          <w:szCs w:val="20"/>
          <w:color w:val="auto"/>
        </w:rPr>
      </w:pPr>
      <w:r>
        <w:rPr>
          <w:rFonts w:ascii="Times New Roman" w:cs="Times New Roman" w:eastAsia="Times New Roman" w:hAnsi="Times New Roman"/>
          <w:sz w:val="13"/>
          <w:szCs w:val="13"/>
          <w:color w:val="auto"/>
        </w:rPr>
        <w:t>The Federal Aviation Administration, or the FAA, one of several modal organizations within the Department of Transportation, or the DOT, is the regulatory agency in the United States with authority to oversee the safety of aircraft operations in the national airspace system of the United States, or the NAS. By statute, the Congress of the United States, or the US Congress, has vested the FAA with authority to regulate airspace use, management and efficiency, air traffic control, safety, navigational facilities, and aircraft. By contrast, the DOT retains regulatory control over all economic authority granted to commercial operations of aircraft (including for goods or passenger transportation for hire) within the United States. Thus, in addition to any FAA approvals and authorization required for operation of aircraft within the NAS, each aircraft operator conducting commercial operations must also be issued and hold economic authority (or an exemption) from the DOT. Unmanned aircraft systems, or UAS, are considered a category of aircraft for purposes of regulation by the FAA and the DOT. Our AAVs are classified as UAS and their operations are therefore subject to the approval by both the FAA and the DOT.</w:t>
      </w:r>
    </w:p>
    <w:p>
      <w:pPr>
        <w:spacing w:after="0" w:line="138" w:lineRule="exact"/>
        <w:rPr>
          <w:sz w:val="20"/>
          <w:szCs w:val="20"/>
          <w:color w:val="auto"/>
        </w:rPr>
      </w:pPr>
    </w:p>
    <w:p>
      <w:pPr>
        <w:ind w:left="1680" w:right="579" w:firstLine="317"/>
        <w:spacing w:after="0" w:line="257" w:lineRule="auto"/>
        <w:rPr>
          <w:sz w:val="20"/>
          <w:szCs w:val="20"/>
          <w:color w:val="auto"/>
        </w:rPr>
      </w:pPr>
      <w:r>
        <w:rPr>
          <w:rFonts w:ascii="Times New Roman" w:cs="Times New Roman" w:eastAsia="Times New Roman" w:hAnsi="Times New Roman"/>
          <w:sz w:val="13"/>
          <w:szCs w:val="13"/>
          <w:color w:val="auto"/>
        </w:rPr>
        <w:t>With respect to UAS operations in the NAS, the FAA currently has the authority to promulgate and enforce restrictions regarding (i) the types of flights that may be conducted; (ii) the equipment that may be used to conduct those flights; and (iii) the training required. The regulatory framework applicable to a particular UAS operation is determined by whether (a) the UAS is used by a government agency, for commercial purposes, or as a model aircraft; and (b) whether at takeoff the UAS (including any attachments) weighs less than 55 pounds (Small UAS), or equal to or more than 55 pounds (Large UAS). Our passenger-grade AAVs are classified as Large UAS.</w:t>
      </w:r>
    </w:p>
    <w:p>
      <w:pPr>
        <w:spacing w:after="0" w:line="133" w:lineRule="exact"/>
        <w:rPr>
          <w:sz w:val="20"/>
          <w:szCs w:val="20"/>
          <w:color w:val="auto"/>
        </w:rPr>
      </w:pPr>
    </w:p>
    <w:p>
      <w:pPr>
        <w:ind w:left="1680" w:right="619" w:firstLine="317"/>
        <w:spacing w:after="0" w:line="255" w:lineRule="auto"/>
        <w:rPr>
          <w:sz w:val="20"/>
          <w:szCs w:val="20"/>
          <w:color w:val="auto"/>
        </w:rPr>
      </w:pPr>
      <w:r>
        <w:rPr>
          <w:rFonts w:ascii="Times New Roman" w:cs="Times New Roman" w:eastAsia="Times New Roman" w:hAnsi="Times New Roman"/>
          <w:sz w:val="13"/>
          <w:szCs w:val="13"/>
          <w:color w:val="auto"/>
        </w:rPr>
        <w:t>In the United States, the commercial use and delivery of our passenger-grade AAVs is and in the near future is expected to continue to be subject to an uncertain or lengthy approval process. We are unable to estimate the average length of time required to obtain the applicable regulatory approvals due to the nascent nature of AAV-related regulations and the lack of relevant precedents. We are not aware of any operator having been granted all required approvals for the commercial operations of passenger-grade AAVs in the United States. U.S. regulations also impose significant restrictions on our non-passenger-grade AAVs. We cannot predict when these regulations will change, and any new regulations may impose onerous requirements and restrictions.</w:t>
      </w:r>
    </w:p>
    <w:p>
      <w:pPr>
        <w:spacing w:after="0" w:line="134" w:lineRule="exact"/>
        <w:rPr>
          <w:sz w:val="20"/>
          <w:szCs w:val="20"/>
          <w:color w:val="auto"/>
        </w:rPr>
      </w:pPr>
    </w:p>
    <w:p>
      <w:pPr>
        <w:ind w:left="1680" w:right="559" w:firstLine="317"/>
        <w:spacing w:after="0" w:line="265" w:lineRule="auto"/>
        <w:rPr>
          <w:sz w:val="20"/>
          <w:szCs w:val="20"/>
          <w:color w:val="auto"/>
        </w:rPr>
      </w:pPr>
      <w:r>
        <w:rPr>
          <w:rFonts w:ascii="Times New Roman" w:cs="Times New Roman" w:eastAsia="Times New Roman" w:hAnsi="Times New Roman"/>
          <w:sz w:val="13"/>
          <w:szCs w:val="13"/>
          <w:color w:val="auto"/>
        </w:rPr>
        <w:t>In January 2020, we obtained our first trial flight approval (</w:t>
      </w:r>
      <w:r>
        <w:rPr>
          <w:rFonts w:ascii="Times New Roman" w:cs="Times New Roman" w:eastAsia="Times New Roman" w:hAnsi="Times New Roman"/>
          <w:sz w:val="13"/>
          <w:szCs w:val="13"/>
          <w:i w:val="1"/>
          <w:iCs w:val="1"/>
          <w:color w:val="auto"/>
        </w:rPr>
        <w:t>i.e.</w:t>
      </w:r>
      <w:r>
        <w:rPr>
          <w:rFonts w:ascii="Times New Roman" w:cs="Times New Roman" w:eastAsia="Times New Roman" w:hAnsi="Times New Roman"/>
          <w:sz w:val="13"/>
          <w:szCs w:val="13"/>
          <w:color w:val="auto"/>
        </w:rPr>
        <w:t>, Special Flight Authorization, or SFA) for EHang 216 from the FAA and conducted our first AAV demo flight in North Carolina of the United States. Although it was a non-passenger trial flight, we expect to continue to work with the FAA for the approval of passenger trial flights of EHang AAVs.</w:t>
      </w:r>
    </w:p>
    <w:p>
      <w:pPr>
        <w:spacing w:after="0" w:line="127" w:lineRule="exact"/>
        <w:rPr>
          <w:sz w:val="20"/>
          <w:szCs w:val="20"/>
          <w:color w:val="auto"/>
        </w:rPr>
      </w:pPr>
    </w:p>
    <w:p>
      <w:pPr>
        <w:jc w:val="both"/>
        <w:ind w:left="1680" w:right="899" w:firstLine="317"/>
        <w:spacing w:after="0" w:line="265" w:lineRule="auto"/>
        <w:rPr>
          <w:sz w:val="20"/>
          <w:szCs w:val="20"/>
          <w:color w:val="auto"/>
        </w:rPr>
      </w:pPr>
      <w:r>
        <w:rPr>
          <w:rFonts w:ascii="Times New Roman" w:cs="Times New Roman" w:eastAsia="Times New Roman" w:hAnsi="Times New Roman"/>
          <w:sz w:val="13"/>
          <w:szCs w:val="13"/>
          <w:color w:val="auto"/>
        </w:rPr>
        <w:t xml:space="preserve">We participated in the public consultation of two draft UAS rules published by the FAA, including the </w:t>
      </w:r>
      <w:r>
        <w:rPr>
          <w:rFonts w:ascii="Times New Roman" w:cs="Times New Roman" w:eastAsia="Times New Roman" w:hAnsi="Times New Roman"/>
          <w:sz w:val="13"/>
          <w:szCs w:val="13"/>
          <w:i w:val="1"/>
          <w:iCs w:val="1"/>
          <w:color w:val="auto"/>
        </w:rPr>
        <w:t>14 CFR Part 21 Type Certification of</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Unmanned Aircraft Systems </w:t>
      </w:r>
      <w:r>
        <w:rPr>
          <w:rFonts w:ascii="Times New Roman" w:cs="Times New Roman" w:eastAsia="Times New Roman" w:hAnsi="Times New Roman"/>
          <w:sz w:val="13"/>
          <w:szCs w:val="13"/>
          <w:color w:val="auto"/>
        </w:rPr>
        <w:t>and the</w:t>
      </w:r>
      <w:r>
        <w:rPr>
          <w:rFonts w:ascii="Times New Roman" w:cs="Times New Roman" w:eastAsia="Times New Roman" w:hAnsi="Times New Roman"/>
          <w:sz w:val="13"/>
          <w:szCs w:val="13"/>
          <w:i w:val="1"/>
          <w:iCs w:val="1"/>
          <w:color w:val="auto"/>
        </w:rPr>
        <w:t xml:space="preserve"> 14 CFR Parts 1, 47, 48, 89, 91, and 107 Remote Identification of </w:t>
      </w:r>
      <w:r>
        <w:rPr>
          <w:rFonts w:ascii="Times New Roman" w:cs="Times New Roman" w:eastAsia="Times New Roman" w:hAnsi="Times New Roman"/>
          <w:sz w:val="13"/>
          <w:szCs w:val="13"/>
          <w:color w:val="auto"/>
        </w:rPr>
        <w:t>Unmanned</w:t>
      </w:r>
      <w:r>
        <w:rPr>
          <w:rFonts w:ascii="Times New Roman" w:cs="Times New Roman" w:eastAsia="Times New Roman" w:hAnsi="Times New Roman"/>
          <w:sz w:val="13"/>
          <w:szCs w:val="13"/>
          <w:i w:val="1"/>
          <w:iCs w:val="1"/>
          <w:color w:val="auto"/>
        </w:rPr>
        <w:t xml:space="preserve"> Aircraft Systems</w:t>
      </w:r>
      <w:r>
        <w:rPr>
          <w:rFonts w:ascii="Times New Roman" w:cs="Times New Roman" w:eastAsia="Times New Roman" w:hAnsi="Times New Roman"/>
          <w:sz w:val="13"/>
          <w:szCs w:val="13"/>
          <w:color w:val="auto"/>
        </w:rPr>
        <w:t>, as an industry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representative, and submitted our comments on the draft rules.</w:t>
      </w:r>
    </w:p>
    <w:p>
      <w:pPr>
        <w:spacing w:after="0" w:line="20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European Regulation</w:t>
      </w:r>
    </w:p>
    <w:p>
      <w:pPr>
        <w:spacing w:after="0" w:line="86" w:lineRule="exact"/>
        <w:rPr>
          <w:sz w:val="20"/>
          <w:szCs w:val="20"/>
          <w:color w:val="auto"/>
        </w:rPr>
      </w:pPr>
    </w:p>
    <w:p>
      <w:pPr>
        <w:ind w:left="1680" w:right="599" w:firstLine="317"/>
        <w:spacing w:after="0" w:line="264" w:lineRule="auto"/>
        <w:rPr>
          <w:sz w:val="20"/>
          <w:szCs w:val="20"/>
          <w:color w:val="auto"/>
        </w:rPr>
      </w:pPr>
      <w:r>
        <w:rPr>
          <w:rFonts w:ascii="Times New Roman" w:cs="Times New Roman" w:eastAsia="Times New Roman" w:hAnsi="Times New Roman"/>
          <w:sz w:val="13"/>
          <w:szCs w:val="13"/>
          <w:color w:val="auto"/>
        </w:rPr>
        <w:t>The main regulation of the European Union, or the EU, in the field of aviation is Regulation (EU) 2018/1139, which is generally referred to as the Basic Regulation by the European Union Aviation Safety Agency, or EASA. It was adopted by the European Parliament and the European Council on July 4, 2018 and entered into force on September 11, 2018. It repealed and replaced the previous Basic Regulation, Regulation (EC) No 216/2008.</w:t>
      </w:r>
    </w:p>
    <w:p>
      <w:pPr>
        <w:spacing w:after="0" w:line="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107</w:t>
      </w:r>
    </w:p>
    <w:p>
      <w:pPr>
        <w:sectPr>
          <w:pgSz w:w="11900" w:h="16838" w:orient="portrait"/>
          <w:cols w:equalWidth="0" w:num="1">
            <w:col w:w="10159"/>
          </w:cols>
          <w:pgMar w:left="300" w:top="388" w:right="144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579" w:firstLine="317"/>
        <w:spacing w:after="0" w:line="255" w:lineRule="auto"/>
        <w:rPr>
          <w:sz w:val="20"/>
          <w:szCs w:val="20"/>
          <w:color w:val="auto"/>
        </w:rPr>
      </w:pPr>
      <w:r>
        <w:rPr>
          <w:rFonts w:ascii="Times New Roman" w:cs="Times New Roman" w:eastAsia="Times New Roman" w:hAnsi="Times New Roman"/>
          <w:sz w:val="13"/>
          <w:szCs w:val="13"/>
          <w:color w:val="auto"/>
        </w:rPr>
        <w:t>Under the previous Basic Regulation, civil UAS with an operating mass of no more than 150 kg were regulated by each EU member state. On December 22, 2017, the member states endorsed an agreement reached with the European Parliament for the revision of the previous Basic Regulation, extending the competence of the EU to all UAS, except those used for state operations, such as military, customs, police and firefighting, and defining the essential requirements to ensure the safety of UAS. The agreement led to the adoption of the current Basic Regulation. The current Basic Regulation includes a new mandate for EASA in the domain of UAS and urban air mobility. It enables EASA to prepare rules for all sizes of civil UAS and harmonize standards for the commercial market across Europe.</w:t>
      </w:r>
    </w:p>
    <w:p>
      <w:pPr>
        <w:spacing w:after="0" w:line="136" w:lineRule="exact"/>
        <w:rPr>
          <w:sz w:val="20"/>
          <w:szCs w:val="20"/>
          <w:color w:val="auto"/>
        </w:rPr>
      </w:pPr>
    </w:p>
    <w:p>
      <w:pPr>
        <w:ind w:left="1680" w:right="719" w:firstLine="317"/>
        <w:spacing w:after="0" w:line="277" w:lineRule="auto"/>
        <w:rPr>
          <w:sz w:val="20"/>
          <w:szCs w:val="20"/>
          <w:color w:val="auto"/>
        </w:rPr>
      </w:pPr>
      <w:r>
        <w:rPr>
          <w:rFonts w:ascii="Times New Roman" w:cs="Times New Roman" w:eastAsia="Times New Roman" w:hAnsi="Times New Roman"/>
          <w:sz w:val="12"/>
          <w:szCs w:val="12"/>
          <w:color w:val="auto"/>
        </w:rPr>
        <w:t>Pursuant to the Basic Regulation, the EU has established a regulatory framework that divides UAS operations into three categories according to the level of risks involved: “open,” “specific,” and “certified.” Operations in the “open” category are those considered to impose low safety risks. If UAS operations fall into the “open” category, they can be conducted without any operational authorization. Operations in the “specific” category are those considered to impose medium safety risks. For operations falling into the “specific” category, a UAS operator is generally required to obtain an operational authorization from the competent authority in the EU member state where it is registered. Operations in the “certified” category are those considered to impose higher safety risks than the other categories. Our passenger-grade AAVs fall in to the “certified” category because they have a large characteristic dimension and/or are designed for transporting people. For operations falling into the “certified” category, classical aviation rules apply. In other words, the UAS involved are treated similarly as manned aircraft. They are certified for their airworthiness and have more stringent operational restrictions. The processing time for applications for approvals under classical aviation rules varies among the EU member states.</w:t>
      </w:r>
    </w:p>
    <w:p>
      <w:pPr>
        <w:spacing w:after="0" w:line="123" w:lineRule="exact"/>
        <w:rPr>
          <w:sz w:val="20"/>
          <w:szCs w:val="20"/>
          <w:color w:val="auto"/>
        </w:rPr>
      </w:pPr>
    </w:p>
    <w:p>
      <w:pPr>
        <w:ind w:left="1680" w:right="579" w:firstLine="317"/>
        <w:spacing w:after="0" w:line="255" w:lineRule="auto"/>
        <w:rPr>
          <w:sz w:val="20"/>
          <w:szCs w:val="20"/>
          <w:color w:val="auto"/>
        </w:rPr>
      </w:pPr>
      <w:r>
        <w:rPr>
          <w:rFonts w:ascii="Times New Roman" w:cs="Times New Roman" w:eastAsia="Times New Roman" w:hAnsi="Times New Roman"/>
          <w:sz w:val="13"/>
          <w:szCs w:val="13"/>
          <w:color w:val="auto"/>
        </w:rPr>
        <w:t>In February 2020, EHang 216 obtained the operational flight permit from the Civil Aviation Authority of Norway approving a series of test flights of EHang 216 in Norway. In December 2020, the Civil Aviation Authority of Austria issued a trial flight permit for the EHang 216 passenger-grade AAV. With the permit, EHang 216 can conduct trial operation of unmanned flights in designated Austrian national airspace. In September 2021, the Estonian Transport Administration issued a Special Permit for BVLOS trial flights of EHang 216 and Falcon logistics AAVs in designated Estonian airspace. In December 2021, the Civil Aviation Authority of Austria issued an aerial media permit to us, which allows us to operate commercial aerial media shows across all EU member states.</w:t>
      </w:r>
    </w:p>
    <w:p>
      <w:pPr>
        <w:spacing w:after="0" w:line="21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 xml:space="preserve">C. </w:t>
      </w:r>
      <w:r>
        <w:rPr>
          <w:rFonts w:ascii="Times New Roman" w:cs="Times New Roman" w:eastAsia="Times New Roman" w:hAnsi="Times New Roman"/>
          <w:sz w:val="13"/>
          <w:szCs w:val="13"/>
          <w:b w:val="1"/>
          <w:bCs w:val="1"/>
          <w:u w:val="single" w:color="auto"/>
          <w:color w:val="auto"/>
        </w:rPr>
        <w:t>Organizational Structure</w:t>
      </w:r>
      <w:r>
        <w:rPr>
          <w:rFonts w:ascii="Times New Roman" w:cs="Times New Roman" w:eastAsia="Times New Roman" w:hAnsi="Times New Roman"/>
          <w:sz w:val="13"/>
          <w:szCs w:val="13"/>
          <w:b w:val="1"/>
          <w:bCs w:val="1"/>
          <w:color w:val="auto"/>
        </w:rPr>
        <w:t>.</w:t>
      </w:r>
    </w:p>
    <w:p>
      <w:pPr>
        <w:spacing w:after="0" w:line="8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following diagram illustrates our corporate structure as of the date of this annual report.</w:t>
      </w:r>
    </w:p>
    <w:p>
      <w:pPr>
        <w:spacing w:after="0" w:line="11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108</w:t>
      </w:r>
    </w:p>
    <w:p>
      <w:pPr>
        <w:sectPr>
          <w:pgSz w:w="11900" w:h="16838" w:orient="portrait"/>
          <w:cols w:equalWidth="0" w:num="1">
            <w:col w:w="10159"/>
          </w:cols>
          <w:pgMar w:left="300" w:top="388" w:right="1440"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149225</wp:posOffset>
            </wp:positionV>
            <wp:extent cx="4076065" cy="35204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076065" cy="3520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Notes:</w:t>
      </w:r>
    </w:p>
    <w:p>
      <w:pPr>
        <w:spacing w:after="0" w:line="18" w:lineRule="exact"/>
        <w:rPr>
          <w:sz w:val="20"/>
          <w:szCs w:val="20"/>
          <w:color w:val="auto"/>
        </w:rPr>
      </w:pPr>
    </w:p>
    <w:p>
      <w:pPr>
        <w:ind w:left="1980" w:right="1059" w:hanging="304"/>
        <w:spacing w:after="0" w:line="249" w:lineRule="auto"/>
        <w:tabs>
          <w:tab w:leader="none" w:pos="198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Messrs. Shuai Feng and Weixian Xia are senior employees of our company and they hold 95.0% and 5.0% equity interests in EHang GZ, respectively.</w:t>
      </w:r>
    </w:p>
    <w:p>
      <w:pPr>
        <w:spacing w:after="0" w:line="1" w:lineRule="exact"/>
        <w:rPr>
          <w:rFonts w:ascii="Times New Roman" w:cs="Times New Roman" w:eastAsia="Times New Roman" w:hAnsi="Times New Roman"/>
          <w:sz w:val="13"/>
          <w:szCs w:val="13"/>
          <w:color w:val="auto"/>
        </w:rPr>
      </w:pPr>
    </w:p>
    <w:p>
      <w:pPr>
        <w:ind w:left="1980" w:hanging="304"/>
        <w:spacing w:after="0"/>
        <w:tabs>
          <w:tab w:leader="none" w:pos="198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remaining 31.5% equity interests in EHang Yunfu are held by our joint venture partners.</w:t>
      </w:r>
    </w:p>
    <w:p>
      <w:pPr>
        <w:spacing w:after="0" w:line="22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Contractual Agreements with the VIE and its Shareholders</w:t>
      </w:r>
    </w:p>
    <w:p>
      <w:pPr>
        <w:spacing w:after="0" w:line="8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following is a summary of the currently effective contractual arrangements by and among our WFOE, the VIE and its shareholders.</w:t>
      </w:r>
    </w:p>
    <w:p>
      <w:pPr>
        <w:spacing w:after="0" w:line="23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Contractual Agreements that Provide Us with Effective Control over the VIE</w:t>
      </w:r>
    </w:p>
    <w:p>
      <w:pPr>
        <w:spacing w:after="0" w:line="84" w:lineRule="exact"/>
        <w:rPr>
          <w:sz w:val="20"/>
          <w:szCs w:val="20"/>
          <w:color w:val="auto"/>
        </w:rPr>
      </w:pPr>
    </w:p>
    <w:p>
      <w:pPr>
        <w:ind w:left="1680" w:right="579" w:firstLine="317"/>
        <w:spacing w:after="0" w:line="254" w:lineRule="auto"/>
        <w:rPr>
          <w:sz w:val="20"/>
          <w:szCs w:val="20"/>
          <w:color w:val="auto"/>
        </w:rPr>
      </w:pPr>
      <w:r>
        <w:rPr>
          <w:rFonts w:ascii="Times New Roman" w:cs="Times New Roman" w:eastAsia="Times New Roman" w:hAnsi="Times New Roman"/>
          <w:sz w:val="13"/>
          <w:szCs w:val="13"/>
          <w:b w:val="1"/>
          <w:bCs w:val="1"/>
          <w:i w:val="1"/>
          <w:iCs w:val="1"/>
          <w:color w:val="auto"/>
        </w:rPr>
        <w:t xml:space="preserve">Shareholders Voting Proxy Agreement. </w:t>
      </w:r>
      <w:r>
        <w:rPr>
          <w:rFonts w:ascii="Times New Roman" w:cs="Times New Roman" w:eastAsia="Times New Roman" w:hAnsi="Times New Roman"/>
          <w:sz w:val="13"/>
          <w:szCs w:val="13"/>
          <w:color w:val="auto"/>
        </w:rPr>
        <w:t>Pursuant to the shareholders voting proxy agreement dated October 21, 2020 and the power of attorney</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granted thereunder, each of the shareholders of EHang GZ irrevocably authorizes EHang Intelligent, our WFOE, to act as his attorney-in-fact to exercise all of his rights as a shareholder of EHang GZ, including, but not limited to, the right to (i) attend shareholders’ meetings; (ii) vote on any resolution that requires a shareholder vote pursuant to applicable laws and the articles of association of EHang GZ, such as the sale and transfer of all or part of the equity interests owned by such shareholder; and (iii) designate and appoint legal representative, directors, supervisors, general manager and other senior management. The shareholders voting proxy agreement will remain effective for 20 years and can be extended at our WFOE’s sole discretion. The power of attorney granted under the shareholders voting proxy agreement will remain effective continuously from the date of execution, and our WFOE is entitled to assign its rights relating to the equity interests to any other person or entity at its own discretion.</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109</w:t>
      </w:r>
    </w:p>
    <w:p>
      <w:pPr>
        <w:sectPr>
          <w:pgSz w:w="11900" w:h="16838" w:orient="portrait"/>
          <w:cols w:equalWidth="0" w:num="1">
            <w:col w:w="10159"/>
          </w:cols>
          <w:pgMar w:left="300" w:top="388" w:right="1440"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18" w:lineRule="exact"/>
        <w:rPr>
          <w:sz w:val="20"/>
          <w:szCs w:val="20"/>
          <w:color w:val="auto"/>
        </w:rPr>
      </w:pPr>
    </w:p>
    <w:p>
      <w:pPr>
        <w:ind w:left="1680" w:right="559" w:firstLine="317"/>
        <w:spacing w:after="0" w:line="285" w:lineRule="auto"/>
        <w:rPr>
          <w:sz w:val="20"/>
          <w:szCs w:val="20"/>
          <w:color w:val="auto"/>
        </w:rPr>
      </w:pPr>
      <w:r>
        <w:rPr>
          <w:rFonts w:ascii="Times New Roman" w:cs="Times New Roman" w:eastAsia="Times New Roman" w:hAnsi="Times New Roman"/>
          <w:sz w:val="12"/>
          <w:szCs w:val="12"/>
          <w:b w:val="1"/>
          <w:bCs w:val="1"/>
          <w:i w:val="1"/>
          <w:iCs w:val="1"/>
          <w:color w:val="auto"/>
        </w:rPr>
        <w:t xml:space="preserve">Loan Agreement. </w:t>
      </w:r>
      <w:r>
        <w:rPr>
          <w:rFonts w:ascii="Times New Roman" w:cs="Times New Roman" w:eastAsia="Times New Roman" w:hAnsi="Times New Roman"/>
          <w:sz w:val="12"/>
          <w:szCs w:val="12"/>
          <w:color w:val="auto"/>
        </w:rPr>
        <w:t>Pursuant to the special agreement on the capital increase of EHang GZ dated February 22, 2019, or the loan agreement, among</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our WFOE, and the shareholders of EHang GZ, which was amended on September 7, 2020 and October 21, 2020, respectively, our WFOE has granted interest-free loans with an aggregate amount of RMB60 million to the shareholders of EHang GZ for the sole purpose of providing funds necessary for the capital increase to EHang GZ. The loans shall be repaid by the shareholders of EHang GZ through a transfer of their equity interests in EHang GZ to our WFOE, in proportion to the amount of the loans to be repaid. As of the date of this annual report, the full amount of these loans remains outstanding.</w:t>
      </w:r>
    </w:p>
    <w:p>
      <w:pPr>
        <w:spacing w:after="0" w:line="114" w:lineRule="exact"/>
        <w:rPr>
          <w:sz w:val="20"/>
          <w:szCs w:val="20"/>
          <w:color w:val="auto"/>
        </w:rPr>
      </w:pPr>
    </w:p>
    <w:p>
      <w:pPr>
        <w:ind w:left="1680" w:right="619" w:firstLine="317"/>
        <w:spacing w:after="0" w:line="254" w:lineRule="auto"/>
        <w:rPr>
          <w:sz w:val="20"/>
          <w:szCs w:val="20"/>
          <w:color w:val="auto"/>
        </w:rPr>
      </w:pPr>
      <w:r>
        <w:rPr>
          <w:rFonts w:ascii="Times New Roman" w:cs="Times New Roman" w:eastAsia="Times New Roman" w:hAnsi="Times New Roman"/>
          <w:sz w:val="13"/>
          <w:szCs w:val="13"/>
          <w:b w:val="1"/>
          <w:bCs w:val="1"/>
          <w:i w:val="1"/>
          <w:iCs w:val="1"/>
          <w:color w:val="auto"/>
        </w:rPr>
        <w:t xml:space="preserve">Share Pledge Agreements. </w:t>
      </w:r>
      <w:r>
        <w:rPr>
          <w:rFonts w:ascii="Times New Roman" w:cs="Times New Roman" w:eastAsia="Times New Roman" w:hAnsi="Times New Roman"/>
          <w:sz w:val="13"/>
          <w:szCs w:val="13"/>
          <w:color w:val="auto"/>
        </w:rPr>
        <w:t>Pursuant to the share pledge agreements, dated October 21, 2020, between our WFOE and each of the shareholders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EHang GZ, the shareholders of EHang GZ have pledged their entire equity interests in EHang GZ to our WFOE, to guarantee the performance of their obligations under the exclusive consulting and services agreement, the share pledge agreement and the exclusive option agreement described elsewhere in this annual report. In the event of a breach by any of EHang GZ’s shareholders of his contractual obligations under the relevant agreements, our WFOE, as pledgee, will have the right to acquire all or part of the pledged equity interests in EHang GZ. The shareholders of EHang GZ also undertake that, without the prior written consent of our WFOE, they will not create any encumbrance on or otherwise transfer or dispose of their respective equity interests in EHang GZ. The share pledge agreements will remain effective until all the contractual obligations under the relevant agreement have been satisfied in full. As of the date of this annual report, we have registered the share pledges with the relevant authorities in accordance with PRC regulations.</w:t>
      </w:r>
    </w:p>
    <w:p>
      <w:pPr>
        <w:spacing w:after="0" w:line="21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Agreement that Allows Us to Receive Economic Benefits from the VIE</w:t>
      </w:r>
    </w:p>
    <w:p>
      <w:pPr>
        <w:spacing w:after="0" w:line="84" w:lineRule="exact"/>
        <w:rPr>
          <w:sz w:val="20"/>
          <w:szCs w:val="20"/>
          <w:color w:val="auto"/>
        </w:rPr>
      </w:pPr>
    </w:p>
    <w:p>
      <w:pPr>
        <w:ind w:left="1680" w:right="559" w:firstLine="317"/>
        <w:spacing w:after="0" w:line="253" w:lineRule="auto"/>
        <w:rPr>
          <w:sz w:val="20"/>
          <w:szCs w:val="20"/>
          <w:color w:val="auto"/>
        </w:rPr>
      </w:pPr>
      <w:r>
        <w:rPr>
          <w:rFonts w:ascii="Times New Roman" w:cs="Times New Roman" w:eastAsia="Times New Roman" w:hAnsi="Times New Roman"/>
          <w:sz w:val="13"/>
          <w:szCs w:val="13"/>
          <w:b w:val="1"/>
          <w:bCs w:val="1"/>
          <w:i w:val="1"/>
          <w:iCs w:val="1"/>
          <w:color w:val="auto"/>
        </w:rPr>
        <w:t xml:space="preserve">Exclusive Consulting and Services Agreements. </w:t>
      </w:r>
      <w:r>
        <w:rPr>
          <w:rFonts w:ascii="Times New Roman" w:cs="Times New Roman" w:eastAsia="Times New Roman" w:hAnsi="Times New Roman"/>
          <w:sz w:val="13"/>
          <w:szCs w:val="13"/>
          <w:color w:val="auto"/>
        </w:rPr>
        <w:t>Pursuant to the exclusive technical consulting and service agreement and the exclusive services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agreement, each dated January 29, 2016, and subsequently amended on November 30, 2018, or the exclusive consulting and services agreements, between our WFOE and EHang GZ, our WFOE has the exclusive right to provide EHang GZ and its subsidiaries with consulting and services, including but not limited to those relating to the development, manufacturing and sales of intelligent aerial vehicles. Without our WFOE’s prior written consent, EHang GZ cannot, directly or indirectly, accept any consulting services subject to this agreement from any third party. EHang GZ agrees to pay our WFOE a service fee equal to 100% of the consolidated net profits of the EHang GZ after EHang GZ turns profitable on a cumulative basis and after netting off certain expenses. Our WFOE has the sole discretion in determining the service fee charged to EHang GZ under this agreement. Our WFOE has the exclusive ownership of all the intellectual property rights created as a result of the performance of the exclusive consulting and services agreement to the extent permitted by applicable PRC laws. The exclusive consulting and services agreement will remain effective for ten years, unless otherwise terminated by our WFOE with 30 days’ prior notice at any time, or by EHang GZ if our WFOE is grossly negligent.</w:t>
      </w:r>
    </w:p>
    <w:p>
      <w:pPr>
        <w:spacing w:after="0" w:line="21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Agreement that Provides Us with the Option to Purchase the Equity Interests in the VIE</w:t>
      </w:r>
    </w:p>
    <w:p>
      <w:pPr>
        <w:spacing w:after="0" w:line="84" w:lineRule="exact"/>
        <w:rPr>
          <w:sz w:val="20"/>
          <w:szCs w:val="20"/>
          <w:color w:val="auto"/>
        </w:rPr>
      </w:pPr>
    </w:p>
    <w:p>
      <w:pPr>
        <w:ind w:left="1680" w:right="559" w:firstLine="317"/>
        <w:spacing w:after="0" w:line="254" w:lineRule="auto"/>
        <w:rPr>
          <w:sz w:val="20"/>
          <w:szCs w:val="20"/>
          <w:color w:val="auto"/>
        </w:rPr>
      </w:pPr>
      <w:r>
        <w:rPr>
          <w:rFonts w:ascii="Times New Roman" w:cs="Times New Roman" w:eastAsia="Times New Roman" w:hAnsi="Times New Roman"/>
          <w:sz w:val="13"/>
          <w:szCs w:val="13"/>
          <w:b w:val="1"/>
          <w:bCs w:val="1"/>
          <w:i w:val="1"/>
          <w:iCs w:val="1"/>
          <w:color w:val="auto"/>
        </w:rPr>
        <w:t xml:space="preserve">Exclusive Option Agreement. </w:t>
      </w:r>
      <w:r>
        <w:rPr>
          <w:rFonts w:ascii="Times New Roman" w:cs="Times New Roman" w:eastAsia="Times New Roman" w:hAnsi="Times New Roman"/>
          <w:sz w:val="13"/>
          <w:szCs w:val="13"/>
          <w:color w:val="auto"/>
        </w:rPr>
        <w:t>Pursuant to the exclusive option agreement, dated October 21, 2020, among our WFOE, EHang GZ and the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shareholders of EHang GZ, each of the shareholders of EHang GZ has irrevocably granted our WFOE an exclusive option to purchase all or part of his equity interests in EHang GZ. Our WFOE or its designated person may exercise such options at the lowest price permitted under applicable PRC laws. Any proceeds received by the shareholders of EHang GZ from the exercise of the options shall be remitted to our WFOE or its designated party, to the extent permitted under applicable PRC laws. The shareholders of EHang GZ undertake that, without our WFOE’s prior written consent, they will not, among other things, (i) create any pledge or encumbrance on their equity interests in EHang GZ, and (ii) transfer or otherwise dispose of their equity interests in EHang GZ. The exclusive option agreements will remain effective until all equity interests in EHang GZ have been transferred to our WFOE or our designated person. The WFOE may terminate the agreement at its sole discretion.</w:t>
      </w:r>
    </w:p>
    <w:p>
      <w:pPr>
        <w:spacing w:after="0" w:line="13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In the opinion of AllBright Law Offices, our PRC legal counsel:</w:t>
      </w:r>
    </w:p>
    <w:p>
      <w:pPr>
        <w:spacing w:after="0" w:line="94" w:lineRule="exact"/>
        <w:rPr>
          <w:sz w:val="20"/>
          <w:szCs w:val="20"/>
          <w:color w:val="auto"/>
        </w:rPr>
      </w:pPr>
    </w:p>
    <w:p>
      <w:pPr>
        <w:ind w:left="2380" w:hanging="315"/>
        <w:spacing w:after="0"/>
        <w:tabs>
          <w:tab w:leader="none" w:pos="238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ownership structures of our WFOE, the VIE and its subsidiaries are in compliance with applicable PRC laws and regulations; and</w:t>
      </w:r>
    </w:p>
    <w:p>
      <w:pPr>
        <w:spacing w:after="0" w:line="93" w:lineRule="exact"/>
        <w:rPr>
          <w:rFonts w:ascii="Times New Roman" w:cs="Times New Roman" w:eastAsia="Times New Roman" w:hAnsi="Times New Roman"/>
          <w:sz w:val="13"/>
          <w:szCs w:val="13"/>
          <w:color w:val="auto"/>
        </w:rPr>
      </w:pPr>
    </w:p>
    <w:p>
      <w:pPr>
        <w:ind w:left="2380" w:right="759" w:hanging="315"/>
        <w:spacing w:after="0" w:line="264" w:lineRule="auto"/>
        <w:tabs>
          <w:tab w:leader="none" w:pos="238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contractual arrangements constitute valid, legal and binding obligations enforceable against each party of such agreements in accordance with the terms of each agreement from their respective effective dates to the date of this annual report, and will not result in any violation of PRC laws or regulations currently in effect.</w:t>
      </w:r>
    </w:p>
    <w:p>
      <w:pPr>
        <w:spacing w:after="0" w:line="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110</w:t>
      </w:r>
    </w:p>
    <w:p>
      <w:pPr>
        <w:sectPr>
          <w:pgSz w:w="11900" w:h="16838" w:orient="portrait"/>
          <w:cols w:equalWidth="0" w:num="1">
            <w:col w:w="10159"/>
          </w:cols>
          <w:pgMar w:left="300" w:top="388" w:right="144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1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22" w:lineRule="exact"/>
        <w:rPr>
          <w:sz w:val="20"/>
          <w:szCs w:val="20"/>
          <w:color w:val="auto"/>
        </w:rPr>
      </w:pPr>
    </w:p>
    <w:p>
      <w:pPr>
        <w:ind w:left="1680" w:right="559" w:firstLine="317"/>
        <w:spacing w:after="0" w:line="253" w:lineRule="auto"/>
        <w:rPr>
          <w:sz w:val="20"/>
          <w:szCs w:val="20"/>
          <w:color w:val="auto"/>
        </w:rPr>
      </w:pPr>
      <w:r>
        <w:rPr>
          <w:rFonts w:ascii="Times New Roman" w:cs="Times New Roman" w:eastAsia="Times New Roman" w:hAnsi="Times New Roman"/>
          <w:sz w:val="13"/>
          <w:szCs w:val="13"/>
          <w:color w:val="auto"/>
        </w:rPr>
        <w:t>However, our PRC legal counsel has also advised us that there are substantial uncertainties regarding the interpretation and application of current and future PRC laws, regulations and rules; accordingly, the PRC regulatory authorities may take a view that is contrary to the opinion of our PRC legal counsel. It is uncertain whether any new PRC laws or regulations relating to variable interest entity structures will be adopted or if adopted, what they would provide. If we or the VIE is found to be in violation of any existing or future PRC laws or regulations, or fail to obtain or maintain any of the required permits or approvals, the relevant PRC regulatory authorities would have broad discretion to take action in dealing with such violations or failures. See “Item 3. Key Information—D. Risk Factors—Risks Relating to Our Corporate Structure—If the PRC government finds that the agreements that establish the structure for operating some of our operations in China do not comply with PRC regulations relating to the relevant industries, or if these regulations or the interpretation of existing regulations change in the future, we could be subject to severe penalties or be forced to relinquish our interests in those operations”.</w:t>
      </w:r>
    </w:p>
    <w:p>
      <w:pPr>
        <w:spacing w:after="0" w:line="21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 xml:space="preserve">D. </w:t>
      </w:r>
      <w:r>
        <w:rPr>
          <w:rFonts w:ascii="Times New Roman" w:cs="Times New Roman" w:eastAsia="Times New Roman" w:hAnsi="Times New Roman"/>
          <w:sz w:val="13"/>
          <w:szCs w:val="13"/>
          <w:b w:val="1"/>
          <w:bCs w:val="1"/>
          <w:u w:val="single" w:color="auto"/>
          <w:color w:val="auto"/>
        </w:rPr>
        <w:t>Property, plants and equipment.</w:t>
      </w:r>
    </w:p>
    <w:p>
      <w:pPr>
        <w:spacing w:after="0" w:line="86" w:lineRule="exact"/>
        <w:rPr>
          <w:sz w:val="20"/>
          <w:szCs w:val="20"/>
          <w:color w:val="auto"/>
        </w:rPr>
      </w:pPr>
    </w:p>
    <w:p>
      <w:pPr>
        <w:ind w:left="1680" w:right="579" w:firstLine="317"/>
        <w:spacing w:after="0" w:line="259" w:lineRule="auto"/>
        <w:rPr>
          <w:sz w:val="20"/>
          <w:szCs w:val="20"/>
          <w:color w:val="auto"/>
        </w:rPr>
      </w:pPr>
      <w:r>
        <w:rPr>
          <w:rFonts w:ascii="Times New Roman" w:cs="Times New Roman" w:eastAsia="Times New Roman" w:hAnsi="Times New Roman"/>
          <w:sz w:val="13"/>
          <w:szCs w:val="13"/>
          <w:color w:val="auto"/>
        </w:rPr>
        <w:t>Our headquarters is located in Guangzhou, China, where we lease and occupy our office space with an aggregate floor area of approximately 72,885 square meters from unrelated third parties under operating lease agreements. Our new AAV production facility in Yunfu city, China has a total planned gross floor area of 24,000 square meters. A substantial majority of our employees are based at our headquarters in Guangzhou. As of the date of this annual report, we do not currently own any of our premises.</w:t>
      </w:r>
    </w:p>
    <w:p>
      <w:pPr>
        <w:spacing w:after="0" w:line="133" w:lineRule="exact"/>
        <w:rPr>
          <w:sz w:val="20"/>
          <w:szCs w:val="20"/>
          <w:color w:val="auto"/>
        </w:rPr>
      </w:pPr>
    </w:p>
    <w:p>
      <w:pPr>
        <w:ind w:left="1680" w:right="959" w:firstLine="317"/>
        <w:spacing w:after="0" w:line="278" w:lineRule="auto"/>
        <w:rPr>
          <w:sz w:val="20"/>
          <w:szCs w:val="20"/>
          <w:color w:val="auto"/>
        </w:rPr>
      </w:pPr>
      <w:r>
        <w:rPr>
          <w:rFonts w:ascii="Times New Roman" w:cs="Times New Roman" w:eastAsia="Times New Roman" w:hAnsi="Times New Roman"/>
          <w:sz w:val="13"/>
          <w:szCs w:val="13"/>
          <w:color w:val="auto"/>
        </w:rPr>
        <w:t>We believe that our existing facilities are generally adequate to meet our current needs, but we expect to seek additional space as needed to accommodate our future growth.</w:t>
      </w:r>
    </w:p>
    <w:p>
      <w:pPr>
        <w:spacing w:after="0" w:line="226" w:lineRule="exact"/>
        <w:rPr>
          <w:sz w:val="20"/>
          <w:szCs w:val="20"/>
          <w:color w:val="auto"/>
        </w:rPr>
      </w:pPr>
    </w:p>
    <w:p>
      <w:pPr>
        <w:ind w:left="1680"/>
        <w:spacing w:after="0"/>
        <w:tabs>
          <w:tab w:leader="none" w:pos="2440" w:val="left"/>
        </w:tabs>
        <w:rPr>
          <w:sz w:val="20"/>
          <w:szCs w:val="20"/>
          <w:color w:val="auto"/>
        </w:rPr>
      </w:pPr>
      <w:r>
        <w:rPr>
          <w:rFonts w:ascii="Times New Roman" w:cs="Times New Roman" w:eastAsia="Times New Roman" w:hAnsi="Times New Roman"/>
          <w:sz w:val="13"/>
          <w:szCs w:val="13"/>
          <w:b w:val="1"/>
          <w:bCs w:val="1"/>
          <w:color w:val="auto"/>
        </w:rPr>
        <w:t>Item 4A.</w:t>
      </w:r>
      <w:r>
        <w:rPr>
          <w:sz w:val="20"/>
          <w:szCs w:val="20"/>
          <w:color w:val="auto"/>
        </w:rPr>
        <w:tab/>
      </w:r>
      <w:r>
        <w:rPr>
          <w:rFonts w:ascii="Times New Roman" w:cs="Times New Roman" w:eastAsia="Times New Roman" w:hAnsi="Times New Roman"/>
          <w:sz w:val="12"/>
          <w:szCs w:val="12"/>
          <w:b w:val="1"/>
          <w:bCs w:val="1"/>
          <w:color w:val="auto"/>
        </w:rPr>
        <w:t>Unresolved Staff Comments</w:t>
      </w:r>
    </w:p>
    <w:p>
      <w:pPr>
        <w:spacing w:after="0" w:line="8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Not applicable.</w:t>
      </w:r>
    </w:p>
    <w:p>
      <w:pPr>
        <w:spacing w:after="0" w:line="267" w:lineRule="exact"/>
        <w:rPr>
          <w:sz w:val="20"/>
          <w:szCs w:val="20"/>
          <w:color w:val="auto"/>
        </w:rPr>
      </w:pPr>
    </w:p>
    <w:p>
      <w:pPr>
        <w:ind w:left="1680"/>
        <w:spacing w:after="0"/>
        <w:tabs>
          <w:tab w:leader="none" w:pos="2440" w:val="left"/>
        </w:tabs>
        <w:rPr>
          <w:sz w:val="20"/>
          <w:szCs w:val="20"/>
          <w:color w:val="auto"/>
        </w:rPr>
      </w:pPr>
      <w:r>
        <w:rPr>
          <w:rFonts w:ascii="Times New Roman" w:cs="Times New Roman" w:eastAsia="Times New Roman" w:hAnsi="Times New Roman"/>
          <w:sz w:val="13"/>
          <w:szCs w:val="13"/>
          <w:b w:val="1"/>
          <w:bCs w:val="1"/>
          <w:color w:val="auto"/>
        </w:rPr>
        <w:t>Item 5.</w:t>
      </w:r>
      <w:r>
        <w:rPr>
          <w:sz w:val="20"/>
          <w:szCs w:val="20"/>
          <w:color w:val="auto"/>
        </w:rPr>
        <w:tab/>
      </w:r>
      <w:r>
        <w:rPr>
          <w:rFonts w:ascii="Times New Roman" w:cs="Times New Roman" w:eastAsia="Times New Roman" w:hAnsi="Times New Roman"/>
          <w:sz w:val="12"/>
          <w:szCs w:val="12"/>
          <w:b w:val="1"/>
          <w:bCs w:val="1"/>
          <w:color w:val="auto"/>
        </w:rPr>
        <w:t>Operating and Financial Review Prospects</w:t>
      </w:r>
    </w:p>
    <w:p>
      <w:pPr>
        <w:spacing w:after="0" w:line="84" w:lineRule="exact"/>
        <w:rPr>
          <w:sz w:val="20"/>
          <w:szCs w:val="20"/>
          <w:color w:val="auto"/>
        </w:rPr>
      </w:pPr>
    </w:p>
    <w:p>
      <w:pPr>
        <w:ind w:left="1680" w:right="739" w:firstLine="317"/>
        <w:spacing w:after="0" w:line="257" w:lineRule="auto"/>
        <w:rPr>
          <w:sz w:val="20"/>
          <w:szCs w:val="20"/>
          <w:color w:val="auto"/>
        </w:rPr>
      </w:pPr>
      <w:r>
        <w:rPr>
          <w:rFonts w:ascii="Times New Roman" w:cs="Times New Roman" w:eastAsia="Times New Roman" w:hAnsi="Times New Roman"/>
          <w:sz w:val="13"/>
          <w:szCs w:val="13"/>
          <w:i w:val="1"/>
          <w:iCs w:val="1"/>
          <w:color w:val="auto"/>
        </w:rPr>
        <w:t>You should read the following discussion and analysis of our financial condition and results of operations in conjunction with our consolidated financial statements and the related notes included elsewhere in this annual report. This discussion contains forward-looking statements that involve risks and uncertainties about our business and operations. Our actual results and the timing of selected events may differ materially from those anticipated in these forward-looking statements as a result of various factors, including those we describe under “Item 3. Key Information—D. Risk Factors” and elsewhere in this annual report.</w:t>
      </w:r>
    </w:p>
    <w:p>
      <w:pPr>
        <w:spacing w:after="0" w:line="21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 xml:space="preserve">A. </w:t>
      </w:r>
      <w:r>
        <w:rPr>
          <w:rFonts w:ascii="Times New Roman" w:cs="Times New Roman" w:eastAsia="Times New Roman" w:hAnsi="Times New Roman"/>
          <w:sz w:val="13"/>
          <w:szCs w:val="13"/>
          <w:b w:val="1"/>
          <w:bCs w:val="1"/>
          <w:u w:val="single" w:color="auto"/>
          <w:color w:val="auto"/>
        </w:rPr>
        <w:t>Operating results</w:t>
      </w:r>
      <w:r>
        <w:rPr>
          <w:rFonts w:ascii="Times New Roman" w:cs="Times New Roman" w:eastAsia="Times New Roman" w:hAnsi="Times New Roman"/>
          <w:sz w:val="13"/>
          <w:szCs w:val="13"/>
          <w:b w:val="1"/>
          <w:bCs w:val="1"/>
          <w:color w:val="auto"/>
        </w:rPr>
        <w:t>.</w:t>
      </w:r>
    </w:p>
    <w:p>
      <w:pPr>
        <w:spacing w:after="0" w:line="8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Overview</w:t>
      </w:r>
    </w:p>
    <w:p>
      <w:pPr>
        <w:spacing w:after="0" w:line="86" w:lineRule="exact"/>
        <w:rPr>
          <w:sz w:val="20"/>
          <w:szCs w:val="20"/>
          <w:color w:val="auto"/>
        </w:rPr>
      </w:pPr>
    </w:p>
    <w:p>
      <w:pPr>
        <w:ind w:left="1680" w:right="919" w:firstLine="317"/>
        <w:spacing w:after="0" w:line="278" w:lineRule="auto"/>
        <w:rPr>
          <w:sz w:val="20"/>
          <w:szCs w:val="20"/>
          <w:color w:val="auto"/>
        </w:rPr>
      </w:pPr>
      <w:r>
        <w:rPr>
          <w:rFonts w:ascii="Times New Roman" w:cs="Times New Roman" w:eastAsia="Times New Roman" w:hAnsi="Times New Roman"/>
          <w:sz w:val="13"/>
          <w:szCs w:val="13"/>
          <w:color w:val="auto"/>
        </w:rPr>
        <w:t>We are an autonomous aerial vehicle technology platform company. We are pioneering the future of transportation through our proprietarily developed AAVs, related commercial solutions and services.</w:t>
      </w:r>
    </w:p>
    <w:p>
      <w:pPr>
        <w:spacing w:after="0" w:line="121" w:lineRule="exact"/>
        <w:rPr>
          <w:sz w:val="20"/>
          <w:szCs w:val="20"/>
          <w:color w:val="auto"/>
        </w:rPr>
      </w:pPr>
    </w:p>
    <w:p>
      <w:pPr>
        <w:jc w:val="both"/>
        <w:ind w:left="1680" w:right="619" w:firstLine="317"/>
        <w:spacing w:after="0" w:line="264" w:lineRule="auto"/>
        <w:rPr>
          <w:sz w:val="20"/>
          <w:szCs w:val="20"/>
          <w:color w:val="auto"/>
        </w:rPr>
      </w:pPr>
      <w:r>
        <w:rPr>
          <w:rFonts w:ascii="Times New Roman" w:cs="Times New Roman" w:eastAsia="Times New Roman" w:hAnsi="Times New Roman"/>
          <w:sz w:val="13"/>
          <w:szCs w:val="13"/>
          <w:color w:val="auto"/>
        </w:rPr>
        <w:t>We, the VIE and its subsidiaries design, develop, manufacture, sell and operate AAVs and their supporting systems and infrastructure for a broad range of industries and applications, including passenger transportation, logistics, smart city management and aerial media solutions. We aim to make it safe and convenient for both passengers and goods to take to the air.</w:t>
      </w:r>
    </w:p>
    <w:p>
      <w:pPr>
        <w:spacing w:after="0" w:line="8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111</w:t>
      </w:r>
    </w:p>
    <w:p>
      <w:pPr>
        <w:sectPr>
          <w:pgSz w:w="11900" w:h="16838" w:orient="portrait"/>
          <w:cols w:equalWidth="0" w:num="1">
            <w:col w:w="10159"/>
          </w:cols>
          <w:pgMar w:left="300" w:top="388" w:right="1440"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1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22" w:lineRule="exact"/>
        <w:rPr>
          <w:sz w:val="20"/>
          <w:szCs w:val="20"/>
          <w:color w:val="auto"/>
        </w:rPr>
      </w:pPr>
    </w:p>
    <w:p>
      <w:pPr>
        <w:ind w:left="1680" w:right="619" w:firstLine="317"/>
        <w:spacing w:after="0" w:line="259" w:lineRule="auto"/>
        <w:rPr>
          <w:sz w:val="20"/>
          <w:szCs w:val="20"/>
          <w:color w:val="auto"/>
        </w:rPr>
      </w:pPr>
      <w:r>
        <w:rPr>
          <w:rFonts w:ascii="Times New Roman" w:cs="Times New Roman" w:eastAsia="Times New Roman" w:hAnsi="Times New Roman"/>
          <w:sz w:val="13"/>
          <w:szCs w:val="13"/>
          <w:color w:val="auto"/>
        </w:rPr>
        <w:t>We delivered our first passenger-grade AAV to a customer in March 2018. As of December 31, 2021, we and the VIE had cumulatively delivered 164 passenger-grade AAVs and developed and delivered four command-and- control systems for smart city management. As we continue to refine and commercialize our passenger-grade AAVs and air mobility solutions, we believe we will be able to capture addressable markets across multiple industries and develop AAV commercial applications in new industries.</w:t>
      </w:r>
    </w:p>
    <w:p>
      <w:pPr>
        <w:spacing w:after="0" w:line="13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Our revenues increased by 47.8% from RMB121.8 million in 2019 to RMB180.1 million in 2020, and further decreased by 68.5% to</w:t>
      </w:r>
    </w:p>
    <w:p>
      <w:pPr>
        <w:spacing w:after="0" w:line="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RMB56.8 million (US$8.9 million) in 2021. Our net loss increased by 91.8% from RMB48.0 million in 2019 to RMB92.0 million in 2020, and further</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increased by 241.0% to RMB313.9 million (US$49.3 million) in 2021. In 2021, revenues generated by air mobility solutions, smart city management</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solutions and aerial media solutions were RMB48.2 million (US$7.5 million), RMB7.1 million (US$1.1 million) and RMB1.1 million (US$0.2 million),</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representing 84.8%, 12.6% and 1.9% of our total revenues, respectively.</w:t>
      </w:r>
    </w:p>
    <w:p>
      <w:pPr>
        <w:spacing w:after="0" w:line="22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Key Components of Results of Operations</w:t>
      </w:r>
    </w:p>
    <w:p>
      <w:pPr>
        <w:spacing w:after="0" w:line="8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Revenues</w:t>
      </w:r>
    </w:p>
    <w:p>
      <w:pPr>
        <w:spacing w:after="0" w:line="88" w:lineRule="exact"/>
        <w:rPr>
          <w:sz w:val="20"/>
          <w:szCs w:val="20"/>
          <w:color w:val="auto"/>
        </w:rPr>
      </w:pPr>
    </w:p>
    <w:p>
      <w:pPr>
        <w:ind w:left="1680" w:right="739" w:firstLine="317"/>
        <w:spacing w:after="0" w:line="278" w:lineRule="auto"/>
        <w:rPr>
          <w:sz w:val="20"/>
          <w:szCs w:val="20"/>
          <w:color w:val="auto"/>
        </w:rPr>
      </w:pPr>
      <w:r>
        <w:rPr>
          <w:rFonts w:ascii="Times New Roman" w:cs="Times New Roman" w:eastAsia="Times New Roman" w:hAnsi="Times New Roman"/>
          <w:sz w:val="13"/>
          <w:szCs w:val="13"/>
          <w:color w:val="auto"/>
        </w:rPr>
        <w:t>We generate revenues from air mobility solutions, smart city management solutions, aerial media solutions and others. The following table sets forth a breakdown of our total revenues in absolute amounts and percentages of our total revenues for the periods presented:</w:t>
      </w:r>
    </w:p>
    <w:p>
      <w:pPr>
        <w:spacing w:after="0" w:line="136" w:lineRule="exact"/>
        <w:rPr>
          <w:sz w:val="20"/>
          <w:szCs w:val="20"/>
          <w:color w:val="auto"/>
        </w:rPr>
      </w:pPr>
    </w:p>
    <w:tbl>
      <w:tblPr>
        <w:tblLayout w:type="fixed"/>
        <w:tblInd w:w="1680" w:type="dxa"/>
        <w:tblCellMar>
          <w:top w:w="0" w:type="dxa"/>
          <w:left w:w="0" w:type="dxa"/>
          <w:bottom w:w="0" w:type="dxa"/>
          <w:right w:w="0" w:type="dxa"/>
        </w:tblCellMar>
      </w:tblPr>
      <w:tr>
        <w:trPr>
          <w:trHeight w:val="124"/>
        </w:trPr>
        <w:tc>
          <w:tcPr>
            <w:tcW w:w="454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0"/>
                <w:szCs w:val="10"/>
                <w:b w:val="1"/>
                <w:bCs w:val="1"/>
                <w:color w:val="auto"/>
              </w:rPr>
              <w:t>For the Year Ended December 31,</w:t>
            </w:r>
          </w:p>
        </w:tc>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7"/>
        </w:trPr>
        <w:tc>
          <w:tcPr>
            <w:tcW w:w="4540" w:type="dxa"/>
            <w:vAlign w:val="bottom"/>
          </w:tcPr>
          <w:p>
            <w:pPr>
              <w:spacing w:after="0"/>
              <w:rPr>
                <w:sz w:val="8"/>
                <w:szCs w:val="8"/>
                <w:color w:val="auto"/>
              </w:rPr>
            </w:pPr>
          </w:p>
        </w:tc>
        <w:tc>
          <w:tcPr>
            <w:tcW w:w="580" w:type="dxa"/>
            <w:vAlign w:val="bottom"/>
            <w:gridSpan w:val="2"/>
          </w:tcPr>
          <w:p>
            <w:pPr>
              <w:jc w:val="right"/>
              <w:ind w:right="20"/>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340" w:type="dxa"/>
            <w:vAlign w:val="bottom"/>
          </w:tcPr>
          <w:p>
            <w:pPr>
              <w:spacing w:after="0"/>
              <w:rPr>
                <w:sz w:val="8"/>
                <w:szCs w:val="8"/>
                <w:color w:val="auto"/>
              </w:rPr>
            </w:pPr>
          </w:p>
        </w:tc>
        <w:tc>
          <w:tcPr>
            <w:tcW w:w="700" w:type="dxa"/>
            <w:vAlign w:val="bottom"/>
            <w:gridSpan w:val="3"/>
          </w:tcPr>
          <w:p>
            <w:pPr>
              <w:jc w:val="right"/>
              <w:ind w:right="40"/>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jc w:val="right"/>
              <w:ind w:right="39"/>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97"/>
        </w:trPr>
        <w:tc>
          <w:tcPr>
            <w:tcW w:w="4540" w:type="dxa"/>
            <w:vAlign w:val="bottom"/>
          </w:tcPr>
          <w:p>
            <w:pPr>
              <w:spacing w:after="0"/>
              <w:rPr>
                <w:sz w:val="8"/>
                <w:szCs w:val="8"/>
                <w:color w:val="auto"/>
              </w:rPr>
            </w:pPr>
          </w:p>
        </w:tc>
        <w:tc>
          <w:tcPr>
            <w:tcW w:w="460" w:type="dxa"/>
            <w:vAlign w:val="bottom"/>
            <w:tcBorders>
              <w:top w:val="single" w:sz="8" w:color="auto"/>
              <w:bottom w:val="single" w:sz="8" w:color="auto"/>
            </w:tcBorders>
          </w:tcPr>
          <w:p>
            <w:pPr>
              <w:jc w:val="right"/>
              <w:ind w:right="39"/>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120" w:type="dxa"/>
            <w:vAlign w:val="bottom"/>
            <w:tcBorders>
              <w:top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jc w:val="right"/>
              <w:ind w:right="59"/>
              <w:spacing w:after="0" w:line="97"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8"/>
                <w:szCs w:val="8"/>
                <w:color w:val="auto"/>
              </w:rPr>
            </w:pPr>
          </w:p>
        </w:tc>
        <w:tc>
          <w:tcPr>
            <w:tcW w:w="460" w:type="dxa"/>
            <w:vAlign w:val="bottom"/>
            <w:tcBorders>
              <w:top w:val="single" w:sz="8" w:color="auto"/>
              <w:bottom w:val="single" w:sz="8" w:color="auto"/>
            </w:tcBorders>
          </w:tcPr>
          <w:p>
            <w:pPr>
              <w:jc w:val="right"/>
              <w:ind w:right="62"/>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120" w:type="dxa"/>
            <w:vAlign w:val="bottom"/>
            <w:tcBorders>
              <w:top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57"/>
              <w:spacing w:after="0" w:line="97"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8"/>
                <w:szCs w:val="8"/>
                <w:color w:val="auto"/>
              </w:rPr>
            </w:pPr>
          </w:p>
        </w:tc>
        <w:tc>
          <w:tcPr>
            <w:tcW w:w="400" w:type="dxa"/>
            <w:vAlign w:val="bottom"/>
            <w:tcBorders>
              <w:top w:val="single" w:sz="8" w:color="auto"/>
              <w:bottom w:val="single" w:sz="8" w:color="auto"/>
            </w:tcBorders>
          </w:tcPr>
          <w:p>
            <w:pPr>
              <w:jc w:val="right"/>
              <w:ind w:right="24"/>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120" w:type="dxa"/>
            <w:vAlign w:val="bottom"/>
            <w:tcBorders>
              <w:top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jc w:val="right"/>
              <w:ind w:right="19"/>
              <w:spacing w:after="0" w:line="97" w:lineRule="exact"/>
              <w:rPr>
                <w:sz w:val="20"/>
                <w:szCs w:val="20"/>
                <w:color w:val="auto"/>
              </w:rPr>
            </w:pPr>
            <w:r>
              <w:rPr>
                <w:rFonts w:ascii="Times New Roman" w:cs="Times New Roman" w:eastAsia="Times New Roman" w:hAnsi="Times New Roman"/>
                <w:sz w:val="10"/>
                <w:szCs w:val="10"/>
                <w:b w:val="1"/>
                <w:bCs w:val="1"/>
                <w:color w:val="auto"/>
              </w:rPr>
              <w:t>US$</w:t>
            </w:r>
          </w:p>
        </w:tc>
        <w:tc>
          <w:tcPr>
            <w:tcW w:w="100" w:type="dxa"/>
            <w:vAlign w:val="bottom"/>
            <w:tcBorders>
              <w:top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jc w:val="right"/>
              <w:ind w:right="62"/>
              <w:spacing w:after="0" w:line="97" w:lineRule="exact"/>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spacing w:after="0"/>
              <w:rPr>
                <w:sz w:val="8"/>
                <w:szCs w:val="8"/>
                <w:color w:val="auto"/>
              </w:rPr>
            </w:pPr>
          </w:p>
        </w:tc>
      </w:tr>
      <w:tr>
        <w:trPr>
          <w:trHeight w:val="97"/>
        </w:trPr>
        <w:tc>
          <w:tcPr>
            <w:tcW w:w="4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gridSpan w:val="5"/>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(in thousands, except for</w:t>
            </w:r>
          </w:p>
        </w:tc>
        <w:tc>
          <w:tcPr>
            <w:tcW w:w="120" w:type="dxa"/>
            <w:vAlign w:val="bottom"/>
          </w:tcPr>
          <w:p>
            <w:pPr>
              <w:spacing w:after="0"/>
              <w:rPr>
                <w:sz w:val="8"/>
                <w:szCs w:val="8"/>
                <w:color w:val="auto"/>
              </w:rPr>
            </w:pPr>
          </w:p>
        </w:tc>
        <w:tc>
          <w:tcPr>
            <w:tcW w:w="40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w w:val="70"/>
              </w:rPr>
              <w:t>percentages)</w:t>
            </w: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5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6"/>
        </w:trPr>
        <w:tc>
          <w:tcPr>
            <w:tcW w:w="4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Air mobility solutions</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85,916</w:t>
            </w: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70.5</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105,969</w:t>
            </w:r>
          </w:p>
        </w:tc>
        <w:tc>
          <w:tcPr>
            <w:tcW w:w="1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58.8</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48,156</w:t>
            </w: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7,556</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84.8</w:t>
            </w:r>
          </w:p>
        </w:tc>
        <w:tc>
          <w:tcPr>
            <w:tcW w:w="40" w:type="dxa"/>
            <w:vAlign w:val="bottom"/>
          </w:tcPr>
          <w:p>
            <w:pPr>
              <w:spacing w:after="0"/>
              <w:rPr>
                <w:sz w:val="13"/>
                <w:szCs w:val="13"/>
                <w:color w:val="auto"/>
              </w:rPr>
            </w:pPr>
          </w:p>
        </w:tc>
      </w:tr>
      <w:tr>
        <w:trPr>
          <w:trHeight w:val="156"/>
        </w:trPr>
        <w:tc>
          <w:tcPr>
            <w:tcW w:w="4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Smart city management solutions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4,441</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8,282</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7,135</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40" w:type="dxa"/>
            <w:vAlign w:val="bottom"/>
            <w:shd w:val="clear" w:color="auto" w:fill="CCEEFF"/>
          </w:tcPr>
          <w:p>
            <w:pPr>
              <w:spacing w:after="0"/>
              <w:rPr>
                <w:sz w:val="13"/>
                <w:szCs w:val="13"/>
                <w:color w:val="auto"/>
              </w:rPr>
            </w:pPr>
          </w:p>
        </w:tc>
      </w:tr>
      <w:tr>
        <w:trPr>
          <w:trHeight w:val="156"/>
        </w:trPr>
        <w:tc>
          <w:tcPr>
            <w:tcW w:w="4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Aerial media solutions</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30,746</w:t>
            </w: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65,656</w:t>
            </w:r>
          </w:p>
        </w:tc>
        <w:tc>
          <w:tcPr>
            <w:tcW w:w="1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1,100</w:t>
            </w: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40" w:type="dxa"/>
            <w:vAlign w:val="bottom"/>
          </w:tcPr>
          <w:p>
            <w:pPr>
              <w:spacing w:after="0"/>
              <w:rPr>
                <w:sz w:val="13"/>
                <w:szCs w:val="13"/>
                <w:color w:val="auto"/>
              </w:rPr>
            </w:pPr>
          </w:p>
        </w:tc>
      </w:tr>
      <w:tr>
        <w:trPr>
          <w:trHeight w:val="156"/>
        </w:trPr>
        <w:tc>
          <w:tcPr>
            <w:tcW w:w="4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40" w:type="dxa"/>
            <w:vAlign w:val="bottom"/>
            <w:shd w:val="clear" w:color="auto" w:fill="CCEEFF"/>
          </w:tcPr>
          <w:p>
            <w:pPr>
              <w:spacing w:after="0"/>
              <w:rPr>
                <w:sz w:val="13"/>
                <w:szCs w:val="13"/>
                <w:color w:val="auto"/>
              </w:rPr>
            </w:pPr>
          </w:p>
        </w:tc>
      </w:tr>
      <w:tr>
        <w:trPr>
          <w:trHeight w:val="155"/>
        </w:trPr>
        <w:tc>
          <w:tcPr>
            <w:tcW w:w="45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121,814</w:t>
            </w:r>
          </w:p>
        </w:tc>
        <w:tc>
          <w:tcPr>
            <w:tcW w:w="12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100.0</w:t>
            </w:r>
          </w:p>
        </w:tc>
        <w:tc>
          <w:tcPr>
            <w:tcW w:w="12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180,093</w:t>
            </w:r>
          </w:p>
        </w:tc>
        <w:tc>
          <w:tcPr>
            <w:tcW w:w="12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100.0</w:t>
            </w:r>
          </w:p>
        </w:tc>
        <w:tc>
          <w:tcPr>
            <w:tcW w:w="12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56,807</w:t>
            </w:r>
          </w:p>
        </w:tc>
        <w:tc>
          <w:tcPr>
            <w:tcW w:w="12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8,914</w:t>
            </w:r>
          </w:p>
        </w:tc>
        <w:tc>
          <w:tcPr>
            <w:tcW w:w="10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100.0</w:t>
            </w:r>
          </w:p>
        </w:tc>
        <w:tc>
          <w:tcPr>
            <w:tcW w:w="40" w:type="dxa"/>
            <w:vAlign w:val="bottom"/>
          </w:tcPr>
          <w:p>
            <w:pPr>
              <w:spacing w:after="0"/>
              <w:rPr>
                <w:sz w:val="13"/>
                <w:szCs w:val="13"/>
                <w:color w:val="auto"/>
              </w:rPr>
            </w:pPr>
          </w:p>
        </w:tc>
      </w:tr>
    </w:tbl>
    <w:p>
      <w:pPr>
        <w:spacing w:after="0" w:line="151" w:lineRule="exact"/>
        <w:rPr>
          <w:sz w:val="20"/>
          <w:szCs w:val="20"/>
          <w:color w:val="auto"/>
        </w:rPr>
      </w:pPr>
    </w:p>
    <w:p>
      <w:pPr>
        <w:ind w:left="1680" w:right="559" w:firstLine="317"/>
        <w:spacing w:after="0" w:line="253" w:lineRule="auto"/>
        <w:rPr>
          <w:sz w:val="20"/>
          <w:szCs w:val="20"/>
          <w:color w:val="auto"/>
        </w:rPr>
      </w:pPr>
      <w:r>
        <w:rPr>
          <w:rFonts w:ascii="Times New Roman" w:cs="Times New Roman" w:eastAsia="Times New Roman" w:hAnsi="Times New Roman"/>
          <w:sz w:val="13"/>
          <w:szCs w:val="13"/>
          <w:i w:val="1"/>
          <w:iCs w:val="1"/>
          <w:color w:val="auto"/>
        </w:rPr>
        <w:t xml:space="preserve">Air mobility solutions. </w:t>
      </w:r>
      <w:r>
        <w:rPr>
          <w:rFonts w:ascii="Times New Roman" w:cs="Times New Roman" w:eastAsia="Times New Roman" w:hAnsi="Times New Roman"/>
          <w:sz w:val="13"/>
          <w:szCs w:val="13"/>
          <w:color w:val="auto"/>
        </w:rPr>
        <w:t>Revenues from air mobility solutions consist of revenues from (i) sales of passenger-grade AAVs and (ii) provision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logistics services. Revenues from sales of passenger-grade AAVs are based on firm customer orders with fixed terms and conditions, including pricing, net of discounts, if any. The performance obligation under the contract is the delivery of passenger-grade AAVs, which is satisfied at a point in time, in general upon our receipt of acknowledgement receipts from customers or under some circumstances upon the passenger-grade AAVs have been shipped to the contractually agreed location when the products are sold to customers outside PRC. Our revenues from air mobility solutions in 2021 were mainly derived from sales of passenger-grade AAVs to customers mainly operated on a limited trial basis in tourism locations in China for testing, training and demonstration purposes. Before regulatory approvals for the commercial operations of our AAVs have been obtained in China and/or other relevant jurisdictions, customer demand will likely be limited in volume. Currently we are working to obtain such approvals in China. However, we are unable to predict the timing of such approvals.</w:t>
      </w:r>
    </w:p>
    <w:p>
      <w:pPr>
        <w:spacing w:after="0" w:line="138" w:lineRule="exact"/>
        <w:rPr>
          <w:sz w:val="20"/>
          <w:szCs w:val="20"/>
          <w:color w:val="auto"/>
        </w:rPr>
      </w:pPr>
    </w:p>
    <w:p>
      <w:pPr>
        <w:ind w:left="1680" w:right="599" w:firstLine="317"/>
        <w:spacing w:after="0" w:line="256" w:lineRule="auto"/>
        <w:rPr>
          <w:sz w:val="20"/>
          <w:szCs w:val="20"/>
          <w:color w:val="auto"/>
        </w:rPr>
      </w:pPr>
      <w:r>
        <w:rPr>
          <w:rFonts w:ascii="Times New Roman" w:cs="Times New Roman" w:eastAsia="Times New Roman" w:hAnsi="Times New Roman"/>
          <w:sz w:val="13"/>
          <w:szCs w:val="13"/>
          <w:i w:val="1"/>
          <w:iCs w:val="1"/>
          <w:color w:val="auto"/>
        </w:rPr>
        <w:t xml:space="preserve">Smart city management solutions. </w:t>
      </w:r>
      <w:r>
        <w:rPr>
          <w:rFonts w:ascii="Times New Roman" w:cs="Times New Roman" w:eastAsia="Times New Roman" w:hAnsi="Times New Roman"/>
          <w:sz w:val="13"/>
          <w:szCs w:val="13"/>
          <w:color w:val="auto"/>
        </w:rPr>
        <w:t>Smart city management solutions mainly include (i) design and development of command-and-control systems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 related facilities, and (ii) sale of AAVs and other related products. For design and development of command-and-control systems and related facilities, we recognize revenues using a percentage of completion method. We typically enter into project contracts with customers, according to which they pay project fees based on the agreed schedule. As we provide smart city management solutions on a project basis with high individual transaction values, revenues from smart city management solutions may be more concentrated in certain years or periods, and therefore are subject to greater period-to-period fluctuations.</w:t>
      </w:r>
    </w:p>
    <w:p>
      <w:pPr>
        <w:spacing w:after="0" w:line="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112</w:t>
      </w:r>
    </w:p>
    <w:p>
      <w:pPr>
        <w:sectPr>
          <w:pgSz w:w="11900" w:h="16838" w:orient="portrait"/>
          <w:cols w:equalWidth="0" w:num="1">
            <w:col w:w="10159"/>
          </w:cols>
          <w:pgMar w:left="300" w:top="388" w:right="1440"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ind w:left="1680" w:right="619" w:firstLine="317"/>
        <w:spacing w:after="0" w:line="260" w:lineRule="auto"/>
        <w:rPr>
          <w:sz w:val="20"/>
          <w:szCs w:val="20"/>
          <w:color w:val="auto"/>
        </w:rPr>
      </w:pPr>
      <w:r>
        <w:rPr>
          <w:rFonts w:ascii="Times New Roman" w:cs="Times New Roman" w:eastAsia="Times New Roman" w:hAnsi="Times New Roman"/>
          <w:sz w:val="13"/>
          <w:szCs w:val="13"/>
          <w:i w:val="1"/>
          <w:iCs w:val="1"/>
          <w:color w:val="auto"/>
        </w:rPr>
        <w:t>Aerial media solutions</w:t>
      </w:r>
      <w:r>
        <w:rPr>
          <w:rFonts w:ascii="Times New Roman" w:cs="Times New Roman" w:eastAsia="Times New Roman" w:hAnsi="Times New Roman"/>
          <w:sz w:val="13"/>
          <w:szCs w:val="13"/>
          <w:color w:val="auto"/>
        </w:rPr>
        <w:t>. We recognize revenues from aerial media solutions when the aerial media performance is fulfilled by us or customers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purchase aerial media solution packages from us. The service fee for each performance is determined mainly by the length of performance, complexity, number of AAVs involved, manpower and regulatory requirements. The purchase price for aerial media solution packages consists of small-sized aerial media AAVs or component packages, related software, maintenance and/or training services, etc.</w:t>
      </w:r>
    </w:p>
    <w:p>
      <w:pPr>
        <w:spacing w:after="0" w:line="130" w:lineRule="exact"/>
        <w:rPr>
          <w:sz w:val="20"/>
          <w:szCs w:val="20"/>
          <w:color w:val="auto"/>
        </w:rPr>
      </w:pPr>
    </w:p>
    <w:p>
      <w:pPr>
        <w:ind w:left="1680" w:right="719" w:firstLine="317"/>
        <w:spacing w:after="0" w:line="265" w:lineRule="auto"/>
        <w:rPr>
          <w:sz w:val="20"/>
          <w:szCs w:val="20"/>
          <w:color w:val="auto"/>
        </w:rPr>
      </w:pPr>
      <w:r>
        <w:rPr>
          <w:rFonts w:ascii="Times New Roman" w:cs="Times New Roman" w:eastAsia="Times New Roman" w:hAnsi="Times New Roman"/>
          <w:sz w:val="13"/>
          <w:szCs w:val="13"/>
          <w:i w:val="1"/>
          <w:iCs w:val="1"/>
          <w:color w:val="auto"/>
        </w:rPr>
        <w:t xml:space="preserve">Others. </w:t>
      </w:r>
      <w:r>
        <w:rPr>
          <w:rFonts w:ascii="Times New Roman" w:cs="Times New Roman" w:eastAsia="Times New Roman" w:hAnsi="Times New Roman"/>
          <w:sz w:val="13"/>
          <w:szCs w:val="13"/>
          <w:color w:val="auto"/>
        </w:rPr>
        <w:t>We generate other revenues mainly from stand-alone sales of consumer drones and their components and spare parts. We recognize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revenues from others when the consumer drones are delivered and the control of the drones has been transferred to the customers. We started to phase out our consumer drone business in late 2016.</w:t>
      </w:r>
    </w:p>
    <w:p>
      <w:pPr>
        <w:spacing w:after="0" w:line="129" w:lineRule="exact"/>
        <w:rPr>
          <w:sz w:val="20"/>
          <w:szCs w:val="20"/>
          <w:color w:val="auto"/>
        </w:rPr>
      </w:pPr>
    </w:p>
    <w:p>
      <w:pPr>
        <w:ind w:left="1680" w:right="559" w:firstLine="317"/>
        <w:spacing w:after="0" w:line="259" w:lineRule="auto"/>
        <w:rPr>
          <w:sz w:val="20"/>
          <w:szCs w:val="20"/>
          <w:color w:val="auto"/>
        </w:rPr>
      </w:pPr>
      <w:r>
        <w:rPr>
          <w:rFonts w:ascii="Times New Roman" w:cs="Times New Roman" w:eastAsia="Times New Roman" w:hAnsi="Times New Roman"/>
          <w:sz w:val="13"/>
          <w:szCs w:val="13"/>
          <w:color w:val="auto"/>
        </w:rPr>
        <w:t>We expect that our revenues will increase after obtaining required certificates and approvals in China as we will continue to fulfill existing orders and pre-orders for passenger-grade AAVs, secure new orders for our air mobility solutions, provide air mobility operational services, offer smart city management and aerial media solutions and expand our commercial solutions and sales network. We expect that the increase in revenues generated from air mobility solutions will be the main increase in both domestic and international markets.</w:t>
      </w:r>
    </w:p>
    <w:p>
      <w:pPr>
        <w:spacing w:after="0" w:line="20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Costs of revenues</w:t>
      </w:r>
    </w:p>
    <w:p>
      <w:pPr>
        <w:spacing w:after="0" w:line="88" w:lineRule="exact"/>
        <w:rPr>
          <w:sz w:val="20"/>
          <w:szCs w:val="20"/>
          <w:color w:val="auto"/>
        </w:rPr>
      </w:pPr>
    </w:p>
    <w:p>
      <w:pPr>
        <w:ind w:left="1680" w:right="759" w:firstLine="317"/>
        <w:spacing w:after="0" w:line="278" w:lineRule="auto"/>
        <w:rPr>
          <w:sz w:val="20"/>
          <w:szCs w:val="20"/>
          <w:color w:val="auto"/>
        </w:rPr>
      </w:pPr>
      <w:r>
        <w:rPr>
          <w:rFonts w:ascii="Times New Roman" w:cs="Times New Roman" w:eastAsia="Times New Roman" w:hAnsi="Times New Roman"/>
          <w:sz w:val="13"/>
          <w:szCs w:val="13"/>
          <w:color w:val="auto"/>
        </w:rPr>
        <w:t>Costs of revenues consist primarily of aerial vehicles material and manufacturing costs, construction costs of smart city management solutions, depreciation, rental fees, payroll and related costs of operations.</w:t>
      </w:r>
    </w:p>
    <w:p>
      <w:pPr>
        <w:spacing w:after="0" w:line="121" w:lineRule="exact"/>
        <w:rPr>
          <w:sz w:val="20"/>
          <w:szCs w:val="20"/>
          <w:color w:val="auto"/>
        </w:rPr>
      </w:pPr>
    </w:p>
    <w:p>
      <w:pPr>
        <w:ind w:left="1680" w:right="819" w:firstLine="317"/>
        <w:spacing w:after="0" w:line="278" w:lineRule="auto"/>
        <w:rPr>
          <w:sz w:val="20"/>
          <w:szCs w:val="20"/>
          <w:color w:val="auto"/>
        </w:rPr>
      </w:pPr>
      <w:r>
        <w:rPr>
          <w:rFonts w:ascii="Times New Roman" w:cs="Times New Roman" w:eastAsia="Times New Roman" w:hAnsi="Times New Roman"/>
          <w:sz w:val="13"/>
          <w:szCs w:val="13"/>
          <w:color w:val="auto"/>
        </w:rPr>
        <w:t>We expect that our costs of revenues will increase in the foreseeable future as we increase our AAV sales volume and expand our commercial solutions business.</w:t>
      </w:r>
    </w:p>
    <w:p>
      <w:pPr>
        <w:spacing w:after="0" w:line="19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Operating expenses</w:t>
      </w:r>
    </w:p>
    <w:p>
      <w:pPr>
        <w:spacing w:after="0" w:line="88" w:lineRule="exact"/>
        <w:rPr>
          <w:sz w:val="20"/>
          <w:szCs w:val="20"/>
          <w:color w:val="auto"/>
        </w:rPr>
      </w:pPr>
    </w:p>
    <w:p>
      <w:pPr>
        <w:ind w:left="1680" w:right="899" w:firstLine="317"/>
        <w:spacing w:after="0" w:line="264" w:lineRule="auto"/>
        <w:rPr>
          <w:sz w:val="20"/>
          <w:szCs w:val="20"/>
          <w:color w:val="auto"/>
        </w:rPr>
      </w:pPr>
      <w:r>
        <w:rPr>
          <w:rFonts w:ascii="Times New Roman" w:cs="Times New Roman" w:eastAsia="Times New Roman" w:hAnsi="Times New Roman"/>
          <w:sz w:val="13"/>
          <w:szCs w:val="13"/>
          <w:color w:val="auto"/>
        </w:rPr>
        <w:t>Our total operating expenses consist of sales and marketing expenses, general and administrative expenses and research and development expenses. The following table sets forth the components of our total operating expenses by amounts and percentages of operating expenses for the periods presented:</w:t>
      </w:r>
    </w:p>
    <w:p>
      <w:pPr>
        <w:spacing w:after="0" w:line="145" w:lineRule="exact"/>
        <w:rPr>
          <w:sz w:val="20"/>
          <w:szCs w:val="20"/>
          <w:color w:val="auto"/>
        </w:rPr>
      </w:pPr>
    </w:p>
    <w:tbl>
      <w:tblPr>
        <w:tblLayout w:type="fixed"/>
        <w:tblInd w:w="1680" w:type="dxa"/>
        <w:tblCellMar>
          <w:top w:w="0" w:type="dxa"/>
          <w:left w:w="0" w:type="dxa"/>
          <w:bottom w:w="0" w:type="dxa"/>
          <w:right w:w="0" w:type="dxa"/>
        </w:tblCellMar>
      </w:tblPr>
      <w:tr>
        <w:trPr>
          <w:trHeight w:val="124"/>
        </w:trPr>
        <w:tc>
          <w:tcPr>
            <w:tcW w:w="440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0"/>
                <w:szCs w:val="10"/>
                <w:b w:val="1"/>
                <w:bCs w:val="1"/>
                <w:color w:val="auto"/>
              </w:rPr>
              <w:t>For the Year Ended December 31,</w:t>
            </w: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4400" w:type="dxa"/>
            <w:vAlign w:val="bottom"/>
          </w:tcPr>
          <w:p>
            <w:pPr>
              <w:spacing w:after="0"/>
              <w:rPr>
                <w:sz w:val="8"/>
                <w:szCs w:val="8"/>
                <w:color w:val="auto"/>
              </w:rPr>
            </w:pPr>
          </w:p>
        </w:tc>
        <w:tc>
          <w:tcPr>
            <w:tcW w:w="600" w:type="dxa"/>
            <w:vAlign w:val="bottom"/>
            <w:gridSpan w:val="2"/>
          </w:tcPr>
          <w:p>
            <w:pPr>
              <w:jc w:val="right"/>
              <w:ind w:right="40"/>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320" w:type="dxa"/>
            <w:vAlign w:val="bottom"/>
          </w:tcPr>
          <w:p>
            <w:pPr>
              <w:spacing w:after="0"/>
              <w:rPr>
                <w:sz w:val="8"/>
                <w:szCs w:val="8"/>
                <w:color w:val="auto"/>
              </w:rPr>
            </w:pPr>
          </w:p>
        </w:tc>
        <w:tc>
          <w:tcPr>
            <w:tcW w:w="700" w:type="dxa"/>
            <w:vAlign w:val="bottom"/>
            <w:gridSpan w:val="3"/>
          </w:tcPr>
          <w:p>
            <w:pPr>
              <w:jc w:val="right"/>
              <w:ind w:right="20"/>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jc w:val="right"/>
              <w:ind w:right="120"/>
              <w:spacing w:after="0" w:line="97" w:lineRule="exact"/>
              <w:rPr>
                <w:sz w:val="20"/>
                <w:szCs w:val="20"/>
                <w:color w:val="auto"/>
              </w:rPr>
            </w:pPr>
            <w:r>
              <w:rPr>
                <w:rFonts w:ascii="Times New Roman" w:cs="Times New Roman" w:eastAsia="Times New Roman" w:hAnsi="Times New Roman"/>
                <w:sz w:val="10"/>
                <w:szCs w:val="10"/>
                <w:b w:val="1"/>
                <w:bCs w:val="1"/>
                <w:color w:val="auto"/>
                <w:w w:val="99"/>
              </w:rPr>
              <w:t>2021</w:t>
            </w: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400" w:type="dxa"/>
            <w:vAlign w:val="bottom"/>
          </w:tcPr>
          <w:p>
            <w:pPr>
              <w:spacing w:after="0"/>
              <w:rPr>
                <w:sz w:val="8"/>
                <w:szCs w:val="8"/>
                <w:color w:val="auto"/>
              </w:rPr>
            </w:pPr>
          </w:p>
        </w:tc>
        <w:tc>
          <w:tcPr>
            <w:tcW w:w="480" w:type="dxa"/>
            <w:vAlign w:val="bottom"/>
            <w:tcBorders>
              <w:top w:val="single" w:sz="8" w:color="auto"/>
              <w:bottom w:val="single" w:sz="8" w:color="auto"/>
            </w:tcBorders>
          </w:tcPr>
          <w:p>
            <w:pPr>
              <w:jc w:val="right"/>
              <w:ind w:right="60"/>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120" w:type="dxa"/>
            <w:vAlign w:val="bottom"/>
            <w:tcBorders>
              <w:top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58"/>
              <w:spacing w:after="0" w:line="97"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85"/>
              </w:rPr>
              <w:t>(in</w:t>
            </w:r>
          </w:p>
        </w:tc>
        <w:tc>
          <w:tcPr>
            <w:tcW w:w="460" w:type="dxa"/>
            <w:vAlign w:val="bottom"/>
            <w:tcBorders>
              <w:top w:val="single" w:sz="8" w:color="auto"/>
              <w:bottom w:val="single" w:sz="8" w:color="auto"/>
            </w:tcBorders>
          </w:tcPr>
          <w:p>
            <w:pPr>
              <w:jc w:val="right"/>
              <w:ind w:right="64"/>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120" w:type="dxa"/>
            <w:vAlign w:val="bottom"/>
            <w:tcBorders>
              <w:top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jc w:val="right"/>
              <w:ind w:right="60"/>
              <w:spacing w:after="0" w:line="97" w:lineRule="exact"/>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8"/>
                <w:szCs w:val="8"/>
                <w:color w:val="auto"/>
              </w:rPr>
            </w:pPr>
          </w:p>
        </w:tc>
        <w:tc>
          <w:tcPr>
            <w:tcW w:w="480" w:type="dxa"/>
            <w:vAlign w:val="bottom"/>
            <w:tcBorders>
              <w:top w:val="single" w:sz="8" w:color="auto"/>
              <w:bottom w:val="single" w:sz="8" w:color="auto"/>
            </w:tcBorders>
          </w:tcPr>
          <w:p>
            <w:pPr>
              <w:jc w:val="right"/>
              <w:ind w:right="64"/>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120" w:type="dxa"/>
            <w:vAlign w:val="bottom"/>
            <w:tcBorders>
              <w:top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60"/>
              <w:spacing w:after="0" w:line="97" w:lineRule="exact"/>
              <w:rPr>
                <w:sz w:val="20"/>
                <w:szCs w:val="20"/>
                <w:color w:val="auto"/>
              </w:rPr>
            </w:pPr>
            <w:r>
              <w:rPr>
                <w:rFonts w:ascii="Times New Roman" w:cs="Times New Roman" w:eastAsia="Times New Roman" w:hAnsi="Times New Roman"/>
                <w:sz w:val="10"/>
                <w:szCs w:val="10"/>
                <w:b w:val="1"/>
                <w:bCs w:val="1"/>
                <w:color w:val="auto"/>
              </w:rPr>
              <w:t>US$</w:t>
            </w:r>
          </w:p>
        </w:tc>
        <w:tc>
          <w:tcPr>
            <w:tcW w:w="100" w:type="dxa"/>
            <w:vAlign w:val="bottom"/>
            <w:tcBorders>
              <w:top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jc w:val="right"/>
              <w:ind w:right="62"/>
              <w:spacing w:after="0" w:line="97" w:lineRule="exact"/>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46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w w:val="95"/>
              </w:rPr>
              <w:t>thousands,</w:t>
            </w:r>
          </w:p>
        </w:tc>
        <w:tc>
          <w:tcPr>
            <w:tcW w:w="120" w:type="dxa"/>
            <w:vAlign w:val="bottom"/>
          </w:tcPr>
          <w:p>
            <w:pPr>
              <w:spacing w:after="0"/>
              <w:rPr>
                <w:sz w:val="8"/>
                <w:szCs w:val="8"/>
                <w:color w:val="auto"/>
              </w:rPr>
            </w:pPr>
          </w:p>
        </w:tc>
        <w:tc>
          <w:tcPr>
            <w:tcW w:w="440" w:type="dxa"/>
            <w:vAlign w:val="bottom"/>
            <w:gridSpan w:val="2"/>
          </w:tcPr>
          <w:p>
            <w:pPr>
              <w:spacing w:after="0" w:line="97" w:lineRule="exact"/>
              <w:rPr>
                <w:sz w:val="20"/>
                <w:szCs w:val="20"/>
                <w:color w:val="auto"/>
              </w:rPr>
            </w:pPr>
            <w:r>
              <w:rPr>
                <w:rFonts w:ascii="Times New Roman" w:cs="Times New Roman" w:eastAsia="Times New Roman" w:hAnsi="Times New Roman"/>
                <w:sz w:val="10"/>
                <w:szCs w:val="10"/>
                <w:b w:val="1"/>
                <w:bCs w:val="1"/>
                <w:color w:val="auto"/>
                <w:w w:val="98"/>
              </w:rPr>
              <w:t>except for</w:t>
            </w:r>
          </w:p>
        </w:tc>
        <w:tc>
          <w:tcPr>
            <w:tcW w:w="48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w w:val="85"/>
              </w:rPr>
              <w:t>percentages)</w:t>
            </w: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Sales and marketing expenses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26,855</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37,186</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43,229</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6,784</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00" w:type="dxa"/>
            <w:vAlign w:val="bottom"/>
          </w:tcPr>
          <w:p>
            <w:pPr>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36,948</w:t>
            </w:r>
          </w:p>
        </w:tc>
        <w:tc>
          <w:tcPr>
            <w:tcW w:w="1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61,613</w:t>
            </w: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187,388</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29,405</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Research and development expenses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57,167</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105,252</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137,148</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21,522</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120,970</w:t>
            </w:r>
          </w:p>
        </w:tc>
        <w:tc>
          <w:tcPr>
            <w:tcW w:w="12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100.0</w:t>
            </w:r>
          </w:p>
        </w:tc>
        <w:tc>
          <w:tcPr>
            <w:tcW w:w="12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204,051</w:t>
            </w:r>
          </w:p>
        </w:tc>
        <w:tc>
          <w:tcPr>
            <w:tcW w:w="12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100.0</w:t>
            </w:r>
          </w:p>
        </w:tc>
        <w:tc>
          <w:tcPr>
            <w:tcW w:w="10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367,765</w:t>
            </w:r>
          </w:p>
        </w:tc>
        <w:tc>
          <w:tcPr>
            <w:tcW w:w="12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57,711</w:t>
            </w:r>
          </w:p>
        </w:tc>
        <w:tc>
          <w:tcPr>
            <w:tcW w:w="10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1680" w:right="799" w:firstLine="317"/>
        <w:spacing w:after="0" w:line="282" w:lineRule="auto"/>
        <w:rPr>
          <w:sz w:val="20"/>
          <w:szCs w:val="20"/>
          <w:color w:val="auto"/>
        </w:rPr>
      </w:pPr>
      <w:r>
        <w:rPr>
          <w:rFonts w:ascii="Times New Roman" w:cs="Times New Roman" w:eastAsia="Times New Roman" w:hAnsi="Times New Roman"/>
          <w:sz w:val="13"/>
          <w:szCs w:val="13"/>
          <w:i w:val="1"/>
          <w:iCs w:val="1"/>
          <w:color w:val="auto"/>
        </w:rPr>
        <w:t>Sales and marketing expenses</w:t>
      </w:r>
      <w:r>
        <w:rPr>
          <w:rFonts w:ascii="Times New Roman" w:cs="Times New Roman" w:eastAsia="Times New Roman" w:hAnsi="Times New Roman"/>
          <w:sz w:val="13"/>
          <w:szCs w:val="13"/>
          <w:color w:val="auto"/>
        </w:rPr>
        <w:t>. Our sales and marketing expenses primarily consist of advertising and promotion expenses, payroll and related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expenses for personnel in sales and marketing.</w:t>
      </w:r>
    </w:p>
    <w:p>
      <w:pPr>
        <w:spacing w:after="0" w:line="116" w:lineRule="exact"/>
        <w:rPr>
          <w:sz w:val="20"/>
          <w:szCs w:val="20"/>
          <w:color w:val="auto"/>
        </w:rPr>
      </w:pPr>
    </w:p>
    <w:p>
      <w:pPr>
        <w:ind w:left="1680" w:right="759" w:firstLine="317"/>
        <w:spacing w:after="0" w:line="298" w:lineRule="auto"/>
        <w:rPr>
          <w:sz w:val="20"/>
          <w:szCs w:val="20"/>
          <w:color w:val="auto"/>
        </w:rPr>
      </w:pPr>
      <w:r>
        <w:rPr>
          <w:rFonts w:ascii="Times New Roman" w:cs="Times New Roman" w:eastAsia="Times New Roman" w:hAnsi="Times New Roman"/>
          <w:sz w:val="12"/>
          <w:szCs w:val="12"/>
          <w:i w:val="1"/>
          <w:iCs w:val="1"/>
          <w:color w:val="auto"/>
        </w:rPr>
        <w:t xml:space="preserve">General and administrative expenses. </w:t>
      </w:r>
      <w:r>
        <w:rPr>
          <w:rFonts w:ascii="Times New Roman" w:cs="Times New Roman" w:eastAsia="Times New Roman" w:hAnsi="Times New Roman"/>
          <w:sz w:val="12"/>
          <w:szCs w:val="12"/>
          <w:color w:val="auto"/>
        </w:rPr>
        <w:t>Our general and administrative expenses mainly consist of payroll and related costs for employees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general corporate functions, professional fees, allowance for doubtful account expenses, impairment of long-lived assets, and other general corporate expenses, as well as expenses associated with the use by these functions of facilities and equipment, such as depreciation and rental expenses.</w:t>
      </w:r>
    </w:p>
    <w:p>
      <w:pPr>
        <w:spacing w:after="0" w:line="108" w:lineRule="exact"/>
        <w:rPr>
          <w:sz w:val="20"/>
          <w:szCs w:val="20"/>
          <w:color w:val="auto"/>
        </w:rPr>
      </w:pPr>
    </w:p>
    <w:p>
      <w:pPr>
        <w:ind w:left="1680" w:right="599" w:firstLine="317"/>
        <w:spacing w:after="0" w:line="265" w:lineRule="auto"/>
        <w:rPr>
          <w:sz w:val="20"/>
          <w:szCs w:val="20"/>
          <w:color w:val="auto"/>
        </w:rPr>
      </w:pPr>
      <w:r>
        <w:rPr>
          <w:rFonts w:ascii="Times New Roman" w:cs="Times New Roman" w:eastAsia="Times New Roman" w:hAnsi="Times New Roman"/>
          <w:sz w:val="13"/>
          <w:szCs w:val="13"/>
          <w:i w:val="1"/>
          <w:iCs w:val="1"/>
          <w:color w:val="auto"/>
        </w:rPr>
        <w:t xml:space="preserve">Research and development expenses. </w:t>
      </w:r>
      <w:r>
        <w:rPr>
          <w:rFonts w:ascii="Times New Roman" w:cs="Times New Roman" w:eastAsia="Times New Roman" w:hAnsi="Times New Roman"/>
          <w:sz w:val="13"/>
          <w:szCs w:val="13"/>
          <w:color w:val="auto"/>
        </w:rPr>
        <w:t>Our research and development expenses mainly consist of payroll and benefits for our research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development personnel, as well as expenses associated with our research and development activities. Research and development expenses constitute the largest component of our total operating expenses.</w:t>
      </w:r>
    </w:p>
    <w:p>
      <w:pPr>
        <w:spacing w:after="0" w:line="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113</w:t>
      </w:r>
    </w:p>
    <w:p>
      <w:pPr>
        <w:sectPr>
          <w:pgSz w:w="11900" w:h="16838" w:orient="portrait"/>
          <w:cols w:equalWidth="0" w:num="1">
            <w:col w:w="10159"/>
          </w:cols>
          <w:pgMar w:left="300" w:top="388" w:right="1440"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Other operating income</w:t>
      </w:r>
    </w:p>
    <w:p>
      <w:pPr>
        <w:spacing w:after="0" w:line="88" w:lineRule="exact"/>
        <w:rPr>
          <w:sz w:val="20"/>
          <w:szCs w:val="20"/>
          <w:color w:val="auto"/>
        </w:rPr>
      </w:pPr>
    </w:p>
    <w:p>
      <w:pPr>
        <w:ind w:left="1680" w:right="659" w:firstLine="317"/>
        <w:spacing w:after="0" w:line="278" w:lineRule="auto"/>
        <w:rPr>
          <w:sz w:val="20"/>
          <w:szCs w:val="20"/>
          <w:color w:val="auto"/>
        </w:rPr>
      </w:pPr>
      <w:r>
        <w:rPr>
          <w:rFonts w:ascii="Times New Roman" w:cs="Times New Roman" w:eastAsia="Times New Roman" w:hAnsi="Times New Roman"/>
          <w:sz w:val="13"/>
          <w:szCs w:val="13"/>
          <w:color w:val="auto"/>
        </w:rPr>
        <w:t>Other operating income mainly consists of financial subsidies that we received from provincial and local governments for operating our business in their jurisdictions in compliance with certain promoted policies.</w:t>
      </w:r>
    </w:p>
    <w:p>
      <w:pPr>
        <w:spacing w:after="0" w:line="19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Taxation</w:t>
      </w:r>
    </w:p>
    <w:p>
      <w:pPr>
        <w:spacing w:after="0" w:line="8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Cayman Islands</w:t>
      </w:r>
    </w:p>
    <w:p>
      <w:pPr>
        <w:spacing w:after="0" w:line="88" w:lineRule="exact"/>
        <w:rPr>
          <w:sz w:val="20"/>
          <w:szCs w:val="20"/>
          <w:color w:val="auto"/>
        </w:rPr>
      </w:pPr>
    </w:p>
    <w:p>
      <w:pPr>
        <w:ind w:left="1680" w:right="559" w:firstLine="317"/>
        <w:spacing w:after="0" w:line="257" w:lineRule="auto"/>
        <w:rPr>
          <w:sz w:val="20"/>
          <w:szCs w:val="20"/>
          <w:color w:val="auto"/>
        </w:rPr>
      </w:pPr>
      <w:r>
        <w:rPr>
          <w:rFonts w:ascii="Times New Roman" w:cs="Times New Roman" w:eastAsia="Times New Roman" w:hAnsi="Times New Roman"/>
          <w:sz w:val="13"/>
          <w:szCs w:val="13"/>
          <w:color w:val="auto"/>
        </w:rPr>
        <w:t>We are an exempted company incorporated in the Cayman Islands. 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In addition, the Cayman Islands does not impose withholding tax on dividend payments.</w:t>
      </w:r>
    </w:p>
    <w:p>
      <w:pPr>
        <w:spacing w:after="0" w:line="20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Hong Kong</w:t>
      </w:r>
    </w:p>
    <w:p>
      <w:pPr>
        <w:spacing w:after="0" w:line="88" w:lineRule="exact"/>
        <w:rPr>
          <w:sz w:val="20"/>
          <w:szCs w:val="20"/>
          <w:color w:val="auto"/>
        </w:rPr>
      </w:pPr>
    </w:p>
    <w:p>
      <w:pPr>
        <w:ind w:left="1680" w:right="559" w:firstLine="317"/>
        <w:spacing w:after="0" w:line="254" w:lineRule="auto"/>
        <w:rPr>
          <w:sz w:val="20"/>
          <w:szCs w:val="20"/>
          <w:color w:val="auto"/>
        </w:rPr>
      </w:pPr>
      <w:r>
        <w:rPr>
          <w:rFonts w:ascii="Times New Roman" w:cs="Times New Roman" w:eastAsia="Times New Roman" w:hAnsi="Times New Roman"/>
          <w:sz w:val="13"/>
          <w:szCs w:val="13"/>
          <w:color w:val="auto"/>
        </w:rPr>
        <w:t>Our wholly-owned subsidiary, Ehfly Technology Limited, or Ehfly Technology, incorporated in Hong Kong, is subject to Hong Kong profit tax on its profits arising from its business operations carried on in Hong Kong. Hong Kong profits tax for a corporation from the year of assessment 2018/2019 onwards is generally 8.25% on assessable profits up to HK$2.0 million; and 16.5% on any part of assessable profits over HK$2.0 million. Under the Hong Kong Inland Revenue Ordinance, profits that we derive from sources outside of Hong Kong are not generally chargeable to Hong Kong profits tax. As such, Ehfly Technology is exempted from the Hong Kong income tax on its foreign-derived income. In addition, payments of dividends from Ehfly Technology to our company are not subject to any withholding tax in Hong Kong. No provision for Hong Kong profits tax was made as we had no estimated assessable profit that was subject to Hong Kong profits tax during 2021.</w:t>
      </w:r>
    </w:p>
    <w:p>
      <w:pPr>
        <w:spacing w:after="0" w:line="21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PRC</w:t>
      </w:r>
    </w:p>
    <w:p>
      <w:pPr>
        <w:spacing w:after="0" w:line="88" w:lineRule="exact"/>
        <w:rPr>
          <w:sz w:val="20"/>
          <w:szCs w:val="20"/>
          <w:color w:val="auto"/>
        </w:rPr>
      </w:pPr>
    </w:p>
    <w:p>
      <w:pPr>
        <w:ind w:left="1680" w:right="559" w:firstLine="317"/>
        <w:spacing w:after="0" w:line="259" w:lineRule="auto"/>
        <w:rPr>
          <w:sz w:val="20"/>
          <w:szCs w:val="20"/>
          <w:color w:val="auto"/>
        </w:rPr>
      </w:pPr>
      <w:r>
        <w:rPr>
          <w:rFonts w:ascii="Times New Roman" w:cs="Times New Roman" w:eastAsia="Times New Roman" w:hAnsi="Times New Roman"/>
          <w:sz w:val="13"/>
          <w:szCs w:val="13"/>
          <w:color w:val="auto"/>
        </w:rPr>
        <w:t>Under the Enterprise Income Tax Law, or the EIT Law, our PRC subsidiaries, the VIE and its subsidiaries are subject to a statutory income tax rate of 25%. EHang Intelligent, EHang GZ and EHang Egret have each been qualified as a high and new technology enterprise, or HNTE, since December 2017, November 2016 and November 2018, respectively, and are eligible for a 15% preferential tax rate, which will expire in December 2023, December 2022 and has expired in November 2021, respectively.</w:t>
      </w:r>
    </w:p>
    <w:p>
      <w:pPr>
        <w:spacing w:after="0" w:line="133" w:lineRule="exact"/>
        <w:rPr>
          <w:sz w:val="20"/>
          <w:szCs w:val="20"/>
          <w:color w:val="auto"/>
        </w:rPr>
      </w:pPr>
    </w:p>
    <w:p>
      <w:pPr>
        <w:ind w:left="1680" w:right="539" w:firstLine="317"/>
        <w:spacing w:after="0" w:line="252" w:lineRule="auto"/>
        <w:rPr>
          <w:sz w:val="20"/>
          <w:szCs w:val="20"/>
          <w:color w:val="auto"/>
        </w:rPr>
      </w:pPr>
      <w:r>
        <w:rPr>
          <w:rFonts w:ascii="Times New Roman" w:cs="Times New Roman" w:eastAsia="Times New Roman" w:hAnsi="Times New Roman"/>
          <w:sz w:val="13"/>
          <w:szCs w:val="13"/>
          <w:color w:val="auto"/>
        </w:rPr>
        <w:t>The EIT law also imposes a withholding income tax of 10% on dividends distributed by a foreign invested enterprise, or FIE, to its immediate holding company outside China, if such immediate holding company is considered as a non-resident enterprise without any establishment or place within China or if the received dividends have no connection with the establishment or place of such immediate holding company within China, unless such immediate holding company’s jurisdiction of incorporation has a tax treaty with China that provides for a different withholding arrangement. According to the Arrangement Between Mainland China and Hong Kong Special Administrative Region on the Avoidance of Double Taxation and Prevention of Fiscal Evasion in August 2006, dividends paid by an FIE in China to its immediate holding company in Hong Kong will be subject to withholding tax at a rate of no more than 5%, if the immediate holding company owns at least 25% of the equity interest of the FIE and satisfies all other requirements under the tax arrangement and receives approval from the relevant tax authority. We did not record any dividend withholding tax, as our PRC entities have no retained earnings in the periods presented. See “Item 3. Key Information—D. Risk Factors—Risks Relating to Doing Business in China—We may not be able to obtain certain benefits under relevant tax treaty on dividends paid by our PRC subsidiaries to us through our Hong Kong subsidiary.”</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114</w:t>
      </w:r>
    </w:p>
    <w:p>
      <w:pPr>
        <w:sectPr>
          <w:pgSz w:w="11900" w:h="16838" w:orient="portrait"/>
          <w:cols w:equalWidth="0" w:num="1">
            <w:col w:w="10159"/>
          </w:cols>
          <w:pgMar w:left="300" w:top="388" w:right="1440"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559" w:firstLine="317"/>
        <w:spacing w:after="0" w:line="253" w:lineRule="auto"/>
        <w:rPr>
          <w:sz w:val="20"/>
          <w:szCs w:val="20"/>
          <w:color w:val="auto"/>
        </w:rPr>
      </w:pPr>
      <w:r>
        <w:rPr>
          <w:rFonts w:ascii="Times New Roman" w:cs="Times New Roman" w:eastAsia="Times New Roman" w:hAnsi="Times New Roman"/>
          <w:sz w:val="13"/>
          <w:szCs w:val="13"/>
          <w:color w:val="auto"/>
        </w:rPr>
        <w:t>The EIT Law also provides that an enterprise established under the laws of a foreign country or region but whose “de facto management body” is located in the PRC be treated as a resident enterprise for PRC tax purposes and consequently be subject to the PRC income tax at the rate of 25% for its global income. The implementing rules of the EIT Law define the location of the “de facto management body” as “the place where the exercising, in substance, of the overall management and control of the production and business operation, personnel, accounting, property, etc., of a non-PRC company is located.” Based on a review of surrounding facts and circumstances, we do not believe that it is likely that our operations outside the PRC should be considered a resident enterprise for PRC tax purposes. If our holding company in the Cayman Islands or any of our subsidiaries outside China were deemed to be a “resident enterprise” under the EIT Law, it would be subject to enterprise income tax on its worldwide income at a rate of 25%. See “Item 3. Key Information—D. Risk Factors—Risks Relating to Doing Business in China—If we are classified as a PRC resident enterprise for PRC income tax purposes, such classification could result in unfavorable tax consequences to us and our non-PRC shareholders or ADS holders.”</w:t>
      </w:r>
    </w:p>
    <w:p>
      <w:pPr>
        <w:spacing w:after="0" w:line="138" w:lineRule="exact"/>
        <w:rPr>
          <w:sz w:val="20"/>
          <w:szCs w:val="20"/>
          <w:color w:val="auto"/>
        </w:rPr>
      </w:pPr>
    </w:p>
    <w:p>
      <w:pPr>
        <w:ind w:left="1680" w:right="579" w:firstLine="317"/>
        <w:spacing w:after="0" w:line="255" w:lineRule="auto"/>
        <w:rPr>
          <w:sz w:val="20"/>
          <w:szCs w:val="20"/>
          <w:color w:val="auto"/>
        </w:rPr>
      </w:pPr>
      <w:r>
        <w:rPr>
          <w:rFonts w:ascii="Times New Roman" w:cs="Times New Roman" w:eastAsia="Times New Roman" w:hAnsi="Times New Roman"/>
          <w:sz w:val="13"/>
          <w:szCs w:val="13"/>
          <w:color w:val="auto"/>
        </w:rPr>
        <w:t>Under the EIT Law, research and development expenses that have not formed intangible assets are included in the profit and loss account for the current year. Besides deducting the actual amount of research and development expenses incurred, according to the Notice on Raising the Ratio of Deduction of Research and Development Expenses, effective on September 20, 2018, a qualifying enterprise is allowed an additional deduction of the amount in calculating its taxable income for the relevant year, including a 75% deduction for the years ended December 31, 2019 and 2020, as well as a 100% deduction for the year ended December 31, 2021. For research and development expenses that have formed intangible assets, the tax amortization is based on 175% or 200% of the costs of the intangible assets in the relevant year.</w:t>
      </w:r>
    </w:p>
    <w:p>
      <w:pPr>
        <w:spacing w:after="0" w:line="136" w:lineRule="exact"/>
        <w:rPr>
          <w:sz w:val="20"/>
          <w:szCs w:val="20"/>
          <w:color w:val="auto"/>
        </w:rPr>
      </w:pPr>
    </w:p>
    <w:p>
      <w:pPr>
        <w:ind w:left="1680" w:right="579" w:firstLine="317"/>
        <w:spacing w:after="0" w:line="259" w:lineRule="auto"/>
        <w:rPr>
          <w:sz w:val="20"/>
          <w:szCs w:val="20"/>
          <w:color w:val="auto"/>
        </w:rPr>
      </w:pPr>
      <w:r>
        <w:rPr>
          <w:rFonts w:ascii="Times New Roman" w:cs="Times New Roman" w:eastAsia="Times New Roman" w:hAnsi="Times New Roman"/>
          <w:sz w:val="13"/>
          <w:szCs w:val="13"/>
          <w:color w:val="auto"/>
        </w:rPr>
        <w:t>Dividends, interests, rent or royalties payable by our PRC subsidiaries, to non-PRC resident enterprises, and proceeds from any such non-resident enterprise investor’s disposition of assets (after deducting the net value of such assets) shall be subject to 10% withholding tax, unless the respective non-PRC resident enterprise’s jurisdiction of incorporation has a tax treaty or arrangements with PRC that provides for a reduced withholding tax rate or an exemption from withholding tax.</w:t>
      </w:r>
    </w:p>
    <w:p>
      <w:pPr>
        <w:spacing w:after="0" w:line="20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Results of Operations</w:t>
      </w:r>
    </w:p>
    <w:p>
      <w:pPr>
        <w:spacing w:after="0" w:line="86" w:lineRule="exact"/>
        <w:rPr>
          <w:sz w:val="20"/>
          <w:szCs w:val="20"/>
          <w:color w:val="auto"/>
        </w:rPr>
      </w:pPr>
    </w:p>
    <w:p>
      <w:pPr>
        <w:ind w:left="1680" w:right="799" w:firstLine="317"/>
        <w:spacing w:after="0" w:line="259" w:lineRule="auto"/>
        <w:rPr>
          <w:sz w:val="20"/>
          <w:szCs w:val="20"/>
          <w:color w:val="auto"/>
        </w:rPr>
      </w:pPr>
      <w:r>
        <w:rPr>
          <w:rFonts w:ascii="Times New Roman" w:cs="Times New Roman" w:eastAsia="Times New Roman" w:hAnsi="Times New Roman"/>
          <w:sz w:val="13"/>
          <w:szCs w:val="13"/>
          <w:color w:val="auto"/>
        </w:rPr>
        <w:t>The following table sets forth a summary of our consolidated results of operations for the periods presented, both in absolute amounts and as percentages of our total revenues, for the periods presented. This information should be read together with our consolidated financial statements and related notes included elsewhere in this annual report. The results of operations in any particular period are not necessarily indicative of our future trends.</w:t>
      </w:r>
    </w:p>
    <w:p>
      <w:pPr>
        <w:spacing w:after="0" w:line="148" w:lineRule="exact"/>
        <w:rPr>
          <w:sz w:val="20"/>
          <w:szCs w:val="20"/>
          <w:color w:val="auto"/>
        </w:rPr>
      </w:pPr>
    </w:p>
    <w:tbl>
      <w:tblPr>
        <w:tblLayout w:type="fixed"/>
        <w:tblInd w:w="1680" w:type="dxa"/>
        <w:tblCellMar>
          <w:top w:w="0" w:type="dxa"/>
          <w:left w:w="0" w:type="dxa"/>
          <w:bottom w:w="0" w:type="dxa"/>
          <w:right w:w="0" w:type="dxa"/>
        </w:tblCellMar>
      </w:tblPr>
      <w:tr>
        <w:trPr>
          <w:trHeight w:val="124"/>
        </w:trPr>
        <w:tc>
          <w:tcPr>
            <w:tcW w:w="3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gridSpan w:val="6"/>
          </w:tcPr>
          <w:p>
            <w:pPr>
              <w:jc w:val="right"/>
              <w:ind w:right="222"/>
              <w:spacing w:after="0"/>
              <w:rPr>
                <w:sz w:val="20"/>
                <w:szCs w:val="20"/>
                <w:color w:val="auto"/>
              </w:rPr>
            </w:pPr>
            <w:r>
              <w:rPr>
                <w:rFonts w:ascii="Times New Roman" w:cs="Times New Roman" w:eastAsia="Times New Roman" w:hAnsi="Times New Roman"/>
                <w:sz w:val="10"/>
                <w:szCs w:val="10"/>
                <w:b w:val="1"/>
                <w:bCs w:val="1"/>
                <w:color w:val="auto"/>
              </w:rPr>
              <w:t>For the Year Ended December 31,</w:t>
            </w:r>
          </w:p>
        </w:tc>
        <w:tc>
          <w:tcPr>
            <w:tcW w:w="4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7"/>
        </w:trPr>
        <w:tc>
          <w:tcPr>
            <w:tcW w:w="30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60" w:type="dxa"/>
            <w:vAlign w:val="bottom"/>
            <w:tcBorders>
              <w:bottom w:val="single" w:sz="8" w:color="auto"/>
            </w:tcBorders>
            <w:gridSpan w:val="2"/>
          </w:tcPr>
          <w:p>
            <w:pPr>
              <w:jc w:val="right"/>
              <w:ind w:right="22"/>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3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Borders>
              <w:bottom w:val="single" w:sz="8" w:color="auto"/>
            </w:tcBorders>
            <w:gridSpan w:val="2"/>
          </w:tcPr>
          <w:p>
            <w:pPr>
              <w:jc w:val="right"/>
              <w:ind w:right="22"/>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3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117"/>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1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97"/>
        </w:trPr>
        <w:tc>
          <w:tcPr>
            <w:tcW w:w="30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Borders>
              <w:bottom w:val="single" w:sz="8" w:color="auto"/>
            </w:tcBorders>
          </w:tcPr>
          <w:p>
            <w:pPr>
              <w:jc w:val="right"/>
              <w:ind w:right="58"/>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160" w:type="dxa"/>
            <w:vAlign w:val="bottom"/>
          </w:tcPr>
          <w:p>
            <w:pPr>
              <w:spacing w:after="0"/>
              <w:rPr>
                <w:sz w:val="8"/>
                <w:szCs w:val="8"/>
                <w:color w:val="auto"/>
              </w:rPr>
            </w:pPr>
          </w:p>
        </w:tc>
        <w:tc>
          <w:tcPr>
            <w:tcW w:w="340" w:type="dxa"/>
            <w:vAlign w:val="bottom"/>
            <w:tcBorders>
              <w:bottom w:val="single" w:sz="8" w:color="auto"/>
            </w:tcBorders>
          </w:tcPr>
          <w:p>
            <w:pPr>
              <w:jc w:val="right"/>
              <w:ind w:right="56"/>
              <w:spacing w:after="0" w:line="97" w:lineRule="exact"/>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8"/>
                <w:szCs w:val="8"/>
                <w:color w:val="auto"/>
              </w:rPr>
            </w:pPr>
          </w:p>
        </w:tc>
        <w:tc>
          <w:tcPr>
            <w:tcW w:w="520" w:type="dxa"/>
            <w:vAlign w:val="bottom"/>
            <w:tcBorders>
              <w:bottom w:val="single" w:sz="8" w:color="auto"/>
            </w:tcBorders>
          </w:tcPr>
          <w:p>
            <w:pPr>
              <w:jc w:val="right"/>
              <w:ind w:right="78"/>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160" w:type="dxa"/>
            <w:vAlign w:val="bottom"/>
          </w:tcPr>
          <w:p>
            <w:pPr>
              <w:spacing w:after="0"/>
              <w:rPr>
                <w:sz w:val="8"/>
                <w:szCs w:val="8"/>
                <w:color w:val="auto"/>
              </w:rPr>
            </w:pPr>
          </w:p>
        </w:tc>
        <w:tc>
          <w:tcPr>
            <w:tcW w:w="360" w:type="dxa"/>
            <w:vAlign w:val="bottom"/>
            <w:tcBorders>
              <w:bottom w:val="single" w:sz="8" w:color="auto"/>
            </w:tcBorders>
          </w:tcPr>
          <w:p>
            <w:pPr>
              <w:jc w:val="right"/>
              <w:ind w:right="77"/>
              <w:spacing w:after="0" w:line="97" w:lineRule="exact"/>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Pr>
          <w:p>
            <w:pPr>
              <w:spacing w:after="0"/>
              <w:rPr>
                <w:sz w:val="8"/>
                <w:szCs w:val="8"/>
                <w:color w:val="auto"/>
              </w:rPr>
            </w:pPr>
          </w:p>
        </w:tc>
        <w:tc>
          <w:tcPr>
            <w:tcW w:w="500" w:type="dxa"/>
            <w:vAlign w:val="bottom"/>
            <w:tcBorders>
              <w:bottom w:val="single" w:sz="8" w:color="auto"/>
            </w:tcBorders>
          </w:tcPr>
          <w:p>
            <w:pPr>
              <w:jc w:val="right"/>
              <w:ind w:right="77"/>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160" w:type="dxa"/>
            <w:vAlign w:val="bottom"/>
          </w:tcPr>
          <w:p>
            <w:pPr>
              <w:spacing w:after="0"/>
              <w:rPr>
                <w:sz w:val="8"/>
                <w:szCs w:val="8"/>
                <w:color w:val="auto"/>
              </w:rPr>
            </w:pPr>
          </w:p>
        </w:tc>
        <w:tc>
          <w:tcPr>
            <w:tcW w:w="440" w:type="dxa"/>
            <w:vAlign w:val="bottom"/>
            <w:tcBorders>
              <w:bottom w:val="single" w:sz="8" w:color="auto"/>
            </w:tcBorders>
          </w:tcPr>
          <w:p>
            <w:pPr>
              <w:jc w:val="right"/>
              <w:ind w:right="77"/>
              <w:spacing w:after="0" w:line="97" w:lineRule="exact"/>
              <w:rPr>
                <w:sz w:val="20"/>
                <w:szCs w:val="20"/>
                <w:color w:val="auto"/>
              </w:rPr>
            </w:pPr>
            <w:r>
              <w:rPr>
                <w:rFonts w:ascii="Times New Roman" w:cs="Times New Roman" w:eastAsia="Times New Roman" w:hAnsi="Times New Roman"/>
                <w:sz w:val="10"/>
                <w:szCs w:val="10"/>
                <w:b w:val="1"/>
                <w:bCs w:val="1"/>
                <w:color w:val="auto"/>
              </w:rPr>
              <w:t>US$</w:t>
            </w:r>
          </w:p>
        </w:tc>
        <w:tc>
          <w:tcPr>
            <w:tcW w:w="160" w:type="dxa"/>
            <w:vAlign w:val="bottom"/>
          </w:tcPr>
          <w:p>
            <w:pPr>
              <w:spacing w:after="0"/>
              <w:rPr>
                <w:sz w:val="8"/>
                <w:szCs w:val="8"/>
                <w:color w:val="auto"/>
              </w:rPr>
            </w:pPr>
          </w:p>
        </w:tc>
        <w:tc>
          <w:tcPr>
            <w:tcW w:w="380" w:type="dxa"/>
            <w:vAlign w:val="bottom"/>
            <w:tcBorders>
              <w:bottom w:val="single" w:sz="8" w:color="auto"/>
            </w:tcBorders>
          </w:tcPr>
          <w:p>
            <w:pPr>
              <w:jc w:val="right"/>
              <w:ind w:right="76"/>
              <w:spacing w:after="0" w:line="97" w:lineRule="exact"/>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8"/>
                <w:szCs w:val="8"/>
                <w:color w:val="auto"/>
              </w:rPr>
            </w:pPr>
          </w:p>
        </w:tc>
      </w:tr>
      <w:tr>
        <w:trPr>
          <w:trHeight w:val="97"/>
        </w:trPr>
        <w:tc>
          <w:tcPr>
            <w:tcW w:w="30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w w:val="83"/>
              </w:rPr>
              <w:t>(in thousands,</w:t>
            </w:r>
          </w:p>
        </w:tc>
        <w:tc>
          <w:tcPr>
            <w:tcW w:w="160" w:type="dxa"/>
            <w:vAlign w:val="bottom"/>
          </w:tcPr>
          <w:p>
            <w:pPr>
              <w:spacing w:after="0"/>
              <w:rPr>
                <w:sz w:val="8"/>
                <w:szCs w:val="8"/>
                <w:color w:val="auto"/>
              </w:rPr>
            </w:pPr>
          </w:p>
        </w:tc>
        <w:tc>
          <w:tcPr>
            <w:tcW w:w="520" w:type="dxa"/>
            <w:vAlign w:val="bottom"/>
            <w:gridSpan w:val="2"/>
          </w:tcPr>
          <w:p>
            <w:pPr>
              <w:jc w:val="right"/>
              <w:ind w:right="100"/>
              <w:spacing w:after="0" w:line="97" w:lineRule="exact"/>
              <w:rPr>
                <w:sz w:val="20"/>
                <w:szCs w:val="20"/>
                <w:color w:val="auto"/>
              </w:rPr>
            </w:pPr>
            <w:r>
              <w:rPr>
                <w:rFonts w:ascii="Times New Roman" w:cs="Times New Roman" w:eastAsia="Times New Roman" w:hAnsi="Times New Roman"/>
                <w:sz w:val="10"/>
                <w:szCs w:val="10"/>
                <w:b w:val="1"/>
                <w:bCs w:val="1"/>
                <w:color w:val="auto"/>
                <w:w w:val="94"/>
              </w:rPr>
              <w:t>except for</w:t>
            </w:r>
          </w:p>
        </w:tc>
        <w:tc>
          <w:tcPr>
            <w:tcW w:w="50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w w:val="85"/>
              </w:rPr>
              <w:t>percentages)</w:t>
            </w: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5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revenues</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121,814</w:t>
            </w:r>
          </w:p>
        </w:tc>
        <w:tc>
          <w:tcPr>
            <w:tcW w:w="16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100.0</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180,093</w:t>
            </w: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100.0</w:t>
            </w: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56,807</w:t>
            </w: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8,914</w:t>
            </w: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100.0</w:t>
            </w:r>
          </w:p>
        </w:tc>
        <w:tc>
          <w:tcPr>
            <w:tcW w:w="80" w:type="dxa"/>
            <w:vAlign w:val="bottom"/>
            <w:shd w:val="clear" w:color="auto" w:fill="CCEEFF"/>
          </w:tcPr>
          <w:p>
            <w:pPr>
              <w:spacing w:after="0"/>
              <w:rPr>
                <w:sz w:val="13"/>
                <w:szCs w:val="13"/>
                <w:color w:val="auto"/>
              </w:rPr>
            </w:pPr>
          </w:p>
        </w:tc>
      </w:tr>
      <w:tr>
        <w:trPr>
          <w:trHeight w:val="156"/>
        </w:trPr>
        <w:tc>
          <w:tcPr>
            <w:tcW w:w="3060" w:type="dxa"/>
            <w:vAlign w:val="bottom"/>
          </w:tcPr>
          <w:p>
            <w:pPr>
              <w:spacing w:after="0" w:line="156" w:lineRule="exact"/>
              <w:rPr>
                <w:sz w:val="20"/>
                <w:szCs w:val="20"/>
                <w:color w:val="auto"/>
              </w:rPr>
            </w:pPr>
            <w:r>
              <w:rPr>
                <w:rFonts w:ascii="Times New Roman" w:cs="Times New Roman" w:eastAsia="Times New Roman" w:hAnsi="Times New Roman"/>
                <w:sz w:val="13"/>
                <w:szCs w:val="13"/>
                <w:b w:val="1"/>
                <w:bCs w:val="1"/>
                <w:color w:val="auto"/>
              </w:rPr>
              <w:t>Costs of revenues</w:t>
            </w:r>
            <w:r>
              <w:rPr>
                <w:rFonts w:ascii="Times New Roman" w:cs="Times New Roman" w:eastAsia="Times New Roman" w:hAnsi="Times New Roman"/>
                <w:sz w:val="18"/>
                <w:szCs w:val="18"/>
                <w:b w:val="1"/>
                <w:bCs w:val="1"/>
                <w:color w:val="auto"/>
                <w:vertAlign w:val="superscript"/>
              </w:rPr>
              <w:t>(1)</w:t>
            </w:r>
          </w:p>
        </w:tc>
        <w:tc>
          <w:tcPr>
            <w:tcW w:w="820" w:type="dxa"/>
            <w:vAlign w:val="bottom"/>
          </w:tcPr>
          <w:p>
            <w:pPr>
              <w:spacing w:after="0"/>
              <w:rPr>
                <w:sz w:val="13"/>
                <w:szCs w:val="13"/>
                <w:color w:val="auto"/>
              </w:rPr>
            </w:pPr>
          </w:p>
        </w:tc>
        <w:tc>
          <w:tcPr>
            <w:tcW w:w="66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(50,596)</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(41.5)</w:t>
            </w:r>
          </w:p>
        </w:tc>
        <w:tc>
          <w:tcPr>
            <w:tcW w:w="68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(73,914)</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(41.0)</w:t>
            </w:r>
          </w:p>
        </w:tc>
        <w:tc>
          <w:tcPr>
            <w:tcW w:w="66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(20,777)</w:t>
            </w:r>
          </w:p>
        </w:tc>
        <w:tc>
          <w:tcPr>
            <w:tcW w:w="60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(3,260)</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(36.6)</w:t>
            </w:r>
          </w:p>
        </w:tc>
      </w:tr>
      <w:tr>
        <w:trPr>
          <w:trHeight w:val="155"/>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820" w:type="dxa"/>
            <w:vAlign w:val="bottom"/>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71,218</w:t>
            </w:r>
          </w:p>
        </w:tc>
        <w:tc>
          <w:tcPr>
            <w:tcW w:w="160" w:type="dxa"/>
            <w:vAlign w:val="bottom"/>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58.5</w:t>
            </w:r>
          </w:p>
        </w:tc>
        <w:tc>
          <w:tcPr>
            <w:tcW w:w="140" w:type="dxa"/>
            <w:vAlign w:val="bottom"/>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106,179</w:t>
            </w:r>
          </w:p>
        </w:tc>
        <w:tc>
          <w:tcPr>
            <w:tcW w:w="160" w:type="dxa"/>
            <w:vAlign w:val="bottom"/>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59.0</w:t>
            </w:r>
          </w:p>
        </w:tc>
        <w:tc>
          <w:tcPr>
            <w:tcW w:w="160" w:type="dxa"/>
            <w:vAlign w:val="bottom"/>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36,030</w:t>
            </w:r>
          </w:p>
        </w:tc>
        <w:tc>
          <w:tcPr>
            <w:tcW w:w="160" w:type="dxa"/>
            <w:vAlign w:val="bottom"/>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5,654</w:t>
            </w:r>
          </w:p>
        </w:tc>
        <w:tc>
          <w:tcPr>
            <w:tcW w:w="160" w:type="dxa"/>
            <w:vAlign w:val="bottom"/>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63.4</w:t>
            </w:r>
          </w:p>
        </w:tc>
        <w:tc>
          <w:tcPr>
            <w:tcW w:w="80" w:type="dxa"/>
            <w:vAlign w:val="bottom"/>
            <w:shd w:val="clear" w:color="auto" w:fill="CCEEFF"/>
          </w:tcPr>
          <w:p>
            <w:pPr>
              <w:spacing w:after="0"/>
              <w:rPr>
                <w:sz w:val="13"/>
                <w:szCs w:val="13"/>
                <w:color w:val="auto"/>
              </w:rPr>
            </w:pPr>
          </w:p>
        </w:tc>
      </w:tr>
      <w:tr>
        <w:trPr>
          <w:trHeight w:val="155"/>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060" w:type="dxa"/>
            <w:vAlign w:val="bottom"/>
            <w:shd w:val="clear" w:color="auto" w:fill="CCEEFF"/>
          </w:tcPr>
          <w:p>
            <w:pPr>
              <w:ind w:left="260"/>
              <w:spacing w:after="0" w:line="156" w:lineRule="exact"/>
              <w:rPr>
                <w:sz w:val="20"/>
                <w:szCs w:val="20"/>
                <w:color w:val="auto"/>
              </w:rPr>
            </w:pPr>
            <w:r>
              <w:rPr>
                <w:rFonts w:ascii="Times New Roman" w:cs="Times New Roman" w:eastAsia="Times New Roman" w:hAnsi="Times New Roman"/>
                <w:sz w:val="13"/>
                <w:szCs w:val="13"/>
                <w:color w:val="auto"/>
              </w:rPr>
              <w:t>Sales and marketing expenses</w:t>
            </w:r>
            <w:r>
              <w:rPr>
                <w:rFonts w:ascii="Times New Roman" w:cs="Times New Roman" w:eastAsia="Times New Roman" w:hAnsi="Times New Roman"/>
                <w:sz w:val="18"/>
                <w:szCs w:val="18"/>
                <w:color w:val="auto"/>
                <w:vertAlign w:val="superscript"/>
              </w:rPr>
              <w:t>(1)</w:t>
            </w:r>
          </w:p>
        </w:tc>
        <w:tc>
          <w:tcPr>
            <w:tcW w:w="1480" w:type="dxa"/>
            <w:vAlign w:val="bottom"/>
            <w:gridSpan w:val="3"/>
            <w:shd w:val="clear" w:color="auto" w:fill="CCEEFF"/>
          </w:tcPr>
          <w:p>
            <w:pPr>
              <w:jc w:val="right"/>
              <w:ind w:right="82"/>
              <w:spacing w:after="0"/>
              <w:rPr>
                <w:sz w:val="20"/>
                <w:szCs w:val="20"/>
                <w:color w:val="auto"/>
              </w:rPr>
            </w:pPr>
            <w:r>
              <w:rPr>
                <w:rFonts w:ascii="Times New Roman" w:cs="Times New Roman" w:eastAsia="Times New Roman" w:hAnsi="Times New Roman"/>
                <w:sz w:val="13"/>
                <w:szCs w:val="13"/>
                <w:color w:val="auto"/>
              </w:rPr>
              <w:t>(26,855)</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(22.0)</w:t>
            </w:r>
          </w:p>
        </w:tc>
        <w:tc>
          <w:tcPr>
            <w:tcW w:w="68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3"/>
                <w:szCs w:val="13"/>
                <w:color w:val="auto"/>
              </w:rPr>
              <w:t>(37,186)</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(20.7)</w:t>
            </w:r>
          </w:p>
        </w:tc>
        <w:tc>
          <w:tcPr>
            <w:tcW w:w="6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3"/>
                <w:szCs w:val="13"/>
                <w:color w:val="auto"/>
              </w:rPr>
              <w:t>(43,229)</w:t>
            </w:r>
          </w:p>
        </w:tc>
        <w:tc>
          <w:tcPr>
            <w:tcW w:w="60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3"/>
                <w:szCs w:val="13"/>
                <w:color w:val="auto"/>
              </w:rPr>
              <w:t>(6,784)</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(76.1)</w:t>
            </w:r>
          </w:p>
        </w:tc>
      </w:tr>
      <w:tr>
        <w:trPr>
          <w:trHeight w:val="156"/>
        </w:trPr>
        <w:tc>
          <w:tcPr>
            <w:tcW w:w="3060" w:type="dxa"/>
            <w:vAlign w:val="bottom"/>
          </w:tcPr>
          <w:p>
            <w:pPr>
              <w:ind w:left="260"/>
              <w:spacing w:after="0" w:line="156" w:lineRule="exact"/>
              <w:rPr>
                <w:sz w:val="20"/>
                <w:szCs w:val="20"/>
                <w:color w:val="auto"/>
              </w:rPr>
            </w:pPr>
            <w:r>
              <w:rPr>
                <w:rFonts w:ascii="Times New Roman" w:cs="Times New Roman" w:eastAsia="Times New Roman" w:hAnsi="Times New Roman"/>
                <w:sz w:val="13"/>
                <w:szCs w:val="13"/>
                <w:color w:val="auto"/>
              </w:rPr>
              <w:t>General and administrative expenses</w:t>
            </w:r>
            <w:r>
              <w:rPr>
                <w:rFonts w:ascii="Times New Roman" w:cs="Times New Roman" w:eastAsia="Times New Roman" w:hAnsi="Times New Roman"/>
                <w:sz w:val="18"/>
                <w:szCs w:val="18"/>
                <w:color w:val="auto"/>
                <w:vertAlign w:val="superscript"/>
              </w:rPr>
              <w:t>(1)</w:t>
            </w:r>
          </w:p>
        </w:tc>
        <w:tc>
          <w:tcPr>
            <w:tcW w:w="1480" w:type="dxa"/>
            <w:vAlign w:val="bottom"/>
            <w:gridSpan w:val="3"/>
          </w:tcPr>
          <w:p>
            <w:pPr>
              <w:jc w:val="right"/>
              <w:ind w:right="82"/>
              <w:spacing w:after="0"/>
              <w:rPr>
                <w:sz w:val="20"/>
                <w:szCs w:val="20"/>
                <w:color w:val="auto"/>
              </w:rPr>
            </w:pPr>
            <w:r>
              <w:rPr>
                <w:rFonts w:ascii="Times New Roman" w:cs="Times New Roman" w:eastAsia="Times New Roman" w:hAnsi="Times New Roman"/>
                <w:sz w:val="13"/>
                <w:szCs w:val="13"/>
                <w:color w:val="auto"/>
              </w:rPr>
              <w:t>(36,948)</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(30.3)</w:t>
            </w:r>
          </w:p>
        </w:tc>
        <w:tc>
          <w:tcPr>
            <w:tcW w:w="68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color w:val="auto"/>
              </w:rPr>
              <w:t>(61,613)</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(34.2)</w:t>
            </w:r>
          </w:p>
        </w:tc>
        <w:tc>
          <w:tcPr>
            <w:tcW w:w="66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color w:val="auto"/>
              </w:rPr>
              <w:t>(187,388)</w:t>
            </w:r>
          </w:p>
        </w:tc>
        <w:tc>
          <w:tcPr>
            <w:tcW w:w="60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color w:val="auto"/>
              </w:rPr>
              <w:t>(29,405)</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(329.9)</w:t>
            </w:r>
          </w:p>
        </w:tc>
      </w:tr>
      <w:tr>
        <w:trPr>
          <w:trHeight w:val="156"/>
        </w:trPr>
        <w:tc>
          <w:tcPr>
            <w:tcW w:w="3060" w:type="dxa"/>
            <w:vAlign w:val="bottom"/>
            <w:shd w:val="clear" w:color="auto" w:fill="CCEEFF"/>
          </w:tcPr>
          <w:p>
            <w:pPr>
              <w:ind w:left="260"/>
              <w:spacing w:after="0" w:line="156" w:lineRule="exact"/>
              <w:rPr>
                <w:sz w:val="20"/>
                <w:szCs w:val="20"/>
                <w:color w:val="auto"/>
              </w:rPr>
            </w:pPr>
            <w:r>
              <w:rPr>
                <w:rFonts w:ascii="Times New Roman" w:cs="Times New Roman" w:eastAsia="Times New Roman" w:hAnsi="Times New Roman"/>
                <w:sz w:val="13"/>
                <w:szCs w:val="13"/>
                <w:color w:val="auto"/>
              </w:rPr>
              <w:t>Research and development expenses</w:t>
            </w:r>
            <w:r>
              <w:rPr>
                <w:rFonts w:ascii="Times New Roman" w:cs="Times New Roman" w:eastAsia="Times New Roman" w:hAnsi="Times New Roman"/>
                <w:sz w:val="18"/>
                <w:szCs w:val="18"/>
                <w:color w:val="auto"/>
                <w:vertAlign w:val="superscript"/>
              </w:rPr>
              <w:t>(1)</w:t>
            </w:r>
          </w:p>
        </w:tc>
        <w:tc>
          <w:tcPr>
            <w:tcW w:w="1480" w:type="dxa"/>
            <w:vAlign w:val="bottom"/>
            <w:gridSpan w:val="3"/>
            <w:shd w:val="clear" w:color="auto" w:fill="CCEEFF"/>
          </w:tcPr>
          <w:p>
            <w:pPr>
              <w:jc w:val="right"/>
              <w:ind w:right="82"/>
              <w:spacing w:after="0"/>
              <w:rPr>
                <w:sz w:val="20"/>
                <w:szCs w:val="20"/>
                <w:color w:val="auto"/>
              </w:rPr>
            </w:pPr>
            <w:r>
              <w:rPr>
                <w:rFonts w:ascii="Times New Roman" w:cs="Times New Roman" w:eastAsia="Times New Roman" w:hAnsi="Times New Roman"/>
                <w:sz w:val="13"/>
                <w:szCs w:val="13"/>
                <w:color w:val="auto"/>
              </w:rPr>
              <w:t>(57,167)</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(46.9)</w:t>
            </w:r>
          </w:p>
        </w:tc>
        <w:tc>
          <w:tcPr>
            <w:tcW w:w="68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3"/>
                <w:szCs w:val="13"/>
                <w:color w:val="auto"/>
              </w:rPr>
              <w:t>(105,252)</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(58.4)</w:t>
            </w:r>
          </w:p>
        </w:tc>
        <w:tc>
          <w:tcPr>
            <w:tcW w:w="6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3"/>
                <w:szCs w:val="13"/>
                <w:color w:val="auto"/>
              </w:rPr>
              <w:t>(137,148)</w:t>
            </w:r>
          </w:p>
        </w:tc>
        <w:tc>
          <w:tcPr>
            <w:tcW w:w="60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3"/>
                <w:szCs w:val="13"/>
                <w:color w:val="auto"/>
              </w:rPr>
              <w:t>(21,522)</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(241.4)</w:t>
            </w:r>
          </w:p>
        </w:tc>
      </w:tr>
      <w:tr>
        <w:trPr>
          <w:trHeight w:val="155"/>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82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(120,970</w:t>
            </w:r>
          </w:p>
        </w:tc>
        <w:tc>
          <w:tcPr>
            <w:tcW w:w="160" w:type="dxa"/>
            <w:vAlign w:val="bottom"/>
          </w:tcPr>
          <w:p>
            <w:pPr>
              <w:jc w:val="right"/>
              <w:ind w:right="8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(99.3)</w:t>
            </w:r>
          </w:p>
        </w:tc>
        <w:tc>
          <w:tcPr>
            <w:tcW w:w="14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(204,051</w:t>
            </w:r>
          </w:p>
        </w:tc>
        <w:tc>
          <w:tcPr>
            <w:tcW w:w="160" w:type="dxa"/>
            <w:vAlign w:val="bottom"/>
          </w:tcPr>
          <w:p>
            <w:pPr>
              <w:jc w:val="right"/>
              <w:ind w:right="8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89"/>
              </w:rPr>
              <w:t>(113.3)</w:t>
            </w:r>
          </w:p>
        </w:tc>
        <w:tc>
          <w:tcPr>
            <w:tcW w:w="16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(367,765</w:t>
            </w:r>
          </w:p>
        </w:tc>
        <w:tc>
          <w:tcPr>
            <w:tcW w:w="160" w:type="dxa"/>
            <w:vAlign w:val="bottom"/>
          </w:tcPr>
          <w:p>
            <w:pPr>
              <w:jc w:val="right"/>
              <w:ind w:right="8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(57,711</w:t>
            </w:r>
          </w:p>
        </w:tc>
        <w:tc>
          <w:tcPr>
            <w:tcW w:w="160" w:type="dxa"/>
            <w:vAlign w:val="bottom"/>
          </w:tcPr>
          <w:p>
            <w:pPr>
              <w:jc w:val="right"/>
              <w:ind w:right="8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(647.4)</w:t>
            </w:r>
          </w:p>
        </w:tc>
        <w:tc>
          <w:tcPr>
            <w:tcW w:w="80" w:type="dxa"/>
            <w:vAlign w:val="bottom"/>
          </w:tcPr>
          <w:p>
            <w:pPr>
              <w:spacing w:after="0"/>
              <w:rPr>
                <w:sz w:val="13"/>
                <w:szCs w:val="13"/>
                <w:color w:val="auto"/>
              </w:rPr>
            </w:pPr>
          </w:p>
        </w:tc>
      </w:tr>
      <w:tr>
        <w:trPr>
          <w:trHeight w:val="155"/>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Other operating income</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3,407</w:t>
            </w:r>
          </w:p>
        </w:tc>
        <w:tc>
          <w:tcPr>
            <w:tcW w:w="16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6,576</w:t>
            </w: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11,199</w:t>
            </w: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1,757</w:t>
            </w: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80" w:type="dxa"/>
            <w:vAlign w:val="bottom"/>
            <w:shd w:val="clear" w:color="auto" w:fill="CCEEFF"/>
          </w:tcPr>
          <w:p>
            <w:pPr>
              <w:spacing w:after="0"/>
              <w:rPr>
                <w:sz w:val="13"/>
                <w:szCs w:val="13"/>
                <w:color w:val="auto"/>
              </w:rPr>
            </w:pPr>
          </w:p>
        </w:tc>
      </w:tr>
      <w:tr>
        <w:trPr>
          <w:trHeight w:val="155"/>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Operating loss</w:t>
            </w:r>
          </w:p>
        </w:tc>
        <w:tc>
          <w:tcPr>
            <w:tcW w:w="82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(46,345)</w:t>
            </w:r>
          </w:p>
        </w:tc>
        <w:tc>
          <w:tcPr>
            <w:tcW w:w="160" w:type="dxa"/>
            <w:vAlign w:val="bottom"/>
          </w:tcPr>
          <w:p>
            <w:pPr>
              <w:spacing w:after="0"/>
              <w:rPr>
                <w:sz w:val="13"/>
                <w:szCs w:val="13"/>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(38.0)</w:t>
            </w:r>
          </w:p>
        </w:tc>
        <w:tc>
          <w:tcPr>
            <w:tcW w:w="140" w:type="dxa"/>
            <w:vAlign w:val="bottom"/>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(91,296)</w:t>
            </w:r>
          </w:p>
        </w:tc>
        <w:tc>
          <w:tcPr>
            <w:tcW w:w="160" w:type="dxa"/>
            <w:vAlign w:val="bottom"/>
          </w:tcPr>
          <w:p>
            <w:pPr>
              <w:spacing w:after="0"/>
              <w:rPr>
                <w:sz w:val="13"/>
                <w:szCs w:val="13"/>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(50.7)</w:t>
            </w:r>
          </w:p>
        </w:tc>
        <w:tc>
          <w:tcPr>
            <w:tcW w:w="16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(320,536)</w:t>
            </w:r>
          </w:p>
        </w:tc>
        <w:tc>
          <w:tcPr>
            <w:tcW w:w="160" w:type="dxa"/>
            <w:vAlign w:val="bottom"/>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(50,300)</w:t>
            </w:r>
          </w:p>
        </w:tc>
        <w:tc>
          <w:tcPr>
            <w:tcW w:w="160" w:type="dxa"/>
            <w:vAlign w:val="bottom"/>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(564.3)</w:t>
            </w:r>
          </w:p>
        </w:tc>
        <w:tc>
          <w:tcPr>
            <w:tcW w:w="80" w:type="dxa"/>
            <w:vAlign w:val="bottom"/>
          </w:tcPr>
          <w:p>
            <w:pPr>
              <w:spacing w:after="0"/>
              <w:rPr>
                <w:sz w:val="13"/>
                <w:szCs w:val="13"/>
                <w:color w:val="auto"/>
              </w:rPr>
            </w:pPr>
          </w:p>
        </w:tc>
      </w:tr>
      <w:tr>
        <w:trPr>
          <w:trHeight w:val="15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Other income/(expense):</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30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Interest and investment income</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883</w:t>
            </w:r>
          </w:p>
        </w:tc>
        <w:tc>
          <w:tcPr>
            <w:tcW w:w="1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3,795</w:t>
            </w:r>
          </w:p>
        </w:tc>
        <w:tc>
          <w:tcPr>
            <w:tcW w:w="1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5,143</w:t>
            </w: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807</w:t>
            </w:r>
          </w:p>
        </w:tc>
        <w:tc>
          <w:tcPr>
            <w:tcW w:w="1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80" w:type="dxa"/>
            <w:vAlign w:val="bottom"/>
          </w:tcPr>
          <w:p>
            <w:pPr>
              <w:spacing w:after="0"/>
              <w:rPr>
                <w:sz w:val="13"/>
                <w:szCs w:val="13"/>
                <w:color w:val="auto"/>
              </w:rPr>
            </w:pPr>
          </w:p>
        </w:tc>
      </w:tr>
      <w:tr>
        <w:trPr>
          <w:trHeight w:val="156"/>
        </w:trPr>
        <w:tc>
          <w:tcPr>
            <w:tcW w:w="3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Interest expenses</w:t>
            </w:r>
          </w:p>
        </w:tc>
        <w:tc>
          <w:tcPr>
            <w:tcW w:w="1480" w:type="dxa"/>
            <w:vAlign w:val="bottom"/>
            <w:gridSpan w:val="3"/>
            <w:shd w:val="clear" w:color="auto" w:fill="CCEEFF"/>
          </w:tcPr>
          <w:p>
            <w:pPr>
              <w:jc w:val="right"/>
              <w:ind w:right="82"/>
              <w:spacing w:after="0"/>
              <w:rPr>
                <w:sz w:val="20"/>
                <w:szCs w:val="20"/>
                <w:color w:val="auto"/>
              </w:rPr>
            </w:pPr>
            <w:r>
              <w:rPr>
                <w:rFonts w:ascii="Times New Roman" w:cs="Times New Roman" w:eastAsia="Times New Roman" w:hAnsi="Times New Roman"/>
                <w:sz w:val="13"/>
                <w:szCs w:val="13"/>
                <w:color w:val="auto"/>
              </w:rPr>
              <w:t>(837)</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(0.7)</w:t>
            </w:r>
          </w:p>
        </w:tc>
        <w:tc>
          <w:tcPr>
            <w:tcW w:w="68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3"/>
                <w:szCs w:val="13"/>
                <w:color w:val="auto"/>
              </w:rPr>
              <w:t>(2,337)</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(1.3)</w:t>
            </w:r>
          </w:p>
        </w:tc>
        <w:tc>
          <w:tcPr>
            <w:tcW w:w="6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3"/>
                <w:szCs w:val="13"/>
                <w:color w:val="auto"/>
              </w:rPr>
              <w:t>(1,803)</w:t>
            </w:r>
          </w:p>
        </w:tc>
        <w:tc>
          <w:tcPr>
            <w:tcW w:w="60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3"/>
                <w:szCs w:val="13"/>
                <w:color w:val="auto"/>
              </w:rPr>
              <w:t>(283)</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(3.2)</w:t>
            </w:r>
          </w:p>
        </w:tc>
      </w:tr>
      <w:tr>
        <w:trPr>
          <w:trHeight w:val="156"/>
        </w:trPr>
        <w:tc>
          <w:tcPr>
            <w:tcW w:w="30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Foreign exchange gain (loss)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40" w:type="dxa"/>
            <w:vAlign w:val="bottom"/>
          </w:tcPr>
          <w:p>
            <w:pPr>
              <w:spacing w:after="0"/>
              <w:rPr>
                <w:sz w:val="13"/>
                <w:szCs w:val="13"/>
                <w:color w:val="auto"/>
              </w:rPr>
            </w:pPr>
          </w:p>
        </w:tc>
        <w:tc>
          <w:tcPr>
            <w:tcW w:w="68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color w:val="auto"/>
              </w:rPr>
              <w:t>(333)</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(0.2)</w:t>
            </w:r>
          </w:p>
        </w:tc>
        <w:tc>
          <w:tcPr>
            <w:tcW w:w="66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color w:val="auto"/>
              </w:rPr>
              <w:t>(827)</w:t>
            </w:r>
          </w:p>
        </w:tc>
        <w:tc>
          <w:tcPr>
            <w:tcW w:w="60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color w:val="auto"/>
              </w:rPr>
              <w:t>(130)</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w:t>
            </w:r>
          </w:p>
        </w:tc>
      </w:tr>
      <w:tr>
        <w:trPr>
          <w:trHeight w:val="156"/>
        </w:trPr>
        <w:tc>
          <w:tcPr>
            <w:tcW w:w="3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income</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w:t>
            </w:r>
          </w:p>
        </w:tc>
        <w:tc>
          <w:tcPr>
            <w:tcW w:w="1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1,227</w:t>
            </w: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6,086</w:t>
            </w: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955</w:t>
            </w: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80" w:type="dxa"/>
            <w:vAlign w:val="bottom"/>
            <w:shd w:val="clear" w:color="auto" w:fill="CCEEFF"/>
          </w:tcPr>
          <w:p>
            <w:pPr>
              <w:spacing w:after="0"/>
              <w:rPr>
                <w:sz w:val="13"/>
                <w:szCs w:val="13"/>
                <w:color w:val="auto"/>
              </w:rPr>
            </w:pPr>
          </w:p>
        </w:tc>
      </w:tr>
      <w:tr>
        <w:trPr>
          <w:trHeight w:val="156"/>
        </w:trPr>
        <w:tc>
          <w:tcPr>
            <w:tcW w:w="30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expense</w:t>
            </w:r>
          </w:p>
        </w:tc>
        <w:tc>
          <w:tcPr>
            <w:tcW w:w="820" w:type="dxa"/>
            <w:vAlign w:val="bottom"/>
          </w:tcPr>
          <w:p>
            <w:pPr>
              <w:spacing w:after="0"/>
              <w:rPr>
                <w:sz w:val="13"/>
                <w:szCs w:val="13"/>
                <w:color w:val="auto"/>
              </w:rPr>
            </w:pPr>
          </w:p>
        </w:tc>
        <w:tc>
          <w:tcPr>
            <w:tcW w:w="66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color w:val="auto"/>
              </w:rPr>
              <w:t>(1,416)</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w:t>
            </w:r>
          </w:p>
        </w:tc>
        <w:tc>
          <w:tcPr>
            <w:tcW w:w="68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color w:val="auto"/>
              </w:rPr>
              <w:t>(3,127)</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(1.7)</w:t>
            </w:r>
          </w:p>
        </w:tc>
        <w:tc>
          <w:tcPr>
            <w:tcW w:w="66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color w:val="auto"/>
              </w:rPr>
              <w:t>(1,549)</w:t>
            </w:r>
          </w:p>
        </w:tc>
        <w:tc>
          <w:tcPr>
            <w:tcW w:w="60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color w:val="auto"/>
              </w:rPr>
              <w:t>(243)</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(2.7)</w:t>
            </w:r>
          </w:p>
        </w:tc>
      </w:tr>
      <w:tr>
        <w:trPr>
          <w:trHeight w:val="20"/>
        </w:trPr>
        <w:tc>
          <w:tcPr>
            <w:tcW w:w="3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5"/>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other (expense) income</w:t>
            </w:r>
          </w:p>
        </w:tc>
        <w:tc>
          <w:tcPr>
            <w:tcW w:w="8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(821)</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(0.7)</w:t>
            </w:r>
          </w:p>
        </w:tc>
        <w:tc>
          <w:tcPr>
            <w:tcW w:w="68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(775)</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(0.4)</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7,050</w:t>
            </w: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1,106</w:t>
            </w: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12.4</w:t>
            </w:r>
          </w:p>
        </w:tc>
        <w:tc>
          <w:tcPr>
            <w:tcW w:w="80" w:type="dxa"/>
            <w:vAlign w:val="bottom"/>
            <w:shd w:val="clear" w:color="auto" w:fill="CCEEFF"/>
          </w:tcPr>
          <w:p>
            <w:pPr>
              <w:spacing w:after="0"/>
              <w:rPr>
                <w:sz w:val="13"/>
                <w:szCs w:val="13"/>
                <w:color w:val="auto"/>
              </w:rPr>
            </w:pPr>
          </w:p>
        </w:tc>
      </w:tr>
      <w:tr>
        <w:trPr>
          <w:trHeight w:val="20"/>
        </w:trPr>
        <w:tc>
          <w:tcPr>
            <w:tcW w:w="3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1"/>
        </w:trPr>
        <w:tc>
          <w:tcPr>
            <w:tcW w:w="3060" w:type="dxa"/>
            <w:vAlign w:val="bottom"/>
          </w:tcPr>
          <w:p>
            <w:pPr>
              <w:spacing w:after="0"/>
              <w:rPr>
                <w:sz w:val="22"/>
                <w:szCs w:val="22"/>
                <w:color w:val="auto"/>
              </w:rPr>
            </w:pPr>
          </w:p>
        </w:tc>
        <w:tc>
          <w:tcPr>
            <w:tcW w:w="1320" w:type="dxa"/>
            <w:vAlign w:val="bottom"/>
            <w:gridSpan w:val="2"/>
          </w:tcPr>
          <w:p>
            <w:pPr>
              <w:jc w:val="right"/>
              <w:ind w:right="258"/>
              <w:spacing w:after="0"/>
              <w:rPr>
                <w:sz w:val="20"/>
                <w:szCs w:val="20"/>
                <w:color w:val="auto"/>
              </w:rPr>
            </w:pPr>
            <w:r>
              <w:rPr>
                <w:rFonts w:ascii="Times New Roman" w:cs="Times New Roman" w:eastAsia="Times New Roman" w:hAnsi="Times New Roman"/>
                <w:sz w:val="13"/>
                <w:szCs w:val="13"/>
                <w:color w:val="auto"/>
              </w:rPr>
              <w:t>115</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r>
    </w:tbl>
    <w:p>
      <w:pPr>
        <w:sectPr>
          <w:pgSz w:w="11900" w:h="16838" w:orient="portrait"/>
          <w:cols w:equalWidth="0" w:num="1">
            <w:col w:w="10159"/>
          </w:cols>
          <w:pgMar w:left="300" w:top="388" w:right="1440"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18" w:lineRule="exact"/>
        <w:rPr>
          <w:sz w:val="20"/>
          <w:szCs w:val="20"/>
          <w:color w:val="auto"/>
        </w:rPr>
      </w:pPr>
    </w:p>
    <w:tbl>
      <w:tblPr>
        <w:tblLayout w:type="fixed"/>
        <w:tblInd w:w="1680" w:type="dxa"/>
        <w:tblCellMar>
          <w:top w:w="0" w:type="dxa"/>
          <w:left w:w="0" w:type="dxa"/>
          <w:bottom w:w="0" w:type="dxa"/>
          <w:right w:w="0" w:type="dxa"/>
        </w:tblCellMar>
      </w:tblPr>
      <w:tr>
        <w:trPr>
          <w:trHeight w:val="124"/>
        </w:trPr>
        <w:tc>
          <w:tcPr>
            <w:tcW w:w="408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For the Year Ended December 31,</w:t>
            </w:r>
          </w:p>
        </w:tc>
        <w:tc>
          <w:tcPr>
            <w:tcW w:w="4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7"/>
        </w:trPr>
        <w:tc>
          <w:tcPr>
            <w:tcW w:w="4080" w:type="dxa"/>
            <w:vAlign w:val="bottom"/>
          </w:tcPr>
          <w:p>
            <w:pPr>
              <w:spacing w:after="0"/>
              <w:rPr>
                <w:sz w:val="8"/>
                <w:szCs w:val="8"/>
                <w:color w:val="auto"/>
              </w:rPr>
            </w:pPr>
          </w:p>
        </w:tc>
        <w:tc>
          <w:tcPr>
            <w:tcW w:w="600" w:type="dxa"/>
            <w:vAlign w:val="bottom"/>
            <w:gridSpan w:val="2"/>
          </w:tcPr>
          <w:p>
            <w:pPr>
              <w:jc w:val="right"/>
              <w:ind w:right="40"/>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3"/>
          </w:tcPr>
          <w:p>
            <w:pPr>
              <w:jc w:val="right"/>
              <w:ind w:right="40"/>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jc w:val="right"/>
              <w:ind w:right="119"/>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7"/>
        </w:trPr>
        <w:tc>
          <w:tcPr>
            <w:tcW w:w="4080" w:type="dxa"/>
            <w:vAlign w:val="bottom"/>
          </w:tcPr>
          <w:p>
            <w:pPr>
              <w:spacing w:after="0"/>
              <w:rPr>
                <w:sz w:val="8"/>
                <w:szCs w:val="8"/>
                <w:color w:val="auto"/>
              </w:rPr>
            </w:pPr>
          </w:p>
        </w:tc>
        <w:tc>
          <w:tcPr>
            <w:tcW w:w="440" w:type="dxa"/>
            <w:vAlign w:val="bottom"/>
            <w:tcBorders>
              <w:top w:val="single" w:sz="8" w:color="auto"/>
              <w:bottom w:val="single" w:sz="8" w:color="auto"/>
            </w:tcBorders>
          </w:tcPr>
          <w:p>
            <w:pPr>
              <w:jc w:val="right"/>
              <w:ind w:right="39"/>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160" w:type="dxa"/>
            <w:vAlign w:val="bottom"/>
            <w:tcBorders>
              <w:top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57"/>
              <w:spacing w:after="0" w:line="97" w:lineRule="exact"/>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Borders>
              <w:top w:val="single" w:sz="8" w:color="auto"/>
              <w:bottom w:val="single" w:sz="8" w:color="auto"/>
            </w:tcBorders>
          </w:tcPr>
          <w:p>
            <w:pPr>
              <w:jc w:val="right"/>
              <w:ind w:right="62"/>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140" w:type="dxa"/>
            <w:vAlign w:val="bottom"/>
            <w:tcBorders>
              <w:top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38"/>
              <w:spacing w:after="0" w:line="97" w:lineRule="exact"/>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Pr>
          <w:p>
            <w:pPr>
              <w:spacing w:after="0"/>
              <w:rPr>
                <w:sz w:val="8"/>
                <w:szCs w:val="8"/>
                <w:color w:val="auto"/>
              </w:rPr>
            </w:pPr>
          </w:p>
        </w:tc>
        <w:tc>
          <w:tcPr>
            <w:tcW w:w="500" w:type="dxa"/>
            <w:vAlign w:val="bottom"/>
            <w:tcBorders>
              <w:top w:val="single" w:sz="8" w:color="auto"/>
              <w:bottom w:val="single" w:sz="8" w:color="auto"/>
            </w:tcBorders>
          </w:tcPr>
          <w:p>
            <w:pPr>
              <w:jc w:val="right"/>
              <w:ind w:right="78"/>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160" w:type="dxa"/>
            <w:vAlign w:val="bottom"/>
            <w:tcBorders>
              <w:top w:val="single" w:sz="8" w:color="auto"/>
            </w:tcBorders>
          </w:tcPr>
          <w:p>
            <w:pPr>
              <w:spacing w:after="0"/>
              <w:rPr>
                <w:sz w:val="8"/>
                <w:szCs w:val="8"/>
                <w:color w:val="auto"/>
              </w:rPr>
            </w:pPr>
          </w:p>
        </w:tc>
        <w:tc>
          <w:tcPr>
            <w:tcW w:w="440" w:type="dxa"/>
            <w:vAlign w:val="bottom"/>
            <w:tcBorders>
              <w:top w:val="single" w:sz="8" w:color="auto"/>
              <w:bottom w:val="single" w:sz="8" w:color="auto"/>
            </w:tcBorders>
          </w:tcPr>
          <w:p>
            <w:pPr>
              <w:jc w:val="right"/>
              <w:ind w:right="79"/>
              <w:spacing w:after="0" w:line="97" w:lineRule="exact"/>
              <w:rPr>
                <w:sz w:val="20"/>
                <w:szCs w:val="20"/>
                <w:color w:val="auto"/>
              </w:rPr>
            </w:pPr>
            <w:r>
              <w:rPr>
                <w:rFonts w:ascii="Times New Roman" w:cs="Times New Roman" w:eastAsia="Times New Roman" w:hAnsi="Times New Roman"/>
                <w:sz w:val="10"/>
                <w:szCs w:val="10"/>
                <w:b w:val="1"/>
                <w:bCs w:val="1"/>
                <w:color w:val="auto"/>
              </w:rPr>
              <w:t>US$</w:t>
            </w:r>
          </w:p>
        </w:tc>
        <w:tc>
          <w:tcPr>
            <w:tcW w:w="160" w:type="dxa"/>
            <w:vAlign w:val="bottom"/>
            <w:tcBorders>
              <w:top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77"/>
              <w:spacing w:after="0" w:line="97" w:lineRule="exact"/>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8"/>
                <w:szCs w:val="8"/>
                <w:color w:val="auto"/>
              </w:rPr>
            </w:pPr>
          </w:p>
        </w:tc>
      </w:tr>
      <w:tr>
        <w:trPr>
          <w:trHeight w:val="243"/>
        </w:trPr>
        <w:tc>
          <w:tcPr>
            <w:tcW w:w="4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7"/>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(in thousands, except for percentages)</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1"/>
        </w:trPr>
        <w:tc>
          <w:tcPr>
            <w:tcW w:w="40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Loss before income tax and (loss) income from equity method</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70"/>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(47,166)</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(38.7)</w:t>
            </w:r>
          </w:p>
        </w:tc>
        <w:tc>
          <w:tcPr>
            <w:tcW w:w="1800" w:type="dxa"/>
            <w:vAlign w:val="bottom"/>
            <w:gridSpan w:val="7"/>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(92,071)  (51.1)  (313,486)</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(49,194)</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(551.8)</w:t>
            </w:r>
          </w:p>
        </w:tc>
      </w:tr>
      <w:tr>
        <w:trPr>
          <w:trHeight w:val="155"/>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Income tax expenses</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(754)</w:t>
            </w:r>
          </w:p>
        </w:tc>
        <w:tc>
          <w:tcPr>
            <w:tcW w:w="16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14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6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16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6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tcPr>
          <w:p>
            <w:pPr>
              <w:spacing w:after="0"/>
              <w:rPr>
                <w:sz w:val="13"/>
                <w:szCs w:val="13"/>
                <w:color w:val="auto"/>
              </w:rPr>
            </w:pPr>
          </w:p>
        </w:tc>
      </w:tr>
      <w:tr>
        <w:trPr>
          <w:trHeight w:val="155"/>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Loss before (loss) income from equity method investment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(47,920)</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(39.3)</w:t>
            </w: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(92,277)</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(51.2)</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(313,620)</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(49,215)</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(552.1)</w:t>
            </w:r>
          </w:p>
        </w:tc>
      </w:tr>
      <w:tr>
        <w:trPr>
          <w:trHeight w:val="155"/>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(Loss) income from equity method investment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6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236</w:t>
            </w:r>
          </w:p>
        </w:tc>
        <w:tc>
          <w:tcPr>
            <w:tcW w:w="14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6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(276)</w:t>
            </w:r>
          </w:p>
        </w:tc>
        <w:tc>
          <w:tcPr>
            <w:tcW w:w="16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6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80" w:type="dxa"/>
            <w:vAlign w:val="bottom"/>
          </w:tcPr>
          <w:p>
            <w:pPr>
              <w:spacing w:after="0"/>
              <w:rPr>
                <w:sz w:val="13"/>
                <w:szCs w:val="13"/>
                <w:color w:val="auto"/>
              </w:rPr>
            </w:pPr>
          </w:p>
        </w:tc>
      </w:tr>
      <w:tr>
        <w:trPr>
          <w:trHeight w:val="155"/>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(47,994)</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(39.4)</w:t>
            </w: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(92,041)</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(51.1)</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(313,896)</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(49,258)</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(552.6)</w:t>
            </w:r>
          </w:p>
        </w:tc>
      </w:tr>
      <w:tr>
        <w:trPr>
          <w:trHeight w:val="29"/>
        </w:trPr>
        <w:tc>
          <w:tcPr>
            <w:tcW w:w="40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74295</wp:posOffset>
            </wp:positionV>
            <wp:extent cx="549910"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49910" cy="6350"/>
                    </a:xfrm>
                    <a:prstGeom prst="rect">
                      <a:avLst/>
                    </a:prstGeom>
                    <a:noFill/>
                  </pic:spPr>
                </pic:pic>
              </a:graphicData>
            </a:graphic>
          </wp:anchor>
        </w:drawing>
      </w:r>
    </w:p>
    <w:p>
      <w:pPr>
        <w:spacing w:after="0" w:line="12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Notes:</w:t>
      </w:r>
    </w:p>
    <w:p>
      <w:pPr>
        <w:ind w:left="1980" w:hanging="304"/>
        <w:spacing w:after="0" w:line="201" w:lineRule="auto"/>
        <w:tabs>
          <w:tab w:leader="none" w:pos="1980" w:val="left"/>
        </w:tabs>
        <w:numPr>
          <w:ilvl w:val="0"/>
          <w:numId w:val="4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Share-based compensation expense was allocated in costs of revenues and operating expenses as follows:</w:t>
      </w:r>
    </w:p>
    <w:p>
      <w:pPr>
        <w:spacing w:after="0" w:line="159" w:lineRule="exact"/>
        <w:rPr>
          <w:sz w:val="20"/>
          <w:szCs w:val="20"/>
          <w:color w:val="auto"/>
        </w:rPr>
      </w:pPr>
    </w:p>
    <w:tbl>
      <w:tblPr>
        <w:tblLayout w:type="fixed"/>
        <w:tblInd w:w="2000" w:type="dxa"/>
        <w:tblCellMar>
          <w:top w:w="0" w:type="dxa"/>
          <w:left w:w="0" w:type="dxa"/>
          <w:bottom w:w="0" w:type="dxa"/>
          <w:right w:w="0" w:type="dxa"/>
        </w:tblCellMar>
      </w:tblPr>
      <w:tr>
        <w:trPr>
          <w:trHeight w:val="124"/>
        </w:trPr>
        <w:tc>
          <w:tcPr>
            <w:tcW w:w="480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0"/>
                <w:szCs w:val="10"/>
                <w:b w:val="1"/>
                <w:bCs w:val="1"/>
                <w:color w:val="auto"/>
              </w:rPr>
              <w:t>For the Year Ended December 31,</w:t>
            </w:r>
          </w:p>
        </w:tc>
        <w:tc>
          <w:tcPr>
            <w:tcW w:w="4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7"/>
        </w:trPr>
        <w:tc>
          <w:tcPr>
            <w:tcW w:w="4800" w:type="dxa"/>
            <w:vAlign w:val="bottom"/>
          </w:tcPr>
          <w:p>
            <w:pPr>
              <w:spacing w:after="0"/>
              <w:rPr>
                <w:sz w:val="8"/>
                <w:szCs w:val="8"/>
                <w:color w:val="auto"/>
              </w:rPr>
            </w:pPr>
          </w:p>
        </w:tc>
        <w:tc>
          <w:tcPr>
            <w:tcW w:w="440" w:type="dxa"/>
            <w:vAlign w:val="bottom"/>
          </w:tcPr>
          <w:p>
            <w:pPr>
              <w:jc w:val="right"/>
              <w:ind w:right="60"/>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640" w:type="dxa"/>
            <w:vAlign w:val="bottom"/>
            <w:gridSpan w:val="2"/>
          </w:tcPr>
          <w:p>
            <w:pPr>
              <w:jc w:val="right"/>
              <w:ind w:right="60"/>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900" w:type="dxa"/>
            <w:vAlign w:val="bottom"/>
            <w:gridSpan w:val="3"/>
          </w:tcPr>
          <w:p>
            <w:pPr>
              <w:jc w:val="right"/>
              <w:ind w:right="20"/>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97"/>
        </w:trPr>
        <w:tc>
          <w:tcPr>
            <w:tcW w:w="4800" w:type="dxa"/>
            <w:vAlign w:val="bottom"/>
          </w:tcPr>
          <w:p>
            <w:pPr>
              <w:spacing w:after="0"/>
              <w:rPr>
                <w:sz w:val="8"/>
                <w:szCs w:val="8"/>
                <w:color w:val="auto"/>
              </w:rPr>
            </w:pPr>
          </w:p>
        </w:tc>
        <w:tc>
          <w:tcPr>
            <w:tcW w:w="440" w:type="dxa"/>
            <w:vAlign w:val="bottom"/>
            <w:tcBorders>
              <w:top w:val="single" w:sz="8" w:color="auto"/>
              <w:bottom w:val="single" w:sz="8" w:color="auto"/>
            </w:tcBorders>
          </w:tcPr>
          <w:p>
            <w:pPr>
              <w:ind w:left="100"/>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180" w:type="dxa"/>
            <w:vAlign w:val="bottom"/>
          </w:tcPr>
          <w:p>
            <w:pPr>
              <w:spacing w:after="0"/>
              <w:rPr>
                <w:sz w:val="8"/>
                <w:szCs w:val="8"/>
                <w:color w:val="auto"/>
              </w:rPr>
            </w:pPr>
          </w:p>
        </w:tc>
        <w:tc>
          <w:tcPr>
            <w:tcW w:w="460" w:type="dxa"/>
            <w:vAlign w:val="bottom"/>
            <w:tcBorders>
              <w:top w:val="single" w:sz="8" w:color="auto"/>
              <w:bottom w:val="single" w:sz="8" w:color="auto"/>
            </w:tcBorders>
          </w:tcPr>
          <w:p>
            <w:pPr>
              <w:jc w:val="right"/>
              <w:ind w:right="60"/>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180" w:type="dxa"/>
            <w:vAlign w:val="bottom"/>
          </w:tcPr>
          <w:p>
            <w:pPr>
              <w:spacing w:after="0"/>
              <w:rPr>
                <w:sz w:val="8"/>
                <w:szCs w:val="8"/>
                <w:color w:val="auto"/>
              </w:rPr>
            </w:pPr>
          </w:p>
        </w:tc>
        <w:tc>
          <w:tcPr>
            <w:tcW w:w="540" w:type="dxa"/>
            <w:vAlign w:val="bottom"/>
            <w:tcBorders>
              <w:top w:val="single" w:sz="8" w:color="auto"/>
              <w:bottom w:val="single" w:sz="8" w:color="auto"/>
            </w:tcBorders>
          </w:tcPr>
          <w:p>
            <w:pPr>
              <w:jc w:val="right"/>
              <w:ind w:right="98"/>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180" w:type="dxa"/>
            <w:vAlign w:val="bottom"/>
            <w:tcBorders>
              <w:top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97"/>
              <w:spacing w:after="0" w:line="97" w:lineRule="exact"/>
              <w:rPr>
                <w:sz w:val="20"/>
                <w:szCs w:val="20"/>
                <w:color w:val="auto"/>
              </w:rPr>
            </w:pPr>
            <w:r>
              <w:rPr>
                <w:rFonts w:ascii="Times New Roman" w:cs="Times New Roman" w:eastAsia="Times New Roman" w:hAnsi="Times New Roman"/>
                <w:sz w:val="10"/>
                <w:szCs w:val="10"/>
                <w:b w:val="1"/>
                <w:bCs w:val="1"/>
                <w:color w:val="auto"/>
              </w:rPr>
              <w:t>US$</w:t>
            </w:r>
          </w:p>
        </w:tc>
        <w:tc>
          <w:tcPr>
            <w:tcW w:w="40" w:type="dxa"/>
            <w:vAlign w:val="bottom"/>
          </w:tcPr>
          <w:p>
            <w:pPr>
              <w:spacing w:after="0"/>
              <w:rPr>
                <w:sz w:val="8"/>
                <w:szCs w:val="8"/>
                <w:color w:val="auto"/>
              </w:rPr>
            </w:pPr>
          </w:p>
        </w:tc>
      </w:tr>
      <w:tr>
        <w:trPr>
          <w:trHeight w:val="243"/>
        </w:trPr>
        <w:tc>
          <w:tcPr>
            <w:tcW w:w="4800" w:type="dxa"/>
            <w:vAlign w:val="bottom"/>
          </w:tcPr>
          <w:p>
            <w:pPr>
              <w:spacing w:after="0"/>
              <w:rPr>
                <w:sz w:val="21"/>
                <w:szCs w:val="21"/>
                <w:color w:val="auto"/>
              </w:rPr>
            </w:pPr>
          </w:p>
        </w:tc>
        <w:tc>
          <w:tcPr>
            <w:tcW w:w="2500" w:type="dxa"/>
            <w:vAlign w:val="bottom"/>
            <w:gridSpan w:val="8"/>
          </w:tcPr>
          <w:p>
            <w:pPr>
              <w:ind w:left="100"/>
              <w:spacing w:after="0"/>
              <w:rPr>
                <w:sz w:val="20"/>
                <w:szCs w:val="20"/>
                <w:color w:val="auto"/>
              </w:rPr>
            </w:pPr>
            <w:r>
              <w:rPr>
                <w:rFonts w:ascii="Times New Roman" w:cs="Times New Roman" w:eastAsia="Times New Roman" w:hAnsi="Times New Roman"/>
                <w:sz w:val="10"/>
                <w:szCs w:val="10"/>
                <w:b w:val="1"/>
                <w:bCs w:val="1"/>
                <w:color w:val="auto"/>
              </w:rPr>
              <w:t>(in thousands, except share and share related data)</w:t>
            </w:r>
          </w:p>
        </w:tc>
      </w:tr>
      <w:tr>
        <w:trPr>
          <w:trHeight w:val="15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Costs of revenues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2,443</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4800" w:type="dxa"/>
            <w:vAlign w:val="bottom"/>
          </w:tcPr>
          <w:p>
            <w:pPr>
              <w:spacing w:after="0"/>
              <w:rPr>
                <w:sz w:val="20"/>
                <w:szCs w:val="20"/>
                <w:color w:val="auto"/>
              </w:rPr>
            </w:pPr>
            <w:r>
              <w:rPr>
                <w:rFonts w:ascii="Times New Roman" w:cs="Times New Roman" w:eastAsia="Times New Roman" w:hAnsi="Times New Roman"/>
                <w:sz w:val="13"/>
                <w:szCs w:val="13"/>
                <w:color w:val="auto"/>
              </w:rPr>
              <w:t>Sales and marketing expenses</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743</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10,883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18,327</w:t>
            </w:r>
          </w:p>
        </w:tc>
        <w:tc>
          <w:tcPr>
            <w:tcW w:w="1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2,876</w:t>
            </w:r>
          </w:p>
        </w:tc>
        <w:tc>
          <w:tcPr>
            <w:tcW w:w="40" w:type="dxa"/>
            <w:vAlign w:val="bottom"/>
          </w:tcPr>
          <w:p>
            <w:pPr>
              <w:spacing w:after="0"/>
              <w:rPr>
                <w:sz w:val="13"/>
                <w:szCs w:val="13"/>
                <w:color w:val="auto"/>
              </w:rPr>
            </w:pPr>
          </w:p>
        </w:tc>
      </w:tr>
      <w:tr>
        <w:trPr>
          <w:trHeight w:val="15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8,520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14,453</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71,147</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11,165</w:t>
            </w:r>
          </w:p>
        </w:tc>
        <w:tc>
          <w:tcPr>
            <w:tcW w:w="40" w:type="dxa"/>
            <w:vAlign w:val="bottom"/>
            <w:shd w:val="clear" w:color="auto" w:fill="CCEEFF"/>
          </w:tcPr>
          <w:p>
            <w:pPr>
              <w:spacing w:after="0"/>
              <w:rPr>
                <w:sz w:val="13"/>
                <w:szCs w:val="13"/>
                <w:color w:val="auto"/>
              </w:rPr>
            </w:pPr>
          </w:p>
        </w:tc>
      </w:tr>
      <w:tr>
        <w:trPr>
          <w:trHeight w:val="156"/>
        </w:trPr>
        <w:tc>
          <w:tcPr>
            <w:tcW w:w="4800" w:type="dxa"/>
            <w:vAlign w:val="bottom"/>
          </w:tcPr>
          <w:p>
            <w:pPr>
              <w:spacing w:after="0"/>
              <w:rPr>
                <w:sz w:val="20"/>
                <w:szCs w:val="20"/>
                <w:color w:val="auto"/>
              </w:rPr>
            </w:pPr>
            <w:r>
              <w:rPr>
                <w:rFonts w:ascii="Times New Roman" w:cs="Times New Roman" w:eastAsia="Times New Roman" w:hAnsi="Times New Roman"/>
                <w:sz w:val="13"/>
                <w:szCs w:val="13"/>
                <w:color w:val="auto"/>
              </w:rPr>
              <w:t>Research and development expenses</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5,119</w:t>
            </w:r>
          </w:p>
        </w:tc>
        <w:tc>
          <w:tcPr>
            <w:tcW w:w="180" w:type="dxa"/>
            <w:vAlign w:val="bottom"/>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27,078</w:t>
            </w:r>
          </w:p>
        </w:tc>
        <w:tc>
          <w:tcPr>
            <w:tcW w:w="180" w:type="dxa"/>
            <w:vAlign w:val="bottom"/>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31,657</w:t>
            </w:r>
          </w:p>
        </w:tc>
        <w:tc>
          <w:tcPr>
            <w:tcW w:w="180" w:type="dxa"/>
            <w:vAlign w:val="bottom"/>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4,968</w:t>
            </w:r>
          </w:p>
        </w:tc>
        <w:tc>
          <w:tcPr>
            <w:tcW w:w="40" w:type="dxa"/>
            <w:vAlign w:val="bottom"/>
          </w:tcPr>
          <w:p>
            <w:pPr>
              <w:spacing w:after="0"/>
              <w:rPr>
                <w:sz w:val="13"/>
                <w:szCs w:val="13"/>
                <w:color w:val="auto"/>
              </w:rPr>
            </w:pPr>
          </w:p>
        </w:tc>
      </w:tr>
      <w:tr>
        <w:trPr>
          <w:trHeight w:val="164"/>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14,747</w:t>
            </w:r>
          </w:p>
        </w:tc>
        <w:tc>
          <w:tcPr>
            <w:tcW w:w="1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54,857</w:t>
            </w:r>
          </w:p>
        </w:tc>
        <w:tc>
          <w:tcPr>
            <w:tcW w:w="18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121,131</w:t>
            </w:r>
          </w:p>
        </w:tc>
        <w:tc>
          <w:tcPr>
            <w:tcW w:w="1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19,009</w:t>
            </w:r>
          </w:p>
        </w:tc>
        <w:tc>
          <w:tcPr>
            <w:tcW w:w="40" w:type="dxa"/>
            <w:vAlign w:val="bottom"/>
            <w:shd w:val="clear" w:color="auto" w:fill="CCEEFF"/>
          </w:tcPr>
          <w:p>
            <w:pPr>
              <w:spacing w:after="0"/>
              <w:rPr>
                <w:sz w:val="14"/>
                <w:szCs w:val="14"/>
                <w:color w:val="auto"/>
              </w:rPr>
            </w:pPr>
          </w:p>
        </w:tc>
      </w:tr>
    </w:tbl>
    <w:p>
      <w:pPr>
        <w:spacing w:after="0" w:line="22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Year ended December 31, 2021 compared with year ended December 31, 2020</w:t>
      </w:r>
    </w:p>
    <w:p>
      <w:pPr>
        <w:spacing w:after="0" w:line="8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Revenues</w:t>
      </w:r>
    </w:p>
    <w:p>
      <w:pPr>
        <w:spacing w:after="0" w:line="88" w:lineRule="exact"/>
        <w:rPr>
          <w:sz w:val="20"/>
          <w:szCs w:val="20"/>
          <w:color w:val="auto"/>
        </w:rPr>
      </w:pPr>
    </w:p>
    <w:p>
      <w:pPr>
        <w:ind w:left="1680" w:right="699" w:firstLine="317"/>
        <w:spacing w:after="0" w:line="264" w:lineRule="auto"/>
        <w:rPr>
          <w:sz w:val="20"/>
          <w:szCs w:val="20"/>
          <w:color w:val="auto"/>
        </w:rPr>
      </w:pPr>
      <w:r>
        <w:rPr>
          <w:rFonts w:ascii="Times New Roman" w:cs="Times New Roman" w:eastAsia="Times New Roman" w:hAnsi="Times New Roman"/>
          <w:sz w:val="13"/>
          <w:szCs w:val="13"/>
          <w:color w:val="auto"/>
        </w:rPr>
        <w:t>Our total revenues decreased by 68.5% from RMB180.1 million in 2020 to RMB56.8 (US$8.9 million) in 2021, as we have been strategically transitioning from a product sales centric model into an integrated model of both product sales and AAV operational flight services, and we have been progressing the certification process for EHang 216.</w:t>
      </w:r>
    </w:p>
    <w:p>
      <w:pPr>
        <w:spacing w:after="0" w:line="129" w:lineRule="exact"/>
        <w:rPr>
          <w:sz w:val="20"/>
          <w:szCs w:val="20"/>
          <w:color w:val="auto"/>
        </w:rPr>
      </w:pPr>
    </w:p>
    <w:p>
      <w:pPr>
        <w:ind w:left="1680" w:right="779" w:firstLine="317"/>
        <w:spacing w:after="0" w:line="278" w:lineRule="auto"/>
        <w:rPr>
          <w:sz w:val="20"/>
          <w:szCs w:val="20"/>
          <w:color w:val="auto"/>
        </w:rPr>
      </w:pPr>
      <w:r>
        <w:rPr>
          <w:rFonts w:ascii="Times New Roman" w:cs="Times New Roman" w:eastAsia="Times New Roman" w:hAnsi="Times New Roman"/>
          <w:sz w:val="13"/>
          <w:szCs w:val="13"/>
          <w:color w:val="auto"/>
        </w:rPr>
        <w:t>Revenues from air mobility solutions decreased by 54.6% from RMB106.0 million in 2020 to RMB48.2 million (US$7.5 million) in 2021. We sold 30 passenger-grade AAVs in 2021, compared with 70 in 2020.</w:t>
      </w:r>
    </w:p>
    <w:p>
      <w:pPr>
        <w:spacing w:after="0" w:line="121" w:lineRule="exact"/>
        <w:rPr>
          <w:sz w:val="20"/>
          <w:szCs w:val="20"/>
          <w:color w:val="auto"/>
        </w:rPr>
      </w:pPr>
    </w:p>
    <w:p>
      <w:pPr>
        <w:ind w:left="1680" w:right="559" w:firstLine="317"/>
        <w:spacing w:after="0" w:line="259" w:lineRule="auto"/>
        <w:rPr>
          <w:sz w:val="20"/>
          <w:szCs w:val="20"/>
          <w:color w:val="auto"/>
        </w:rPr>
      </w:pPr>
      <w:r>
        <w:rPr>
          <w:rFonts w:ascii="Times New Roman" w:cs="Times New Roman" w:eastAsia="Times New Roman" w:hAnsi="Times New Roman"/>
          <w:sz w:val="13"/>
          <w:szCs w:val="13"/>
          <w:color w:val="auto"/>
        </w:rPr>
        <w:t>Revenues from smart city management solutions decreased by 13.8% from RMB8.3 million in 2020 to RMB7.1 million (US$1.1 million) in 2021. Since the smart city management solutions are on a project basis with different individual transaction values depending on the project nature, project size, etc. Revenues from smart city management solutions may be more concentrated in certain years or periods, and therefore are subject to greater period-to-period fluctuations.</w:t>
      </w:r>
    </w:p>
    <w:p>
      <w:pPr>
        <w:spacing w:after="0" w:line="133" w:lineRule="exact"/>
        <w:rPr>
          <w:sz w:val="20"/>
          <w:szCs w:val="20"/>
          <w:color w:val="auto"/>
        </w:rPr>
      </w:pPr>
    </w:p>
    <w:p>
      <w:pPr>
        <w:ind w:left="1680" w:right="559" w:firstLine="317"/>
        <w:spacing w:after="0" w:line="278" w:lineRule="auto"/>
        <w:rPr>
          <w:sz w:val="20"/>
          <w:szCs w:val="20"/>
          <w:color w:val="auto"/>
        </w:rPr>
      </w:pPr>
      <w:r>
        <w:rPr>
          <w:rFonts w:ascii="Times New Roman" w:cs="Times New Roman" w:eastAsia="Times New Roman" w:hAnsi="Times New Roman"/>
          <w:sz w:val="13"/>
          <w:szCs w:val="13"/>
          <w:color w:val="auto"/>
        </w:rPr>
        <w:t>Revenues from aerial media solutions decreased by 98.3% from RMB65.7 million in 2020 to RMB1.1 million (US$0.2 million) in 2021, primarily due to strategic adjustment to more focus on the core business air mobility solutions.</w:t>
      </w:r>
    </w:p>
    <w:p>
      <w:pPr>
        <w:spacing w:after="0" w:line="19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Costs of revenues</w:t>
      </w:r>
    </w:p>
    <w:p>
      <w:pPr>
        <w:spacing w:after="0" w:line="88" w:lineRule="exact"/>
        <w:rPr>
          <w:sz w:val="20"/>
          <w:szCs w:val="20"/>
          <w:color w:val="auto"/>
        </w:rPr>
      </w:pPr>
    </w:p>
    <w:p>
      <w:pPr>
        <w:ind w:left="1680" w:right="759" w:firstLine="317"/>
        <w:spacing w:after="0" w:line="278" w:lineRule="auto"/>
        <w:rPr>
          <w:sz w:val="20"/>
          <w:szCs w:val="20"/>
          <w:color w:val="auto"/>
        </w:rPr>
      </w:pPr>
      <w:r>
        <w:rPr>
          <w:rFonts w:ascii="Times New Roman" w:cs="Times New Roman" w:eastAsia="Times New Roman" w:hAnsi="Times New Roman"/>
          <w:sz w:val="13"/>
          <w:szCs w:val="13"/>
          <w:color w:val="auto"/>
        </w:rPr>
        <w:t>Our costs of revenues decreased by 71.9% from RMB73.9 million in 2020 to RMB20.8 million (US$3.3 million) in 2021, which resulted from and was in line with the total revenues.</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116</w:t>
      </w:r>
    </w:p>
    <w:p>
      <w:pPr>
        <w:sectPr>
          <w:pgSz w:w="11900" w:h="16838" w:orient="portrait"/>
          <w:cols w:equalWidth="0" w:num="1">
            <w:col w:w="10159"/>
          </w:cols>
          <w:pgMar w:left="300" w:top="388" w:right="1440"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Gross profit and gross profit margin</w:t>
      </w:r>
    </w:p>
    <w:p>
      <w:pPr>
        <w:spacing w:after="0" w:line="88" w:lineRule="exact"/>
        <w:rPr>
          <w:sz w:val="20"/>
          <w:szCs w:val="20"/>
          <w:color w:val="auto"/>
        </w:rPr>
      </w:pPr>
    </w:p>
    <w:p>
      <w:pPr>
        <w:jc w:val="both"/>
        <w:ind w:left="1680" w:right="619" w:firstLine="317"/>
        <w:spacing w:after="0" w:line="264" w:lineRule="auto"/>
        <w:rPr>
          <w:sz w:val="20"/>
          <w:szCs w:val="20"/>
          <w:color w:val="auto"/>
        </w:rPr>
      </w:pPr>
      <w:r>
        <w:rPr>
          <w:rFonts w:ascii="Times New Roman" w:cs="Times New Roman" w:eastAsia="Times New Roman" w:hAnsi="Times New Roman"/>
          <w:sz w:val="13"/>
          <w:szCs w:val="13"/>
          <w:color w:val="auto"/>
        </w:rPr>
        <w:t>As a result of the foregoing, our gross profit decreased by 66.1% from RMB106.2 million in 2020 to RMB36.0 million (US$5.6 million) in 2021. However, our gross profit margin increased from 59.0% in 2020 to 63.4% in 2021 primarily due to a favorable revenue mix with a contribution from a command-and-control system delivered in 2021.</w:t>
      </w:r>
    </w:p>
    <w:p>
      <w:pPr>
        <w:spacing w:after="0" w:line="20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Operating expenses</w:t>
      </w:r>
    </w:p>
    <w:p>
      <w:pPr>
        <w:spacing w:after="0" w:line="88" w:lineRule="exact"/>
        <w:rPr>
          <w:sz w:val="20"/>
          <w:szCs w:val="20"/>
          <w:color w:val="auto"/>
        </w:rPr>
      </w:pPr>
    </w:p>
    <w:p>
      <w:pPr>
        <w:ind w:left="1680" w:right="559" w:firstLine="317"/>
        <w:spacing w:after="0" w:line="259" w:lineRule="auto"/>
        <w:rPr>
          <w:sz w:val="20"/>
          <w:szCs w:val="20"/>
          <w:color w:val="auto"/>
        </w:rPr>
      </w:pPr>
      <w:r>
        <w:rPr>
          <w:rFonts w:ascii="Times New Roman" w:cs="Times New Roman" w:eastAsia="Times New Roman" w:hAnsi="Times New Roman"/>
          <w:sz w:val="13"/>
          <w:szCs w:val="13"/>
          <w:color w:val="auto"/>
        </w:rPr>
        <w:t>Our operating expenses increased by 80.2% from RMB204.1 million in 2020 to RMB367.8 million (US$57.7 million) in 2021, primarily due to the increase of RMB66.3 million (US$10.4 million) in share-based compensation expenses and increase of RMB43.2 million (US$6.8 million) in allowance for doubtful accounts charged to operating expenses. The increase primarily resulted from the new grants of restricted share units as approved by our board of directors in January 2021.</w:t>
      </w:r>
    </w:p>
    <w:p>
      <w:pPr>
        <w:spacing w:after="0" w:line="131" w:lineRule="exact"/>
        <w:rPr>
          <w:sz w:val="20"/>
          <w:szCs w:val="20"/>
          <w:color w:val="auto"/>
        </w:rPr>
      </w:pPr>
    </w:p>
    <w:p>
      <w:pPr>
        <w:ind w:left="1680" w:right="719" w:firstLine="317"/>
        <w:spacing w:after="0" w:line="282" w:lineRule="auto"/>
        <w:rPr>
          <w:sz w:val="20"/>
          <w:szCs w:val="20"/>
          <w:color w:val="auto"/>
        </w:rPr>
      </w:pPr>
      <w:r>
        <w:rPr>
          <w:rFonts w:ascii="Times New Roman" w:cs="Times New Roman" w:eastAsia="Times New Roman" w:hAnsi="Times New Roman"/>
          <w:sz w:val="13"/>
          <w:szCs w:val="13"/>
          <w:i w:val="1"/>
          <w:iCs w:val="1"/>
          <w:color w:val="auto"/>
        </w:rPr>
        <w:t xml:space="preserve">Sales and marketing expenses. </w:t>
      </w:r>
      <w:r>
        <w:rPr>
          <w:rFonts w:ascii="Times New Roman" w:cs="Times New Roman" w:eastAsia="Times New Roman" w:hAnsi="Times New Roman"/>
          <w:sz w:val="13"/>
          <w:szCs w:val="13"/>
          <w:color w:val="auto"/>
        </w:rPr>
        <w:t>Sales and marketing expenses increased by 16.3% from RMB37.2 million in 2020 to RMB43.2 million (US$6.8</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million) in 2021, primarily due to an increase in share-based compensation expenses.</w:t>
      </w:r>
    </w:p>
    <w:p>
      <w:pPr>
        <w:spacing w:after="0" w:line="11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i w:val="1"/>
          <w:iCs w:val="1"/>
          <w:color w:val="auto"/>
        </w:rPr>
        <w:t>General and administrative expenses</w:t>
      </w:r>
      <w:r>
        <w:rPr>
          <w:rFonts w:ascii="Times New Roman" w:cs="Times New Roman" w:eastAsia="Times New Roman" w:hAnsi="Times New Roman"/>
          <w:sz w:val="13"/>
          <w:szCs w:val="13"/>
          <w:color w:val="auto"/>
        </w:rPr>
        <w:t>. General and administrative expenses increased by 204.1% from RMB61.6 million in 2020 to</w:t>
      </w:r>
    </w:p>
    <w:p>
      <w:pPr>
        <w:spacing w:after="0" w:line="2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RMB187.4 million (US$29.4 million) in 2021. The increase was mainly due to an increase in share-based compensation expenses, one-time additional</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expenses related to extension of annual report filing and the additional provisions for accounts receivable in light of the impacts from the continuous</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COVID-19 epidemic and control measures in China.</w:t>
      </w:r>
    </w:p>
    <w:p>
      <w:pPr>
        <w:spacing w:after="0" w:line="14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i w:val="1"/>
          <w:iCs w:val="1"/>
          <w:color w:val="auto"/>
        </w:rPr>
        <w:t>Research and development expenses</w:t>
      </w:r>
      <w:r>
        <w:rPr>
          <w:rFonts w:ascii="Times New Roman" w:cs="Times New Roman" w:eastAsia="Times New Roman" w:hAnsi="Times New Roman"/>
          <w:sz w:val="13"/>
          <w:szCs w:val="13"/>
          <w:color w:val="auto"/>
        </w:rPr>
        <w:t>. Research and development expenses increased by 30.3% from RMB105.3 million in 2020 to</w:t>
      </w:r>
    </w:p>
    <w:p>
      <w:pPr>
        <w:spacing w:after="0" w:line="2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RMB137.2 million (US$21.5 million) in 2021. The increase was mainly due to continuously growing R&amp;D expenditure for the development of AAV</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models, including the EHang 216 series, the VT-30 and new models, and their related operating systems with enhanced functionalities. R&amp;D expenses</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were also impacted by an increase of the R&amp;D team and related salary and benefit expenses that reflect our commitment to strengthening its product</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development and certification efforts in order to drive future sales growth and commercial operations.</w:t>
      </w:r>
    </w:p>
    <w:p>
      <w:pPr>
        <w:spacing w:after="0" w:line="22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Other operating income</w:t>
      </w:r>
    </w:p>
    <w:p>
      <w:pPr>
        <w:spacing w:after="0" w:line="88" w:lineRule="exact"/>
        <w:rPr>
          <w:sz w:val="20"/>
          <w:szCs w:val="20"/>
          <w:color w:val="auto"/>
        </w:rPr>
      </w:pPr>
    </w:p>
    <w:p>
      <w:pPr>
        <w:ind w:left="1680" w:right="799" w:firstLine="317"/>
        <w:spacing w:after="0" w:line="278" w:lineRule="auto"/>
        <w:rPr>
          <w:sz w:val="20"/>
          <w:szCs w:val="20"/>
          <w:color w:val="auto"/>
        </w:rPr>
      </w:pPr>
      <w:r>
        <w:rPr>
          <w:rFonts w:ascii="Times New Roman" w:cs="Times New Roman" w:eastAsia="Times New Roman" w:hAnsi="Times New Roman"/>
          <w:sz w:val="13"/>
          <w:szCs w:val="13"/>
          <w:color w:val="auto"/>
        </w:rPr>
        <w:t>Other operating income increased by 70.3% from RMB6.6 million in 2020 to RMB11.2 million (US$1.8 million) in 2021, primarily due to an increase in government subsidies.</w:t>
      </w:r>
    </w:p>
    <w:p>
      <w:pPr>
        <w:spacing w:after="0" w:line="19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Interest and investment income</w:t>
      </w:r>
    </w:p>
    <w:p>
      <w:pPr>
        <w:spacing w:after="0" w:line="88" w:lineRule="exact"/>
        <w:rPr>
          <w:sz w:val="20"/>
          <w:szCs w:val="20"/>
          <w:color w:val="auto"/>
        </w:rPr>
      </w:pPr>
    </w:p>
    <w:p>
      <w:pPr>
        <w:ind w:left="1680" w:right="939" w:firstLine="317"/>
        <w:spacing w:after="0" w:line="278" w:lineRule="auto"/>
        <w:rPr>
          <w:sz w:val="20"/>
          <w:szCs w:val="20"/>
          <w:color w:val="auto"/>
        </w:rPr>
      </w:pPr>
      <w:r>
        <w:rPr>
          <w:rFonts w:ascii="Times New Roman" w:cs="Times New Roman" w:eastAsia="Times New Roman" w:hAnsi="Times New Roman"/>
          <w:sz w:val="13"/>
          <w:szCs w:val="13"/>
          <w:color w:val="auto"/>
        </w:rPr>
        <w:t>We recorded interest and investment income of RMB5.1 million (US$0.8 million) in 2021 and 3.8 million in 2020, both of which consisted primarily of interest earned from our cash and cash equivalents, short-term investments and long-term loans receivable.</w:t>
      </w:r>
    </w:p>
    <w:p>
      <w:pPr>
        <w:spacing w:after="0" w:line="19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Interest expenses</w:t>
      </w:r>
    </w:p>
    <w:p>
      <w:pPr>
        <w:spacing w:after="0" w:line="88" w:lineRule="exact"/>
        <w:rPr>
          <w:sz w:val="20"/>
          <w:szCs w:val="20"/>
          <w:color w:val="auto"/>
        </w:rPr>
      </w:pPr>
    </w:p>
    <w:p>
      <w:pPr>
        <w:ind w:left="1680" w:right="819" w:firstLine="317"/>
        <w:spacing w:after="0" w:line="278" w:lineRule="auto"/>
        <w:rPr>
          <w:sz w:val="20"/>
          <w:szCs w:val="20"/>
          <w:color w:val="auto"/>
        </w:rPr>
      </w:pPr>
      <w:r>
        <w:rPr>
          <w:rFonts w:ascii="Times New Roman" w:cs="Times New Roman" w:eastAsia="Times New Roman" w:hAnsi="Times New Roman"/>
          <w:sz w:val="13"/>
          <w:szCs w:val="13"/>
          <w:color w:val="auto"/>
        </w:rPr>
        <w:t>We recorded interest expenses of RMB1.8 million (US$0.3 million) in 2021 and RMB2.3 million in 2020, both of which were related to bank loans and loans from third parties.</w:t>
      </w:r>
    </w:p>
    <w:p>
      <w:pPr>
        <w:spacing w:after="0" w:line="19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Other income</w:t>
      </w:r>
    </w:p>
    <w:p>
      <w:pPr>
        <w:spacing w:after="0" w:line="8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Other income was RMB6.1 million (US$1.0 million) in 2021 and RMB1.2 million in 2020.</w:t>
      </w:r>
    </w:p>
    <w:p>
      <w:pPr>
        <w:spacing w:after="0" w:line="11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117</w:t>
      </w:r>
    </w:p>
    <w:p>
      <w:pPr>
        <w:sectPr>
          <w:pgSz w:w="11900" w:h="16838" w:orient="portrait"/>
          <w:cols w:equalWidth="0" w:num="1">
            <w:col w:w="10159"/>
          </w:cols>
          <w:pgMar w:left="300" w:top="388" w:right="1440"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1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Other expense</w:t>
      </w:r>
    </w:p>
    <w:p>
      <w:pPr>
        <w:spacing w:after="0" w:line="88" w:lineRule="exact"/>
        <w:rPr>
          <w:sz w:val="20"/>
          <w:szCs w:val="20"/>
          <w:color w:val="auto"/>
        </w:rPr>
      </w:pPr>
    </w:p>
    <w:p>
      <w:pPr>
        <w:ind w:left="1680" w:right="679" w:firstLine="317"/>
        <w:spacing w:after="0" w:line="264" w:lineRule="auto"/>
        <w:rPr>
          <w:sz w:val="20"/>
          <w:szCs w:val="20"/>
          <w:color w:val="auto"/>
        </w:rPr>
      </w:pPr>
      <w:r>
        <w:rPr>
          <w:rFonts w:ascii="Times New Roman" w:cs="Times New Roman" w:eastAsia="Times New Roman" w:hAnsi="Times New Roman"/>
          <w:sz w:val="13"/>
          <w:szCs w:val="13"/>
          <w:color w:val="auto"/>
        </w:rPr>
        <w:t>Other expenses decreased from RMB3.1 million in 2020 to RMB1.5 million (US$0.2 million) in 2021. Other expenses in 2020 were mainly attributable to donations of medical supplies to COVID-19 impacted countries and allowance for doubtful non-operating receivables, while there were no such transactions in 2021.</w:t>
      </w:r>
    </w:p>
    <w:p>
      <w:pPr>
        <w:spacing w:after="0" w:line="20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Income tax expenses</w:t>
      </w:r>
    </w:p>
    <w:p>
      <w:pPr>
        <w:spacing w:after="0" w:line="88" w:lineRule="exact"/>
        <w:rPr>
          <w:sz w:val="20"/>
          <w:szCs w:val="20"/>
          <w:color w:val="auto"/>
        </w:rPr>
      </w:pPr>
    </w:p>
    <w:p>
      <w:pPr>
        <w:ind w:left="1680" w:right="799" w:firstLine="317"/>
        <w:spacing w:after="0" w:line="278" w:lineRule="auto"/>
        <w:rPr>
          <w:sz w:val="20"/>
          <w:szCs w:val="20"/>
          <w:color w:val="auto"/>
        </w:rPr>
      </w:pPr>
      <w:r>
        <w:rPr>
          <w:rFonts w:ascii="Times New Roman" w:cs="Times New Roman" w:eastAsia="Times New Roman" w:hAnsi="Times New Roman"/>
          <w:sz w:val="13"/>
          <w:szCs w:val="13"/>
          <w:color w:val="auto"/>
        </w:rPr>
        <w:t>Our income tax expenses decreased from RMB0.2 million in 2020 to RMB0.1 million (US$0.02 million) in 2021. We did not have significant income tax expenses because most of our subsidiaries and consolidated affiliated entities were loss making in 2020 and 2021.</w:t>
      </w:r>
    </w:p>
    <w:p>
      <w:pPr>
        <w:spacing w:after="0" w:line="19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Net loss</w:t>
      </w:r>
    </w:p>
    <w:p>
      <w:pPr>
        <w:spacing w:after="0" w:line="8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As a result of the foregoing, our net loss increased by 241.0% from 92.0 million in 2020 to RMB313.9 million (US$49.3 million) in 2021.</w:t>
      </w:r>
    </w:p>
    <w:p>
      <w:pPr>
        <w:spacing w:after="0" w:line="23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Year ended December 31, 2020 compared with year ended December 31, 2019</w:t>
      </w:r>
    </w:p>
    <w:p>
      <w:pPr>
        <w:spacing w:after="0" w:line="8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Revenues</w:t>
      </w:r>
    </w:p>
    <w:p>
      <w:pPr>
        <w:spacing w:after="0" w:line="88" w:lineRule="exact"/>
        <w:rPr>
          <w:sz w:val="20"/>
          <w:szCs w:val="20"/>
          <w:color w:val="auto"/>
        </w:rPr>
      </w:pPr>
    </w:p>
    <w:p>
      <w:pPr>
        <w:ind w:left="1680" w:right="999" w:firstLine="317"/>
        <w:spacing w:after="0" w:line="278" w:lineRule="auto"/>
        <w:rPr>
          <w:sz w:val="20"/>
          <w:szCs w:val="20"/>
          <w:color w:val="auto"/>
        </w:rPr>
      </w:pPr>
      <w:r>
        <w:rPr>
          <w:rFonts w:ascii="Times New Roman" w:cs="Times New Roman" w:eastAsia="Times New Roman" w:hAnsi="Times New Roman"/>
          <w:sz w:val="13"/>
          <w:szCs w:val="13"/>
          <w:color w:val="auto"/>
        </w:rPr>
        <w:t>Our total revenues increased by 47.8% from RMB121.8 million in 2019 to RMB180.1 million in 2020, primarily driven by the increase in revenues generated from air mobility solutions and aerial media solutions.</w:t>
      </w:r>
    </w:p>
    <w:p>
      <w:pPr>
        <w:spacing w:after="0" w:line="121" w:lineRule="exact"/>
        <w:rPr>
          <w:sz w:val="20"/>
          <w:szCs w:val="20"/>
          <w:color w:val="auto"/>
        </w:rPr>
      </w:pPr>
    </w:p>
    <w:p>
      <w:pPr>
        <w:ind w:left="1680" w:right="599" w:firstLine="317"/>
        <w:spacing w:after="0" w:line="264" w:lineRule="auto"/>
        <w:rPr>
          <w:sz w:val="20"/>
          <w:szCs w:val="20"/>
          <w:color w:val="auto"/>
        </w:rPr>
      </w:pPr>
      <w:r>
        <w:rPr>
          <w:rFonts w:ascii="Times New Roman" w:cs="Times New Roman" w:eastAsia="Times New Roman" w:hAnsi="Times New Roman"/>
          <w:sz w:val="13"/>
          <w:szCs w:val="13"/>
          <w:color w:val="auto"/>
        </w:rPr>
        <w:t>Revenues from air mobility solutions increased by 23.3% from RMB85.9 million in 2019 to RMB106.0 million (US$16.2 million) in 2020, as we continued to commercialize our passenger-grade AAVs and air mobility solutions. We sold 70 passenger-grade AAVs in 2020, compared with 61 in 2019.</w:t>
      </w:r>
    </w:p>
    <w:p>
      <w:pPr>
        <w:spacing w:after="0" w:line="129" w:lineRule="exact"/>
        <w:rPr>
          <w:sz w:val="20"/>
          <w:szCs w:val="20"/>
          <w:color w:val="auto"/>
        </w:rPr>
      </w:pPr>
    </w:p>
    <w:p>
      <w:pPr>
        <w:ind w:left="1680" w:right="719" w:firstLine="317"/>
        <w:spacing w:after="0" w:line="264" w:lineRule="auto"/>
        <w:rPr>
          <w:sz w:val="20"/>
          <w:szCs w:val="20"/>
          <w:color w:val="auto"/>
        </w:rPr>
      </w:pPr>
      <w:r>
        <w:rPr>
          <w:rFonts w:ascii="Times New Roman" w:cs="Times New Roman" w:eastAsia="Times New Roman" w:hAnsi="Times New Roman"/>
          <w:sz w:val="13"/>
          <w:szCs w:val="13"/>
          <w:color w:val="auto"/>
        </w:rPr>
        <w:t>Revenues from smart city management solutions increased by 86.5% from RMB4.4 million in 2019 to RMB8.3 million in 2020. As we provide smart city management solutions on a project basis with high individual transaction values, revenues from smart city management solutions may be more concentrated in certain years or periods, and therefore are subject to greater period-to-period fluctuations.</w:t>
      </w:r>
    </w:p>
    <w:p>
      <w:pPr>
        <w:spacing w:after="0" w:line="129" w:lineRule="exact"/>
        <w:rPr>
          <w:sz w:val="20"/>
          <w:szCs w:val="20"/>
          <w:color w:val="auto"/>
        </w:rPr>
      </w:pPr>
    </w:p>
    <w:p>
      <w:pPr>
        <w:ind w:left="1680" w:right="779" w:firstLine="317"/>
        <w:spacing w:after="0" w:line="264" w:lineRule="auto"/>
        <w:rPr>
          <w:sz w:val="20"/>
          <w:szCs w:val="20"/>
          <w:color w:val="auto"/>
        </w:rPr>
      </w:pPr>
      <w:r>
        <w:rPr>
          <w:rFonts w:ascii="Times New Roman" w:cs="Times New Roman" w:eastAsia="Times New Roman" w:hAnsi="Times New Roman"/>
          <w:sz w:val="13"/>
          <w:szCs w:val="13"/>
          <w:color w:val="auto"/>
        </w:rPr>
        <w:t>Revenues from aerial media solutions increased by 113.5% from RMB30.7 million in 2019 to RMB65.7 million in 2020, primarily due to transformation of our performance service-focused business model to a solution-oriented one, in which we sell aerial media solution packages to our customers.</w:t>
      </w:r>
    </w:p>
    <w:p>
      <w:pPr>
        <w:spacing w:after="0" w:line="20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Costs of revenues</w:t>
      </w:r>
    </w:p>
    <w:p>
      <w:pPr>
        <w:spacing w:after="0" w:line="88" w:lineRule="exact"/>
        <w:rPr>
          <w:sz w:val="20"/>
          <w:szCs w:val="20"/>
          <w:color w:val="auto"/>
        </w:rPr>
      </w:pPr>
    </w:p>
    <w:p>
      <w:pPr>
        <w:ind w:left="1680" w:right="619" w:firstLine="317"/>
        <w:spacing w:after="0" w:line="278" w:lineRule="auto"/>
        <w:rPr>
          <w:sz w:val="20"/>
          <w:szCs w:val="20"/>
          <w:color w:val="auto"/>
        </w:rPr>
      </w:pPr>
      <w:r>
        <w:rPr>
          <w:rFonts w:ascii="Times New Roman" w:cs="Times New Roman" w:eastAsia="Times New Roman" w:hAnsi="Times New Roman"/>
          <w:sz w:val="13"/>
          <w:szCs w:val="13"/>
          <w:color w:val="auto"/>
        </w:rPr>
        <w:t>Our costs of revenues increased by 46.1% from RMB50.6 million in 2019 to RMB73.9 million in 2020, which resulted from and was in line with the growth of our total revenues.</w:t>
      </w:r>
    </w:p>
    <w:p>
      <w:pPr>
        <w:spacing w:after="0" w:line="19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Gross profit and gross profit margin</w:t>
      </w:r>
    </w:p>
    <w:p>
      <w:pPr>
        <w:spacing w:after="0" w:line="88" w:lineRule="exact"/>
        <w:rPr>
          <w:sz w:val="20"/>
          <w:szCs w:val="20"/>
          <w:color w:val="auto"/>
        </w:rPr>
      </w:pPr>
    </w:p>
    <w:p>
      <w:pPr>
        <w:ind w:left="1680" w:right="599" w:firstLine="317"/>
        <w:spacing w:after="0" w:line="296" w:lineRule="auto"/>
        <w:rPr>
          <w:sz w:val="20"/>
          <w:szCs w:val="20"/>
          <w:color w:val="auto"/>
        </w:rPr>
      </w:pPr>
      <w:r>
        <w:rPr>
          <w:rFonts w:ascii="Times New Roman" w:cs="Times New Roman" w:eastAsia="Times New Roman" w:hAnsi="Times New Roman"/>
          <w:sz w:val="12"/>
          <w:szCs w:val="12"/>
          <w:color w:val="auto"/>
        </w:rPr>
        <w:t>As a result of the foregoing, our gross profit increased by 49.1% from RMB71.2 million in 2019 to RMB106.2 million in 2020. Our gross profit margin increased from 58.5% in 2019 to 59.0% in 2020 primarily due to the growth of our air mobility solutions business, which had a relatively higher gross profit margin, and a favorable revenue mix with a greater proportion of revenues from sales of higher margin models of EHang 216 AAVs.</w:t>
      </w:r>
    </w:p>
    <w:p>
      <w:pPr>
        <w:spacing w:after="0" w:line="18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Operating expenses</w:t>
      </w:r>
    </w:p>
    <w:p>
      <w:pPr>
        <w:spacing w:after="0" w:line="88" w:lineRule="exact"/>
        <w:rPr>
          <w:sz w:val="20"/>
          <w:szCs w:val="20"/>
          <w:color w:val="auto"/>
        </w:rPr>
      </w:pPr>
    </w:p>
    <w:p>
      <w:pPr>
        <w:ind w:left="1680" w:right="579" w:firstLine="317"/>
        <w:spacing w:after="0" w:line="264" w:lineRule="auto"/>
        <w:rPr>
          <w:sz w:val="20"/>
          <w:szCs w:val="20"/>
          <w:color w:val="auto"/>
        </w:rPr>
      </w:pPr>
      <w:r>
        <w:rPr>
          <w:rFonts w:ascii="Times New Roman" w:cs="Times New Roman" w:eastAsia="Times New Roman" w:hAnsi="Times New Roman"/>
          <w:sz w:val="13"/>
          <w:szCs w:val="13"/>
          <w:color w:val="auto"/>
        </w:rPr>
        <w:t>Our operating expenses increased by 68.7% from RMB121.0 million in 2019 to RMB204.1 million in 2020, primarily due to the increase of RMB38.0 million in share-based compensation expenses charged to operating expenses. The increase primarily resulted from the acceleration of vesting of certain restricted share units as approved by our board of directors in December 2020.</w:t>
      </w:r>
    </w:p>
    <w:p>
      <w:pPr>
        <w:spacing w:after="0" w:line="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118</w:t>
      </w:r>
    </w:p>
    <w:p>
      <w:pPr>
        <w:sectPr>
          <w:pgSz w:w="11900" w:h="16838" w:orient="portrait"/>
          <w:cols w:equalWidth="0" w:num="1">
            <w:col w:w="10159"/>
          </w:cols>
          <w:pgMar w:left="300" w:top="388" w:right="1440"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ind w:left="1680" w:right="739" w:firstLine="317"/>
        <w:spacing w:after="0" w:line="282" w:lineRule="auto"/>
        <w:rPr>
          <w:sz w:val="20"/>
          <w:szCs w:val="20"/>
          <w:color w:val="auto"/>
        </w:rPr>
      </w:pPr>
      <w:r>
        <w:rPr>
          <w:rFonts w:ascii="Times New Roman" w:cs="Times New Roman" w:eastAsia="Times New Roman" w:hAnsi="Times New Roman"/>
          <w:sz w:val="13"/>
          <w:szCs w:val="13"/>
          <w:i w:val="1"/>
          <w:iCs w:val="1"/>
          <w:color w:val="auto"/>
        </w:rPr>
        <w:t xml:space="preserve">Sales and marketing expenses. </w:t>
      </w:r>
      <w:r>
        <w:rPr>
          <w:rFonts w:ascii="Times New Roman" w:cs="Times New Roman" w:eastAsia="Times New Roman" w:hAnsi="Times New Roman"/>
          <w:sz w:val="13"/>
          <w:szCs w:val="13"/>
          <w:color w:val="auto"/>
        </w:rPr>
        <w:t>Sales and marketing expenses increased by 38.5% from RMB26.9 million in 2019 to RMB37.2 million in 2020,</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primarily due to an increase of RMB10.1 million in share-based compensation expenses.</w:t>
      </w:r>
    </w:p>
    <w:p>
      <w:pPr>
        <w:spacing w:after="0" w:line="11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i w:val="1"/>
          <w:iCs w:val="1"/>
          <w:color w:val="auto"/>
        </w:rPr>
        <w:t>General and administrative expenses</w:t>
      </w:r>
      <w:r>
        <w:rPr>
          <w:rFonts w:ascii="Times New Roman" w:cs="Times New Roman" w:eastAsia="Times New Roman" w:hAnsi="Times New Roman"/>
          <w:sz w:val="13"/>
          <w:szCs w:val="13"/>
          <w:color w:val="auto"/>
        </w:rPr>
        <w:t>. General and administrative expenses increased by 66.8% from RMB36.9 million in 2019 to</w:t>
      </w:r>
    </w:p>
    <w:p>
      <w:pPr>
        <w:spacing w:after="0" w:line="2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RMB61.6 million in 2020. The increase was mainly due to additional expenses for being a public company, allowance for doubtful account related to</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COVID-19 impacts, and an increase of RMB5.9 million in share-based compensation expenses.</w:t>
      </w:r>
    </w:p>
    <w:p>
      <w:pPr>
        <w:spacing w:after="0" w:line="14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i w:val="1"/>
          <w:iCs w:val="1"/>
          <w:color w:val="auto"/>
        </w:rPr>
        <w:t>Research and development expenses</w:t>
      </w:r>
      <w:r>
        <w:rPr>
          <w:rFonts w:ascii="Times New Roman" w:cs="Times New Roman" w:eastAsia="Times New Roman" w:hAnsi="Times New Roman"/>
          <w:sz w:val="13"/>
          <w:szCs w:val="13"/>
          <w:color w:val="auto"/>
        </w:rPr>
        <w:t>. Research and development expenses increased by 84.1% from RMB57.2 million in 2019 to</w:t>
      </w:r>
    </w:p>
    <w:p>
      <w:pPr>
        <w:spacing w:after="0" w:line="20" w:lineRule="exact"/>
        <w:rPr>
          <w:sz w:val="20"/>
          <w:szCs w:val="20"/>
          <w:color w:val="auto"/>
        </w:rPr>
      </w:pPr>
    </w:p>
    <w:p>
      <w:pPr>
        <w:jc w:val="both"/>
        <w:ind w:left="1680" w:right="559"/>
        <w:spacing w:after="0" w:line="254" w:lineRule="auto"/>
        <w:rPr>
          <w:sz w:val="20"/>
          <w:szCs w:val="20"/>
          <w:color w:val="auto"/>
        </w:rPr>
      </w:pPr>
      <w:r>
        <w:rPr>
          <w:rFonts w:ascii="Times New Roman" w:cs="Times New Roman" w:eastAsia="Times New Roman" w:hAnsi="Times New Roman"/>
          <w:sz w:val="13"/>
          <w:szCs w:val="13"/>
          <w:color w:val="auto"/>
        </w:rPr>
        <w:t>RMB105.3 million in 2020. The increase was mainly due to continuously growing expenditure for the development of new AAV models, which covered both passenger-grade and non-passenger-grade AAVs, such as EHang 216F and EHang 216L and the new VT series, and related operating systems with enhanced functionalities. The increase was also driven by an increase of RMB22.0 million in share-based compensation expenses.</w:t>
      </w:r>
    </w:p>
    <w:p>
      <w:pPr>
        <w:spacing w:after="0" w:line="21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Other operating income</w:t>
      </w:r>
    </w:p>
    <w:p>
      <w:pPr>
        <w:spacing w:after="0" w:line="88" w:lineRule="exact"/>
        <w:rPr>
          <w:sz w:val="20"/>
          <w:szCs w:val="20"/>
          <w:color w:val="auto"/>
        </w:rPr>
      </w:pPr>
    </w:p>
    <w:p>
      <w:pPr>
        <w:ind w:left="1680" w:right="1199" w:firstLine="317"/>
        <w:spacing w:after="0" w:line="278" w:lineRule="auto"/>
        <w:rPr>
          <w:sz w:val="20"/>
          <w:szCs w:val="20"/>
          <w:color w:val="auto"/>
        </w:rPr>
      </w:pPr>
      <w:r>
        <w:rPr>
          <w:rFonts w:ascii="Times New Roman" w:cs="Times New Roman" w:eastAsia="Times New Roman" w:hAnsi="Times New Roman"/>
          <w:sz w:val="13"/>
          <w:szCs w:val="13"/>
          <w:color w:val="auto"/>
        </w:rPr>
        <w:t>Other operating income increased by 93.0% from RMB3.4 million in 2019 to RMB6.6 million in 2020, primarily due to an increase in government subsidies.</w:t>
      </w:r>
    </w:p>
    <w:p>
      <w:pPr>
        <w:spacing w:after="0" w:line="19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Interest income</w:t>
      </w:r>
    </w:p>
    <w:p>
      <w:pPr>
        <w:spacing w:after="0" w:line="88" w:lineRule="exact"/>
        <w:rPr>
          <w:sz w:val="20"/>
          <w:szCs w:val="20"/>
          <w:color w:val="auto"/>
        </w:rPr>
      </w:pPr>
    </w:p>
    <w:p>
      <w:pPr>
        <w:ind w:left="1680" w:right="659" w:firstLine="317"/>
        <w:spacing w:after="0" w:line="278" w:lineRule="auto"/>
        <w:rPr>
          <w:sz w:val="20"/>
          <w:szCs w:val="20"/>
          <w:color w:val="auto"/>
        </w:rPr>
      </w:pPr>
      <w:r>
        <w:rPr>
          <w:rFonts w:ascii="Times New Roman" w:cs="Times New Roman" w:eastAsia="Times New Roman" w:hAnsi="Times New Roman"/>
          <w:sz w:val="13"/>
          <w:szCs w:val="13"/>
          <w:color w:val="auto"/>
        </w:rPr>
        <w:t>We recorded interest income of RMB3.8 million in 2020 and RMB0.9 million in 2019, both of which consisted primarily of interest earned from our cash and cash equivalents, short-term investments and long-term loans receivable.</w:t>
      </w:r>
    </w:p>
    <w:p>
      <w:pPr>
        <w:spacing w:after="0" w:line="19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Interest expenses</w:t>
      </w:r>
    </w:p>
    <w:p>
      <w:pPr>
        <w:spacing w:after="0" w:line="88" w:lineRule="exact"/>
        <w:rPr>
          <w:sz w:val="20"/>
          <w:szCs w:val="20"/>
          <w:color w:val="auto"/>
        </w:rPr>
      </w:pPr>
    </w:p>
    <w:p>
      <w:pPr>
        <w:ind w:left="1680" w:right="619" w:firstLine="317"/>
        <w:spacing w:after="0" w:line="278" w:lineRule="auto"/>
        <w:rPr>
          <w:sz w:val="20"/>
          <w:szCs w:val="20"/>
          <w:color w:val="auto"/>
        </w:rPr>
      </w:pPr>
      <w:r>
        <w:rPr>
          <w:rFonts w:ascii="Times New Roman" w:cs="Times New Roman" w:eastAsia="Times New Roman" w:hAnsi="Times New Roman"/>
          <w:sz w:val="13"/>
          <w:szCs w:val="13"/>
          <w:color w:val="auto"/>
        </w:rPr>
        <w:t>We recorded interest expenses of RMB2.3 million in 2020 and RMB0.8 million in 2019, both of which were related to bank loans and loans from third parties.</w:t>
      </w:r>
    </w:p>
    <w:p>
      <w:pPr>
        <w:spacing w:after="0" w:line="19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Other income</w:t>
      </w:r>
    </w:p>
    <w:p>
      <w:pPr>
        <w:spacing w:after="0" w:line="8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Other income was RMB1.2 million in 2020 and RMB0.4 million in 2019.</w:t>
      </w:r>
    </w:p>
    <w:p>
      <w:pPr>
        <w:spacing w:after="0" w:line="23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Other expense</w:t>
      </w:r>
    </w:p>
    <w:p>
      <w:pPr>
        <w:spacing w:after="0" w:line="88" w:lineRule="exact"/>
        <w:rPr>
          <w:sz w:val="20"/>
          <w:szCs w:val="20"/>
          <w:color w:val="auto"/>
        </w:rPr>
      </w:pPr>
    </w:p>
    <w:p>
      <w:pPr>
        <w:ind w:left="1680" w:right="539" w:firstLine="317"/>
        <w:spacing w:after="0" w:line="278" w:lineRule="auto"/>
        <w:rPr>
          <w:sz w:val="20"/>
          <w:szCs w:val="20"/>
          <w:color w:val="auto"/>
        </w:rPr>
      </w:pPr>
      <w:r>
        <w:rPr>
          <w:rFonts w:ascii="Times New Roman" w:cs="Times New Roman" w:eastAsia="Times New Roman" w:hAnsi="Times New Roman"/>
          <w:sz w:val="13"/>
          <w:szCs w:val="13"/>
          <w:color w:val="auto"/>
        </w:rPr>
        <w:t>Other expenses increased from RMB1.4 million in 2019 to RMB3.1 million in 2020. Other expenses in 2020 were mainly attributable to donations of medical supplies to COVID-19 impacted countries and allowance for doubtful non-operating receivables.</w:t>
      </w:r>
    </w:p>
    <w:p>
      <w:pPr>
        <w:spacing w:after="0" w:line="19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Income tax expenses</w:t>
      </w:r>
    </w:p>
    <w:p>
      <w:pPr>
        <w:spacing w:after="0" w:line="88" w:lineRule="exact"/>
        <w:rPr>
          <w:sz w:val="20"/>
          <w:szCs w:val="20"/>
          <w:color w:val="auto"/>
        </w:rPr>
      </w:pPr>
    </w:p>
    <w:p>
      <w:pPr>
        <w:ind w:left="1680" w:right="679" w:firstLine="317"/>
        <w:spacing w:after="0" w:line="278" w:lineRule="auto"/>
        <w:rPr>
          <w:sz w:val="20"/>
          <w:szCs w:val="20"/>
          <w:color w:val="auto"/>
        </w:rPr>
      </w:pPr>
      <w:r>
        <w:rPr>
          <w:rFonts w:ascii="Times New Roman" w:cs="Times New Roman" w:eastAsia="Times New Roman" w:hAnsi="Times New Roman"/>
          <w:sz w:val="13"/>
          <w:szCs w:val="13"/>
          <w:color w:val="auto"/>
        </w:rPr>
        <w:t>Our income tax expenses decreased from RMB0.8 million in 2019 to RMB0.2 million in 2020. We did not have significant income tax expenses because most of our subsidiaries and consolidated affiliated entities were loss making in 2019 and 2020.</w:t>
      </w:r>
    </w:p>
    <w:p>
      <w:pPr>
        <w:spacing w:after="0" w:line="19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Net loss</w:t>
      </w:r>
    </w:p>
    <w:p>
      <w:pPr>
        <w:spacing w:after="0" w:line="8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As a result of the foregoing, our net loss increased by 91.8% from RMB48.0 million in 2019 to RMB92.0 million in 2020.</w:t>
      </w:r>
    </w:p>
    <w:p>
      <w:pPr>
        <w:spacing w:after="0" w:line="11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119</w:t>
      </w:r>
    </w:p>
    <w:p>
      <w:pPr>
        <w:sectPr>
          <w:pgSz w:w="11900" w:h="16838" w:orient="portrait"/>
          <w:cols w:equalWidth="0" w:num="1">
            <w:col w:w="10159"/>
          </w:cols>
          <w:pgMar w:left="300" w:top="388" w:right="1440"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 xml:space="preserve">B. </w:t>
      </w:r>
      <w:r>
        <w:rPr>
          <w:rFonts w:ascii="Times New Roman" w:cs="Times New Roman" w:eastAsia="Times New Roman" w:hAnsi="Times New Roman"/>
          <w:sz w:val="13"/>
          <w:szCs w:val="13"/>
          <w:b w:val="1"/>
          <w:bCs w:val="1"/>
          <w:u w:val="single" w:color="auto"/>
          <w:color w:val="auto"/>
        </w:rPr>
        <w:t>Liquidity and Capital Resources</w:t>
      </w:r>
      <w:r>
        <w:rPr>
          <w:rFonts w:ascii="Times New Roman" w:cs="Times New Roman" w:eastAsia="Times New Roman" w:hAnsi="Times New Roman"/>
          <w:sz w:val="13"/>
          <w:szCs w:val="13"/>
          <w:b w:val="1"/>
          <w:bCs w:val="1"/>
          <w:color w:val="auto"/>
        </w:rPr>
        <w:t>.</w:t>
      </w:r>
    </w:p>
    <w:p>
      <w:pPr>
        <w:spacing w:after="0" w:line="86" w:lineRule="exact"/>
        <w:rPr>
          <w:sz w:val="20"/>
          <w:szCs w:val="20"/>
          <w:color w:val="auto"/>
        </w:rPr>
      </w:pPr>
    </w:p>
    <w:p>
      <w:pPr>
        <w:ind w:left="1680" w:right="559" w:firstLine="317"/>
        <w:spacing w:after="0" w:line="255" w:lineRule="auto"/>
        <w:rPr>
          <w:sz w:val="20"/>
          <w:szCs w:val="20"/>
          <w:color w:val="auto"/>
        </w:rPr>
      </w:pPr>
      <w:r>
        <w:rPr>
          <w:rFonts w:ascii="Times New Roman" w:cs="Times New Roman" w:eastAsia="Times New Roman" w:hAnsi="Times New Roman"/>
          <w:sz w:val="13"/>
          <w:szCs w:val="13"/>
          <w:color w:val="auto"/>
        </w:rPr>
        <w:t>We had net cash used in operating activities of RMB55.5 million, RMB151.7 million and RMB121.6 million (US$19.1 million) in 2019, 2020 and 2021, respectively. Our primary sources of liquidity have been proceeds from issuance of equity securities in our initial public offering and private placements, customer advances, short-term and long-term bank loans. As of December 31, 2021, we had RMB312.0 million (US$49.0 million) in cash and cash equivalents and short-term investments, of which 8.5% were held in Renminbi and the remainder was held in U.S. dollars and other currencies. Our cash and cash equivalents consist primarily of cash on hand and highly liquid investments which are unrestricted as to withdrawal or use, and which have original maturities of three months or less.</w:t>
      </w:r>
    </w:p>
    <w:p>
      <w:pPr>
        <w:spacing w:after="0" w:line="136" w:lineRule="exact"/>
        <w:rPr>
          <w:sz w:val="20"/>
          <w:szCs w:val="20"/>
          <w:color w:val="auto"/>
        </w:rPr>
      </w:pPr>
    </w:p>
    <w:p>
      <w:pPr>
        <w:ind w:left="1680" w:right="559" w:firstLine="317"/>
        <w:spacing w:after="0" w:line="274" w:lineRule="auto"/>
        <w:rPr>
          <w:sz w:val="20"/>
          <w:szCs w:val="20"/>
          <w:color w:val="auto"/>
        </w:rPr>
      </w:pPr>
      <w:r>
        <w:rPr>
          <w:rFonts w:ascii="Times New Roman" w:cs="Times New Roman" w:eastAsia="Times New Roman" w:hAnsi="Times New Roman"/>
          <w:sz w:val="12"/>
          <w:szCs w:val="12"/>
          <w:color w:val="auto"/>
        </w:rPr>
        <w:t>On January 29, 2021, we completed the private placement for a new issuance of our Class A ordinary shares with a total cash consideration of US$40 million. We believe that our current cash and cash equivalents and our anticipated cash flows from operations will be sufficient to meet our anticipated working capital requirements and material cash requirements for at least the next 12 months. However, we may need additional cash resources in the future if we experience changes in business conditions or other developments, or if we pursue opportunities for investment, acquisition, capital expenditure or similar actions. If we determine that our cash requirements exceed the amount of cash we have on hand, we may seek to issue equity or equity linked securities or obtain debt financing. The issuance and sale of additional equity would result in further dilution to our shareholders. The incurrence of indebtedness would result in increased fixed obligations and could result in covenants that would restrict our operations. We cannot assure you that financing will be available in amounts or on terms acceptable to us, if at all. In utilizing the proceeds we received from our initial public offering and private placements, we may make additional capital contributions to our PRC subsidiaries, establish new PRC subsidiaries and make capital contributions to these new PRC subsidiaries, make loans to our PRC subsidiaries, or acquire offshore entities with operations in China in offshore transactions. However, most of these uses are subject to PRC regulations. See “Item 3. Key Information—D. Risk Factors—Risks Relating to Doing Business in China—PRC regulation of loans to and direct investment in PRC entities by offshore holding companies and governmental control of currency conversion may delay or prevent us from using the proceeds of our offshore offerings to make loans to or make additional capital contributions to our PRC subsidiaries, the VIE and its subsidiaries, which could materially and adversely affect our liquidity and our ability to fund and expand our business.” and “Item 14. Material Modifications to the Rights of Security Holders and Use of Proceeds—Use of Proceeds.”</w:t>
      </w:r>
    </w:p>
    <w:p>
      <w:pPr>
        <w:spacing w:after="0" w:line="284" w:lineRule="exact"/>
        <w:rPr>
          <w:sz w:val="20"/>
          <w:szCs w:val="20"/>
          <w:color w:val="auto"/>
        </w:rPr>
      </w:pPr>
    </w:p>
    <w:p>
      <w:pPr>
        <w:ind w:left="1680" w:right="559" w:firstLine="317"/>
        <w:spacing w:after="0" w:line="253" w:lineRule="auto"/>
        <w:rPr>
          <w:sz w:val="20"/>
          <w:szCs w:val="20"/>
          <w:color w:val="auto"/>
        </w:rPr>
      </w:pPr>
      <w:r>
        <w:rPr>
          <w:rFonts w:ascii="Times New Roman" w:cs="Times New Roman" w:eastAsia="Times New Roman" w:hAnsi="Times New Roman"/>
          <w:sz w:val="13"/>
          <w:szCs w:val="13"/>
          <w:color w:val="auto"/>
        </w:rPr>
        <w:t>A majority of our revenues have been, and we expect they are likely to continue to be, in the form of Renminbi. Under existing PRC foreign exchange regulations, payments of current account items, including profit distributions, interest payments and trade and service-related foreign exchange transactions, can be made in foreign currencies without prior SAFE approval as long as certain routine procedural requirements are fulfilled. Therefore, our PRC subsidiaries are allowed to pay dividends in foreign currencies to us without prior SAFE approval by following certain routine procedural requirements. However, current PRC regulations permit our PRC subsidiaries to pay dividends to us only out of its accumulated profits, if any, determined in accordance with Chinese accounting standards and regulations. Our PRC subsidiaries are required to set aside at least 10% of its after-tax profits after making up previous years’ accumulated losses each year, if any, to fund certain reserve funds until the total amount set aside reaches 50% of its registered capital. These reserves are not distributable as cash dividends. Historically, our PRC subsidiaries have not paid dividends to us, and it will not be able to pay dividends until it generates accumulated profits. Furthermore, capital account transactions, which include foreign direct investment and loans, must be approved by and/or registered with SAFE, its local branches and certain local banks.</w:t>
      </w:r>
    </w:p>
    <w:p>
      <w:pPr>
        <w:spacing w:after="0" w:line="136" w:lineRule="exact"/>
        <w:rPr>
          <w:sz w:val="20"/>
          <w:szCs w:val="20"/>
          <w:color w:val="auto"/>
        </w:rPr>
      </w:pPr>
    </w:p>
    <w:p>
      <w:pPr>
        <w:ind w:left="1680" w:right="599" w:firstLine="317"/>
        <w:spacing w:after="0" w:line="253" w:lineRule="auto"/>
        <w:rPr>
          <w:sz w:val="20"/>
          <w:szCs w:val="20"/>
          <w:color w:val="auto"/>
        </w:rPr>
      </w:pPr>
      <w:r>
        <w:rPr>
          <w:rFonts w:ascii="Times New Roman" w:cs="Times New Roman" w:eastAsia="Times New Roman" w:hAnsi="Times New Roman"/>
          <w:sz w:val="13"/>
          <w:szCs w:val="13"/>
          <w:color w:val="auto"/>
        </w:rPr>
        <w:t>As a Cayman Islands exempted company and offshore holding company, we are permitted under PRC laws and regulations to provide funding to our PRC subsidiaries only through loans or capital contributions, subject to the approval of government authorities and limits on the amount of capital contributions and loans. This may delay us from using the proceeds from our initial public offering to make loans or capital contributions to our PRC subsidiaries. We expect to invest substantially all of the proceeds from our initial public offering into our PRC operations for research and development, selling and marketing, expanding production capacity and general corporate purposes within the business scopes of our PRC subsidiaries, the VIE and its subsidiaries. See “Item 3. Key Information—D. Risk Factors—Risks Relating to Doing Business in China—PRC regulation of loans to and direct investment in PRC entities by offshore holding companies and governmental control of currency conversion may delay or prevent us from using the proceeds of our offshore offerings to make loans to or make additional capital contributions to our PRC subsidiaries, the VIE and its subsidiaries, which could materially and adversely affect our liquidity and our ability to fund and expand our business.”</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120</w:t>
      </w:r>
    </w:p>
    <w:p>
      <w:pPr>
        <w:sectPr>
          <w:pgSz w:w="11900" w:h="16838" w:orient="portrait"/>
          <w:cols w:equalWidth="0" w:num="1">
            <w:col w:w="10159"/>
          </w:cols>
          <w:pgMar w:left="300" w:top="388" w:right="1440"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following table sets forth a summary of our cash flows for the periods presented:</w:t>
      </w:r>
    </w:p>
    <w:p>
      <w:pPr>
        <w:spacing w:after="0" w:line="177" w:lineRule="exact"/>
        <w:rPr>
          <w:sz w:val="20"/>
          <w:szCs w:val="20"/>
          <w:color w:val="auto"/>
        </w:rPr>
      </w:pPr>
    </w:p>
    <w:tbl>
      <w:tblPr>
        <w:tblLayout w:type="fixed"/>
        <w:tblInd w:w="2000" w:type="dxa"/>
        <w:tblCellMar>
          <w:top w:w="0" w:type="dxa"/>
          <w:left w:w="0" w:type="dxa"/>
          <w:bottom w:w="0" w:type="dxa"/>
          <w:right w:w="0" w:type="dxa"/>
        </w:tblCellMar>
      </w:tblPr>
      <w:tr>
        <w:trPr>
          <w:trHeight w:val="124"/>
        </w:trPr>
        <w:tc>
          <w:tcPr>
            <w:tcW w:w="4860" w:type="dxa"/>
            <w:vAlign w:val="bottom"/>
          </w:tcPr>
          <w:p>
            <w:pPr>
              <w:spacing w:after="0"/>
              <w:rPr>
                <w:sz w:val="10"/>
                <w:szCs w:val="10"/>
                <w:color w:val="auto"/>
              </w:rPr>
            </w:pPr>
          </w:p>
        </w:tc>
        <w:tc>
          <w:tcPr>
            <w:tcW w:w="194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For the Year Ended December 31,</w:t>
            </w:r>
          </w:p>
        </w:tc>
        <w:tc>
          <w:tcPr>
            <w:tcW w:w="4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7"/>
        </w:trPr>
        <w:tc>
          <w:tcPr>
            <w:tcW w:w="4860" w:type="dxa"/>
            <w:vAlign w:val="bottom"/>
          </w:tcPr>
          <w:p>
            <w:pPr>
              <w:spacing w:after="0"/>
              <w:rPr>
                <w:sz w:val="8"/>
                <w:szCs w:val="8"/>
                <w:color w:val="auto"/>
              </w:rPr>
            </w:pPr>
          </w:p>
        </w:tc>
        <w:tc>
          <w:tcPr>
            <w:tcW w:w="460" w:type="dxa"/>
            <w:vAlign w:val="bottom"/>
            <w:tcBorders>
              <w:bottom w:val="single" w:sz="8" w:color="auto"/>
            </w:tcBorders>
          </w:tcPr>
          <w:p>
            <w:pPr>
              <w:jc w:val="right"/>
              <w:ind w:right="79"/>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40" w:type="dxa"/>
            <w:vAlign w:val="bottom"/>
          </w:tcPr>
          <w:p>
            <w:pPr>
              <w:spacing w:after="0"/>
              <w:rPr>
                <w:sz w:val="8"/>
                <w:szCs w:val="8"/>
                <w:color w:val="auto"/>
              </w:rPr>
            </w:pPr>
          </w:p>
        </w:tc>
        <w:tc>
          <w:tcPr>
            <w:tcW w:w="520" w:type="dxa"/>
            <w:vAlign w:val="bottom"/>
            <w:tcBorders>
              <w:bottom w:val="single" w:sz="8" w:color="auto"/>
            </w:tcBorders>
          </w:tcPr>
          <w:p>
            <w:pPr>
              <w:jc w:val="right"/>
              <w:ind w:right="99"/>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140" w:type="dxa"/>
            <w:vAlign w:val="bottom"/>
          </w:tcPr>
          <w:p>
            <w:pPr>
              <w:spacing w:after="0"/>
              <w:rPr>
                <w:sz w:val="8"/>
                <w:szCs w:val="8"/>
                <w:color w:val="auto"/>
              </w:rPr>
            </w:pPr>
          </w:p>
        </w:tc>
        <w:tc>
          <w:tcPr>
            <w:tcW w:w="680" w:type="dxa"/>
            <w:vAlign w:val="bottom"/>
            <w:tcBorders>
              <w:bottom w:val="single" w:sz="8" w:color="auto"/>
            </w:tcBorders>
            <w:gridSpan w:val="2"/>
          </w:tcPr>
          <w:p>
            <w:pPr>
              <w:jc w:val="right"/>
              <w:ind w:right="40"/>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4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97"/>
        </w:trPr>
        <w:tc>
          <w:tcPr>
            <w:tcW w:w="4860" w:type="dxa"/>
            <w:vAlign w:val="bottom"/>
          </w:tcPr>
          <w:p>
            <w:pPr>
              <w:spacing w:after="0"/>
              <w:rPr>
                <w:sz w:val="8"/>
                <w:szCs w:val="8"/>
                <w:color w:val="auto"/>
              </w:rPr>
            </w:pPr>
          </w:p>
        </w:tc>
        <w:tc>
          <w:tcPr>
            <w:tcW w:w="460" w:type="dxa"/>
            <w:vAlign w:val="bottom"/>
            <w:tcBorders>
              <w:bottom w:val="single" w:sz="8" w:color="auto"/>
            </w:tcBorders>
          </w:tcPr>
          <w:p>
            <w:pPr>
              <w:jc w:val="right"/>
              <w:ind w:right="59"/>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79"/>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2"/>
          </w:tcPr>
          <w:p>
            <w:pPr>
              <w:jc w:val="right"/>
              <w:ind w:right="320"/>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420" w:type="dxa"/>
            <w:vAlign w:val="bottom"/>
            <w:tcBorders>
              <w:bottom w:val="single" w:sz="8" w:color="auto"/>
            </w:tcBorders>
          </w:tcPr>
          <w:p>
            <w:pPr>
              <w:jc w:val="right"/>
              <w:ind w:right="77"/>
              <w:spacing w:after="0" w:line="97" w:lineRule="exact"/>
              <w:rPr>
                <w:sz w:val="20"/>
                <w:szCs w:val="20"/>
                <w:color w:val="auto"/>
              </w:rPr>
            </w:pPr>
            <w:r>
              <w:rPr>
                <w:rFonts w:ascii="Times New Roman" w:cs="Times New Roman" w:eastAsia="Times New Roman" w:hAnsi="Times New Roman"/>
                <w:sz w:val="10"/>
                <w:szCs w:val="10"/>
                <w:b w:val="1"/>
                <w:bCs w:val="1"/>
                <w:color w:val="auto"/>
              </w:rPr>
              <w:t>US$</w:t>
            </w:r>
          </w:p>
        </w:tc>
        <w:tc>
          <w:tcPr>
            <w:tcW w:w="80" w:type="dxa"/>
            <w:vAlign w:val="bottom"/>
          </w:tcPr>
          <w:p>
            <w:pPr>
              <w:spacing w:after="0"/>
              <w:rPr>
                <w:sz w:val="8"/>
                <w:szCs w:val="8"/>
                <w:color w:val="auto"/>
              </w:rPr>
            </w:pPr>
          </w:p>
        </w:tc>
      </w:tr>
      <w:tr>
        <w:trPr>
          <w:trHeight w:val="97"/>
        </w:trPr>
        <w:tc>
          <w:tcPr>
            <w:tcW w:w="4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gridSpan w:val="4"/>
          </w:tcPr>
          <w:p>
            <w:pPr>
              <w:jc w:val="right"/>
              <w:ind w:right="460"/>
              <w:spacing w:after="0" w:line="97" w:lineRule="exact"/>
              <w:rPr>
                <w:sz w:val="20"/>
                <w:szCs w:val="20"/>
                <w:color w:val="auto"/>
              </w:rPr>
            </w:pPr>
            <w:r>
              <w:rPr>
                <w:rFonts w:ascii="Times New Roman" w:cs="Times New Roman" w:eastAsia="Times New Roman" w:hAnsi="Times New Roman"/>
                <w:sz w:val="10"/>
                <w:szCs w:val="10"/>
                <w:b w:val="1"/>
                <w:bCs w:val="1"/>
                <w:color w:val="auto"/>
              </w:rPr>
              <w:t>(in thousands)</w:t>
            </w: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5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(55,518)</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(151,696)</w:t>
            </w: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(121,629)</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8"/>
              </w:rPr>
              <w:t>(19,086)</w:t>
            </w:r>
          </w:p>
        </w:tc>
      </w:tr>
      <w:tr>
        <w:trPr>
          <w:trHeight w:val="156"/>
        </w:trPr>
        <w:tc>
          <w:tcPr>
            <w:tcW w:w="4860" w:type="dxa"/>
            <w:vAlign w:val="bottom"/>
          </w:tcPr>
          <w:p>
            <w:pPr>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(10,988)</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(66,209)</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(33,401)</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(5,241)</w:t>
            </w:r>
          </w:p>
        </w:tc>
      </w:tr>
      <w:tr>
        <w:trPr>
          <w:trHeight w:val="15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325,302</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42,680</w:t>
            </w: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266,947</w:t>
            </w:r>
          </w:p>
        </w:tc>
        <w:tc>
          <w:tcPr>
            <w:tcW w:w="18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41,888</w:t>
            </w:r>
          </w:p>
        </w:tc>
        <w:tc>
          <w:tcPr>
            <w:tcW w:w="80" w:type="dxa"/>
            <w:vAlign w:val="bottom"/>
            <w:shd w:val="clear" w:color="auto" w:fill="CCEEFF"/>
          </w:tcPr>
          <w:p>
            <w:pPr>
              <w:spacing w:after="0"/>
              <w:rPr>
                <w:sz w:val="13"/>
                <w:szCs w:val="13"/>
                <w:color w:val="auto"/>
              </w:rPr>
            </w:pPr>
          </w:p>
        </w:tc>
      </w:tr>
      <w:tr>
        <w:trPr>
          <w:trHeight w:val="156"/>
        </w:trPr>
        <w:tc>
          <w:tcPr>
            <w:tcW w:w="4860" w:type="dxa"/>
            <w:vAlign w:val="bottom"/>
          </w:tcPr>
          <w:p>
            <w:pPr>
              <w:spacing w:after="0"/>
              <w:rPr>
                <w:sz w:val="20"/>
                <w:szCs w:val="20"/>
                <w:color w:val="auto"/>
              </w:rPr>
            </w:pPr>
            <w:r>
              <w:rPr>
                <w:rFonts w:ascii="Times New Roman" w:cs="Times New Roman" w:eastAsia="Times New Roman" w:hAnsi="Times New Roman"/>
                <w:sz w:val="13"/>
                <w:szCs w:val="13"/>
                <w:color w:val="auto"/>
              </w:rPr>
              <w:t>Effect of exchange rate changes on cash, cash equivalents and restricted cash</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1,347</w:t>
            </w:r>
          </w:p>
        </w:tc>
        <w:tc>
          <w:tcPr>
            <w:tcW w:w="14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(6,264)</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(5,067)</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(794)</w:t>
            </w:r>
          </w:p>
        </w:tc>
      </w:tr>
      <w:tr>
        <w:trPr>
          <w:trHeight w:val="20"/>
        </w:trPr>
        <w:tc>
          <w:tcPr>
            <w:tcW w:w="48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5"/>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increase (decrease) in cash, cash equivalents and restricted cash</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260,143</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(181,489)</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106,850</w:t>
            </w:r>
          </w:p>
        </w:tc>
        <w:tc>
          <w:tcPr>
            <w:tcW w:w="18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16,767</w:t>
            </w:r>
          </w:p>
        </w:tc>
        <w:tc>
          <w:tcPr>
            <w:tcW w:w="80" w:type="dxa"/>
            <w:vAlign w:val="bottom"/>
            <w:shd w:val="clear" w:color="auto" w:fill="CCEEFF"/>
          </w:tcPr>
          <w:p>
            <w:pPr>
              <w:spacing w:after="0"/>
              <w:rPr>
                <w:sz w:val="13"/>
                <w:szCs w:val="13"/>
                <w:color w:val="auto"/>
              </w:rPr>
            </w:pPr>
          </w:p>
        </w:tc>
      </w:tr>
      <w:tr>
        <w:trPr>
          <w:trHeight w:val="156"/>
        </w:trPr>
        <w:tc>
          <w:tcPr>
            <w:tcW w:w="4860" w:type="dxa"/>
            <w:vAlign w:val="bottom"/>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at the beginning of the year</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61,519</w:t>
            </w:r>
          </w:p>
        </w:tc>
        <w:tc>
          <w:tcPr>
            <w:tcW w:w="140" w:type="dxa"/>
            <w:vAlign w:val="bottom"/>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321,662</w:t>
            </w:r>
          </w:p>
        </w:tc>
        <w:tc>
          <w:tcPr>
            <w:tcW w:w="140" w:type="dxa"/>
            <w:vAlign w:val="bottom"/>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140,173</w:t>
            </w:r>
          </w:p>
        </w:tc>
        <w:tc>
          <w:tcPr>
            <w:tcW w:w="180" w:type="dxa"/>
            <w:vAlign w:val="bottom"/>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21,996</w:t>
            </w:r>
          </w:p>
        </w:tc>
        <w:tc>
          <w:tcPr>
            <w:tcW w:w="80" w:type="dxa"/>
            <w:vAlign w:val="bottom"/>
          </w:tcPr>
          <w:p>
            <w:pPr>
              <w:spacing w:after="0"/>
              <w:rPr>
                <w:sz w:val="13"/>
                <w:szCs w:val="13"/>
                <w:color w:val="auto"/>
              </w:rPr>
            </w:pPr>
          </w:p>
        </w:tc>
      </w:tr>
      <w:tr>
        <w:trPr>
          <w:trHeight w:val="164"/>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at the end of the year</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321,662</w:t>
            </w:r>
          </w:p>
        </w:tc>
        <w:tc>
          <w:tcPr>
            <w:tcW w:w="14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140,173</w:t>
            </w:r>
          </w:p>
        </w:tc>
        <w:tc>
          <w:tcPr>
            <w:tcW w:w="14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247,023</w:t>
            </w:r>
          </w:p>
        </w:tc>
        <w:tc>
          <w:tcPr>
            <w:tcW w:w="180" w:type="dxa"/>
            <w:vAlign w:val="bottom"/>
            <w:tcBorders>
              <w:right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38,763</w:t>
            </w:r>
          </w:p>
        </w:tc>
        <w:tc>
          <w:tcPr>
            <w:tcW w:w="80" w:type="dxa"/>
            <w:vAlign w:val="bottom"/>
            <w:shd w:val="clear" w:color="auto" w:fill="CCEEFF"/>
          </w:tcPr>
          <w:p>
            <w:pPr>
              <w:spacing w:after="0"/>
              <w:rPr>
                <w:sz w:val="14"/>
                <w:szCs w:val="14"/>
                <w:color w:val="auto"/>
              </w:rPr>
            </w:pPr>
          </w:p>
        </w:tc>
      </w:tr>
    </w:tbl>
    <w:p>
      <w:pPr>
        <w:spacing w:after="0" w:line="22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Operating Activities</w:t>
      </w:r>
    </w:p>
    <w:p>
      <w:pPr>
        <w:spacing w:after="0" w:line="88" w:lineRule="exact"/>
        <w:rPr>
          <w:sz w:val="20"/>
          <w:szCs w:val="20"/>
          <w:color w:val="auto"/>
        </w:rPr>
      </w:pPr>
    </w:p>
    <w:p>
      <w:pPr>
        <w:ind w:left="1680" w:right="559" w:firstLine="317"/>
        <w:spacing w:after="0" w:line="253" w:lineRule="auto"/>
        <w:rPr>
          <w:sz w:val="20"/>
          <w:szCs w:val="20"/>
          <w:color w:val="auto"/>
        </w:rPr>
      </w:pPr>
      <w:r>
        <w:rPr>
          <w:rFonts w:ascii="Times New Roman" w:cs="Times New Roman" w:eastAsia="Times New Roman" w:hAnsi="Times New Roman"/>
          <w:sz w:val="13"/>
          <w:szCs w:val="13"/>
          <w:color w:val="auto"/>
        </w:rPr>
        <w:t>Net cash used in operating activities in 2021 was RMB121.6 million (US$19.1 million). This amount was primarily attributable to net loss of RMB313.9 million (US$49.3 million), adjusted to add back certain non-cash expenses, principally share-based compensation of RMB121.1 million (US$19.0 million), allowance for doubtful amounts of RMB56.5 million (US$8.9 million) and depreciation and amortization of RMB7.8 million (US$1.2 million), and further adjusted upwards due to changes in operating assets and liabilities. The changes in operating assets and liabilities primarily included an increase of RMB36.0 million (US$5.6 million) in inventories in line with our business expansion, an increase of RMB13.0 million (US$2.0 million) in prepayments, and a decrease of RMB7.7 million (US$1.2 million) in accounts payable and offset mainly by a decrease of RMB39.3 million (US$6.2 million) in accounts receivable resulting from our efforts in collections from customers, a decrease of RMB1.3 million (US$0.2 million) in amount due from a related party, and an increase of RMB7.1 million (US$1.1 million) in contract liabilities, and an increase of RMB11.4 million (US$1.8 million) which was mainly due to an increase in employee benefits-related liabilities resulting from our increased employee headcount. The increases in inventories and prepayments and other current assets were all primarily due to the growth of our business.</w:t>
      </w:r>
    </w:p>
    <w:p>
      <w:pPr>
        <w:spacing w:after="0" w:line="136" w:lineRule="exact"/>
        <w:rPr>
          <w:sz w:val="20"/>
          <w:szCs w:val="20"/>
          <w:color w:val="auto"/>
        </w:rPr>
      </w:pPr>
    </w:p>
    <w:p>
      <w:pPr>
        <w:ind w:left="1680" w:right="559" w:firstLine="317"/>
        <w:spacing w:after="0" w:line="252" w:lineRule="auto"/>
        <w:rPr>
          <w:sz w:val="20"/>
          <w:szCs w:val="20"/>
          <w:color w:val="auto"/>
        </w:rPr>
      </w:pPr>
      <w:r>
        <w:rPr>
          <w:rFonts w:ascii="Times New Roman" w:cs="Times New Roman" w:eastAsia="Times New Roman" w:hAnsi="Times New Roman"/>
          <w:sz w:val="13"/>
          <w:szCs w:val="13"/>
          <w:color w:val="auto"/>
        </w:rPr>
        <w:t>Net cash used in operating activities in 2020 was RMB151.7 million. This amount was primarily attributable to net loss of RMB92.0 million, adjusted to add back certain non-cash expenses, principally share-based compensation of RMB54.9 million and depreciation and amortization of RMB6.2 million, allowance for doubtful accounts of RMB13.3 million, and further adjusted downwards due to changes in operating assets and liabilities. The changes in operating assets and liabilities primarily included an increase of RMB134.7 million in accounts receivable resulting from our slower collections from customers due to COVID-19 impacts in 2020, an increase of RMB29.3 million in inventories in line with our business expansion, an increase of RMB5.0 million in prepayments and other current assets, an increase of RMB2.6 million in amount due from a related party, an increase of RMB 16.2 million in other non-current assets, and an increase of RMB2.4 million in contract liabilities, and partially offset by an increase of RMB26.6 million in accounts payable, a decrease of RMB13.5 million in cost and estimated earnings in excess of billings, an increase of</w:t>
      </w:r>
    </w:p>
    <w:p>
      <w:pPr>
        <w:spacing w:after="0" w:line="1" w:lineRule="exact"/>
        <w:rPr>
          <w:sz w:val="20"/>
          <w:szCs w:val="20"/>
          <w:color w:val="auto"/>
        </w:rPr>
      </w:pPr>
    </w:p>
    <w:p>
      <w:pPr>
        <w:ind w:left="1680" w:right="559"/>
        <w:spacing w:after="0" w:line="251" w:lineRule="auto"/>
        <w:rPr>
          <w:sz w:val="20"/>
          <w:szCs w:val="20"/>
          <w:color w:val="auto"/>
        </w:rPr>
      </w:pPr>
      <w:r>
        <w:rPr>
          <w:rFonts w:ascii="Times New Roman" w:cs="Times New Roman" w:eastAsia="Times New Roman" w:hAnsi="Times New Roman"/>
          <w:sz w:val="13"/>
          <w:szCs w:val="13"/>
          <w:color w:val="auto"/>
        </w:rPr>
        <w:t>RMB7.7 million in accrued expenses and other liabilities, a decrease of RMB4.3 million in unbilled revenue, and an increase of RMB3.7 million in deferred income. The increases in accounts receivable, inventories, amount due from a related party, prepayments and other current assets, other non-current assets, contract liabilities, accounts payable and accrued expenses and other liabilities were all primarily due to the growth of our business. The decrease in cost and estimated earnings in excess of billings was primarily due to incremental billings and collection in connection with two completed smart city management projects. The increase in unbilled revenue was primarily due to certain services provided but unbilled. The increase in deferred income was primarily due to receipt of upfront payment of shared income from a third-party service provider.</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121</w:t>
      </w:r>
    </w:p>
    <w:p>
      <w:pPr>
        <w:sectPr>
          <w:pgSz w:w="11900" w:h="16838" w:orient="portrait"/>
          <w:cols w:equalWidth="0" w:num="1">
            <w:col w:w="10159"/>
          </w:cols>
          <w:pgMar w:left="300" w:top="388" w:right="1440"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899" w:firstLine="317"/>
        <w:spacing w:after="0" w:line="275" w:lineRule="auto"/>
        <w:rPr>
          <w:sz w:val="20"/>
          <w:szCs w:val="20"/>
          <w:color w:val="auto"/>
        </w:rPr>
      </w:pPr>
      <w:r>
        <w:rPr>
          <w:rFonts w:ascii="Times New Roman" w:cs="Times New Roman" w:eastAsia="Times New Roman" w:hAnsi="Times New Roman"/>
          <w:sz w:val="12"/>
          <w:szCs w:val="12"/>
          <w:color w:val="auto"/>
        </w:rPr>
        <w:t>Net cash used in operating activities in 2019 was RMB55.5 million. This amount was primarily attributable to net loss of RMB48.0 million, adjusted to add back certain non-cash expenses, principally share-based compensation of RMB14.7 million and depreciation and amortization of RMB5.7 million, and further adjusted downwards due to changes in operating assets and liabilities. The changes in operating assets and liabilities primarily included an increase of RMB39.0 million in accounts receivable, an increase of RMB12.3 million in inventories, an increase of</w:t>
      </w:r>
    </w:p>
    <w:p>
      <w:pPr>
        <w:spacing w:after="0" w:line="2" w:lineRule="exact"/>
        <w:rPr>
          <w:sz w:val="20"/>
          <w:szCs w:val="20"/>
          <w:color w:val="auto"/>
        </w:rPr>
      </w:pPr>
    </w:p>
    <w:p>
      <w:pPr>
        <w:ind w:left="1680" w:right="599"/>
        <w:spacing w:after="0" w:line="251" w:lineRule="auto"/>
        <w:rPr>
          <w:sz w:val="20"/>
          <w:szCs w:val="20"/>
          <w:color w:val="auto"/>
        </w:rPr>
      </w:pPr>
      <w:r>
        <w:rPr>
          <w:rFonts w:ascii="Times New Roman" w:cs="Times New Roman" w:eastAsia="Times New Roman" w:hAnsi="Times New Roman"/>
          <w:sz w:val="13"/>
          <w:szCs w:val="13"/>
          <w:color w:val="auto"/>
        </w:rPr>
        <w:t>RMB5.7 million in prepayments and other current assets, and an increase of RMB4.8 million in unbilled revenue, and partially offset by an increase of RMB14.0 million in accrued expenses and other liabilities, an increase of RMB10.4 million in accounts payable, a decrease of RMB4.2 million in cost and estimated earnings in excess of billings, and an increase of RMB4.0 million in advances from customer. The increases in accounts receivable, inventories, prepayments and other current assets, advances from customers, accounts payable and accrued expenses and other liabilities were all primarily due to the growth of our air mobility solutions business. The decrease in cost and estimated earnings in excess of billings was primarily due to incremental billings made in connection with two completed smart city management projects. The increase in unbilled revenue was primarily due to certain services provided but unbilled.</w:t>
      </w:r>
    </w:p>
    <w:p>
      <w:pPr>
        <w:spacing w:after="0" w:line="21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Investing Activities</w:t>
      </w:r>
    </w:p>
    <w:p>
      <w:pPr>
        <w:spacing w:after="0" w:line="88" w:lineRule="exact"/>
        <w:rPr>
          <w:sz w:val="20"/>
          <w:szCs w:val="20"/>
          <w:color w:val="auto"/>
        </w:rPr>
      </w:pPr>
    </w:p>
    <w:p>
      <w:pPr>
        <w:ind w:left="1680" w:right="599" w:firstLine="317"/>
        <w:spacing w:after="0" w:line="322" w:lineRule="auto"/>
        <w:rPr>
          <w:sz w:val="20"/>
          <w:szCs w:val="20"/>
          <w:color w:val="auto"/>
        </w:rPr>
      </w:pPr>
      <w:r>
        <w:rPr>
          <w:rFonts w:ascii="Times New Roman" w:cs="Times New Roman" w:eastAsia="Times New Roman" w:hAnsi="Times New Roman"/>
          <w:sz w:val="12"/>
          <w:szCs w:val="12"/>
          <w:color w:val="auto"/>
        </w:rPr>
        <w:t>Net cash used in investing activities in 2021 was RMB33.4 million (US$5.2 million), mainly consisting of net purchase of short-term investments of RMB17.0 million (US$2.7 million) and purchase of property and equipment of RMB15.6 million (US$2.5 million) for Yunfu production facility.</w:t>
      </w:r>
    </w:p>
    <w:p>
      <w:pPr>
        <w:spacing w:after="0" w:line="97" w:lineRule="exact"/>
        <w:rPr>
          <w:sz w:val="20"/>
          <w:szCs w:val="20"/>
          <w:color w:val="auto"/>
        </w:rPr>
      </w:pPr>
    </w:p>
    <w:p>
      <w:pPr>
        <w:ind w:left="1680" w:right="579" w:firstLine="317"/>
        <w:spacing w:after="0" w:line="278" w:lineRule="auto"/>
        <w:rPr>
          <w:sz w:val="20"/>
          <w:szCs w:val="20"/>
          <w:color w:val="auto"/>
        </w:rPr>
      </w:pPr>
      <w:r>
        <w:rPr>
          <w:rFonts w:ascii="Times New Roman" w:cs="Times New Roman" w:eastAsia="Times New Roman" w:hAnsi="Times New Roman"/>
          <w:sz w:val="13"/>
          <w:szCs w:val="13"/>
          <w:color w:val="auto"/>
        </w:rPr>
        <w:t>Net cash used in investing activities in 2020 was RMB66.2 million, net purchase of short-term investments of RMB43.4 million, net loans to third parties of RMB13.9 million and purchase of property and equipment of RMB8.7 million.</w:t>
      </w:r>
    </w:p>
    <w:p>
      <w:pPr>
        <w:spacing w:after="0" w:line="121" w:lineRule="exact"/>
        <w:rPr>
          <w:sz w:val="20"/>
          <w:szCs w:val="20"/>
          <w:color w:val="auto"/>
        </w:rPr>
      </w:pPr>
    </w:p>
    <w:p>
      <w:pPr>
        <w:ind w:left="1680" w:right="659" w:firstLine="317"/>
        <w:spacing w:after="0" w:line="278" w:lineRule="auto"/>
        <w:rPr>
          <w:sz w:val="20"/>
          <w:szCs w:val="20"/>
          <w:color w:val="auto"/>
        </w:rPr>
      </w:pPr>
      <w:r>
        <w:rPr>
          <w:rFonts w:ascii="Times New Roman" w:cs="Times New Roman" w:eastAsia="Times New Roman" w:hAnsi="Times New Roman"/>
          <w:sz w:val="13"/>
          <w:szCs w:val="13"/>
          <w:color w:val="auto"/>
        </w:rPr>
        <w:t>Net cash used in investing activities in 2019 was RMB11.0 million, consisting of net purchase of short-term investments of RMB7.7 million and purchase of property and equipment of RMB2.7 million.</w:t>
      </w:r>
    </w:p>
    <w:p>
      <w:pPr>
        <w:spacing w:after="0" w:line="19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Financing Activities</w:t>
      </w:r>
    </w:p>
    <w:p>
      <w:pPr>
        <w:spacing w:after="0" w:line="8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Net cash provided by financing activities in 2021 was RMB266.9 million (US$41.9 million), primarily attributable to proceeds of</w:t>
      </w:r>
    </w:p>
    <w:p>
      <w:pPr>
        <w:spacing w:after="0" w:line="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RMB257.0 million (US$40.3 million) from issuance of Class A ordinary shares to a European asset management company in a private placement and</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net proceeds of RMB15.0 million (US$2.4 million) from bank loans.</w:t>
      </w:r>
    </w:p>
    <w:p>
      <w:pPr>
        <w:spacing w:after="0" w:line="150" w:lineRule="exact"/>
        <w:rPr>
          <w:sz w:val="20"/>
          <w:szCs w:val="20"/>
          <w:color w:val="auto"/>
        </w:rPr>
      </w:pPr>
    </w:p>
    <w:p>
      <w:pPr>
        <w:ind w:left="1680" w:right="699" w:firstLine="317"/>
        <w:spacing w:after="0" w:line="264" w:lineRule="auto"/>
        <w:rPr>
          <w:sz w:val="20"/>
          <w:szCs w:val="20"/>
          <w:color w:val="auto"/>
        </w:rPr>
      </w:pPr>
      <w:r>
        <w:rPr>
          <w:rFonts w:ascii="Times New Roman" w:cs="Times New Roman" w:eastAsia="Times New Roman" w:hAnsi="Times New Roman"/>
          <w:sz w:val="13"/>
          <w:szCs w:val="13"/>
          <w:color w:val="auto"/>
        </w:rPr>
        <w:t>Net cash provided by financing activities in 2020 was RMB42.7 million, primarily attributable to proceeds of RMB7.3 million from issuance of American depository shares pursuant to underwriters’ exercise of over-allotment option related to our initial public offering and proceeds of RMB40.0 million from issuance of mandatorily redeemable non-controlling interests of a subsidiary.</w:t>
      </w:r>
    </w:p>
    <w:p>
      <w:pPr>
        <w:spacing w:after="0" w:line="129" w:lineRule="exact"/>
        <w:rPr>
          <w:sz w:val="20"/>
          <w:szCs w:val="20"/>
          <w:color w:val="auto"/>
        </w:rPr>
      </w:pPr>
    </w:p>
    <w:p>
      <w:pPr>
        <w:jc w:val="both"/>
        <w:ind w:left="1680" w:right="659" w:firstLine="317"/>
        <w:spacing w:after="0" w:line="264" w:lineRule="auto"/>
        <w:rPr>
          <w:sz w:val="20"/>
          <w:szCs w:val="20"/>
          <w:color w:val="auto"/>
        </w:rPr>
      </w:pPr>
      <w:r>
        <w:rPr>
          <w:rFonts w:ascii="Times New Roman" w:cs="Times New Roman" w:eastAsia="Times New Roman" w:hAnsi="Times New Roman"/>
          <w:sz w:val="13"/>
          <w:szCs w:val="13"/>
          <w:color w:val="auto"/>
        </w:rPr>
        <w:t>Net cash provided by financing activities in 2019 was RMB325.3 million, primarily attributable to net proceeds of RMB252.9 million from our initial public offering, proceeds of RMB47.4 million from issuance of series C redeemable convertible preferred shares in February 2019 and proceeds of RMB30.0 million from a loan from a third party.</w:t>
      </w:r>
    </w:p>
    <w:p>
      <w:pPr>
        <w:spacing w:after="0" w:line="20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Capital Expenditures</w:t>
      </w:r>
    </w:p>
    <w:p>
      <w:pPr>
        <w:spacing w:after="0" w:line="88" w:lineRule="exact"/>
        <w:rPr>
          <w:sz w:val="20"/>
          <w:szCs w:val="20"/>
          <w:color w:val="auto"/>
        </w:rPr>
      </w:pPr>
    </w:p>
    <w:p>
      <w:pPr>
        <w:ind w:left="1680" w:right="739" w:firstLine="317"/>
        <w:spacing w:after="0" w:line="259" w:lineRule="auto"/>
        <w:rPr>
          <w:sz w:val="20"/>
          <w:szCs w:val="20"/>
          <w:color w:val="auto"/>
        </w:rPr>
      </w:pPr>
      <w:r>
        <w:rPr>
          <w:rFonts w:ascii="Times New Roman" w:cs="Times New Roman" w:eastAsia="Times New Roman" w:hAnsi="Times New Roman"/>
          <w:sz w:val="13"/>
          <w:szCs w:val="13"/>
          <w:color w:val="auto"/>
        </w:rPr>
        <w:t>Our capital expenditures, which consisted of purchase of property and equipment, acquisition of intangible assets and purchase of long-term investment, were RMB3.7 million, RMB9.1 million and RMB15.6 million (US$2.5 million) in 2019, 2020 and 2021, respectively. They were mainly used for the purchase of property and equipment for the establishment and installation of equipment at our own and new manufacturing facility in Yunfu. We plan to fund our future capital expenditures with our existing cash balance.</w:t>
      </w:r>
    </w:p>
    <w:p>
      <w:pPr>
        <w:spacing w:after="0" w:line="20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Material Cash Requirements</w:t>
      </w:r>
    </w:p>
    <w:p>
      <w:pPr>
        <w:spacing w:after="0" w:line="86" w:lineRule="exact"/>
        <w:rPr>
          <w:sz w:val="20"/>
          <w:szCs w:val="20"/>
          <w:color w:val="auto"/>
        </w:rPr>
      </w:pPr>
    </w:p>
    <w:p>
      <w:pPr>
        <w:ind w:left="1680" w:right="879" w:firstLine="317"/>
        <w:spacing w:after="0" w:line="278" w:lineRule="auto"/>
        <w:rPr>
          <w:sz w:val="20"/>
          <w:szCs w:val="20"/>
          <w:color w:val="auto"/>
        </w:rPr>
      </w:pPr>
      <w:r>
        <w:rPr>
          <w:rFonts w:ascii="Times New Roman" w:cs="Times New Roman" w:eastAsia="Times New Roman" w:hAnsi="Times New Roman"/>
          <w:sz w:val="13"/>
          <w:szCs w:val="13"/>
          <w:color w:val="auto"/>
        </w:rPr>
        <w:t>Our material cash requirements as of December 31, 2021 and any subsequent interim period primarily include operating lease commitments, short-term bank loans, long-term bank loans, mandatorily redeemable non-controlling interests and investment obligations.</w:t>
      </w:r>
    </w:p>
    <w:p>
      <w:pPr>
        <w:spacing w:after="0" w:line="121" w:lineRule="exact"/>
        <w:rPr>
          <w:sz w:val="20"/>
          <w:szCs w:val="20"/>
          <w:color w:val="auto"/>
        </w:rPr>
      </w:pPr>
    </w:p>
    <w:p>
      <w:pPr>
        <w:ind w:left="1680" w:right="779" w:firstLine="317"/>
        <w:spacing w:after="0" w:line="278" w:lineRule="auto"/>
        <w:rPr>
          <w:sz w:val="20"/>
          <w:szCs w:val="20"/>
          <w:color w:val="auto"/>
        </w:rPr>
      </w:pPr>
      <w:r>
        <w:rPr>
          <w:rFonts w:ascii="Times New Roman" w:cs="Times New Roman" w:eastAsia="Times New Roman" w:hAnsi="Times New Roman"/>
          <w:sz w:val="13"/>
          <w:szCs w:val="13"/>
          <w:color w:val="auto"/>
        </w:rPr>
        <w:t>Our operating lease commitments primarily represent our non-cancelable lease of offices and facilities for business operation. We lease offices under non-cancelable operating lease arrangements with initial terms in excess of one year.</w:t>
      </w:r>
    </w:p>
    <w:p>
      <w:pPr>
        <w:spacing w:after="0" w:line="121" w:lineRule="exact"/>
        <w:rPr>
          <w:sz w:val="20"/>
          <w:szCs w:val="20"/>
          <w:color w:val="auto"/>
        </w:rPr>
      </w:pPr>
    </w:p>
    <w:p>
      <w:pPr>
        <w:ind w:left="1680" w:right="799" w:firstLine="317"/>
        <w:spacing w:after="0" w:line="278" w:lineRule="auto"/>
        <w:rPr>
          <w:sz w:val="20"/>
          <w:szCs w:val="20"/>
          <w:color w:val="auto"/>
        </w:rPr>
      </w:pPr>
      <w:r>
        <w:rPr>
          <w:rFonts w:ascii="Times New Roman" w:cs="Times New Roman" w:eastAsia="Times New Roman" w:hAnsi="Times New Roman"/>
          <w:sz w:val="13"/>
          <w:szCs w:val="13"/>
          <w:color w:val="auto"/>
        </w:rPr>
        <w:t>Our mandatorily redeemable non-controlling interests primarily represent our obligations for the payment to the mandatorily redeemable non-controlling interest investment in a subsidiary.</w:t>
      </w:r>
    </w:p>
    <w:p>
      <w:pPr>
        <w:spacing w:after="0" w:line="121" w:lineRule="exact"/>
        <w:rPr>
          <w:sz w:val="20"/>
          <w:szCs w:val="20"/>
          <w:color w:val="auto"/>
        </w:rPr>
      </w:pPr>
    </w:p>
    <w:p>
      <w:pPr>
        <w:ind w:left="1680" w:right="579" w:firstLine="317"/>
        <w:spacing w:after="0" w:line="278" w:lineRule="auto"/>
        <w:rPr>
          <w:sz w:val="20"/>
          <w:szCs w:val="20"/>
          <w:color w:val="auto"/>
        </w:rPr>
      </w:pPr>
      <w:r>
        <w:rPr>
          <w:rFonts w:ascii="Times New Roman" w:cs="Times New Roman" w:eastAsia="Times New Roman" w:hAnsi="Times New Roman"/>
          <w:sz w:val="13"/>
          <w:szCs w:val="13"/>
          <w:color w:val="auto"/>
        </w:rPr>
        <w:t>We intend to fund our existing and future material cash requirements primarily with our existing cash balance and other financing alternatives. We will continue to make cash commitments, including capital expenditures, to support the growth of our business.</w:t>
      </w:r>
    </w:p>
    <w:p>
      <w:pPr>
        <w:spacing w:after="0" w:line="12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following table sets forth our contractual obligations as of December 31, 2021:</w:t>
      </w:r>
    </w:p>
    <w:p>
      <w:pPr>
        <w:spacing w:after="0" w:line="11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122</w:t>
      </w:r>
    </w:p>
    <w:p>
      <w:pPr>
        <w:sectPr>
          <w:pgSz w:w="11900" w:h="16838" w:orient="portrait"/>
          <w:cols w:equalWidth="0" w:num="1">
            <w:col w:w="10159"/>
          </w:cols>
          <w:pgMar w:left="300" w:top="388" w:right="1440"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18" w:lineRule="exact"/>
        <w:rPr>
          <w:sz w:val="20"/>
          <w:szCs w:val="20"/>
          <w:color w:val="auto"/>
        </w:rPr>
      </w:pPr>
    </w:p>
    <w:tbl>
      <w:tblPr>
        <w:tblLayout w:type="fixed"/>
        <w:tblInd w:w="1680" w:type="dxa"/>
        <w:tblCellMar>
          <w:top w:w="0" w:type="dxa"/>
          <w:left w:w="0" w:type="dxa"/>
          <w:bottom w:w="0" w:type="dxa"/>
          <w:right w:w="0" w:type="dxa"/>
        </w:tblCellMar>
      </w:tblPr>
      <w:tr>
        <w:trPr>
          <w:trHeight w:val="124"/>
        </w:trPr>
        <w:tc>
          <w:tcPr>
            <w:tcW w:w="534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Payment Due by Period</w:t>
            </w: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5340" w:type="dxa"/>
            <w:vAlign w:val="bottom"/>
          </w:tcPr>
          <w:p>
            <w:pPr>
              <w:spacing w:after="0"/>
              <w:rPr>
                <w:sz w:val="6"/>
                <w:szCs w:val="6"/>
                <w:color w:val="auto"/>
              </w:rPr>
            </w:pPr>
          </w:p>
        </w:tc>
        <w:tc>
          <w:tcPr>
            <w:tcW w:w="380" w:type="dxa"/>
            <w:vAlign w:val="bottom"/>
            <w:vMerge w:val="restart"/>
          </w:tcPr>
          <w:p>
            <w:pPr>
              <w:jc w:val="right"/>
              <w:ind w:right="17"/>
              <w:spacing w:after="0"/>
              <w:rPr>
                <w:sz w:val="20"/>
                <w:szCs w:val="20"/>
                <w:color w:val="auto"/>
              </w:rPr>
            </w:pPr>
            <w:r>
              <w:rPr>
                <w:rFonts w:ascii="Times New Roman" w:cs="Times New Roman" w:eastAsia="Times New Roman" w:hAnsi="Times New Roman"/>
                <w:sz w:val="10"/>
                <w:szCs w:val="10"/>
                <w:b w:val="1"/>
                <w:bCs w:val="1"/>
                <w:color w:val="auto"/>
              </w:rPr>
              <w:t>Total</w:t>
            </w:r>
          </w:p>
        </w:tc>
        <w:tc>
          <w:tcPr>
            <w:tcW w:w="680" w:type="dxa"/>
            <w:vAlign w:val="bottom"/>
            <w:gridSpan w:val="3"/>
          </w:tcPr>
          <w:p>
            <w:pPr>
              <w:ind w:left="120"/>
              <w:spacing w:after="0" w:line="80" w:lineRule="exact"/>
              <w:rPr>
                <w:sz w:val="20"/>
                <w:szCs w:val="20"/>
                <w:color w:val="auto"/>
              </w:rPr>
            </w:pPr>
            <w:r>
              <w:rPr>
                <w:rFonts w:ascii="Times New Roman" w:cs="Times New Roman" w:eastAsia="Times New Roman" w:hAnsi="Times New Roman"/>
                <w:sz w:val="9"/>
                <w:szCs w:val="9"/>
                <w:b w:val="1"/>
                <w:bCs w:val="1"/>
                <w:color w:val="auto"/>
              </w:rPr>
              <w:t>Less than</w:t>
            </w:r>
          </w:p>
        </w:tc>
        <w:tc>
          <w:tcPr>
            <w:tcW w:w="380" w:type="dxa"/>
            <w:vAlign w:val="bottom"/>
          </w:tcPr>
          <w:p>
            <w:pPr>
              <w:jc w:val="right"/>
              <w:ind w:right="60"/>
              <w:spacing w:after="0" w:line="80" w:lineRule="exact"/>
              <w:rPr>
                <w:sz w:val="20"/>
                <w:szCs w:val="20"/>
                <w:color w:val="auto"/>
              </w:rPr>
            </w:pPr>
            <w:r>
              <w:rPr>
                <w:rFonts w:ascii="Times New Roman" w:cs="Times New Roman" w:eastAsia="Times New Roman" w:hAnsi="Times New Roman"/>
                <w:sz w:val="9"/>
                <w:szCs w:val="9"/>
                <w:b w:val="1"/>
                <w:bCs w:val="1"/>
                <w:color w:val="auto"/>
              </w:rPr>
              <w:t>1-3</w:t>
            </w:r>
          </w:p>
        </w:tc>
        <w:tc>
          <w:tcPr>
            <w:tcW w:w="120" w:type="dxa"/>
            <w:vAlign w:val="bottom"/>
          </w:tcPr>
          <w:p>
            <w:pPr>
              <w:spacing w:after="0"/>
              <w:rPr>
                <w:sz w:val="6"/>
                <w:szCs w:val="6"/>
                <w:color w:val="auto"/>
              </w:rPr>
            </w:pPr>
          </w:p>
        </w:tc>
        <w:tc>
          <w:tcPr>
            <w:tcW w:w="400" w:type="dxa"/>
            <w:vAlign w:val="bottom"/>
          </w:tcPr>
          <w:p>
            <w:pPr>
              <w:jc w:val="right"/>
              <w:ind w:right="80"/>
              <w:spacing w:after="0" w:line="80" w:lineRule="exact"/>
              <w:rPr>
                <w:sz w:val="20"/>
                <w:szCs w:val="20"/>
                <w:color w:val="auto"/>
              </w:rPr>
            </w:pPr>
            <w:r>
              <w:rPr>
                <w:rFonts w:ascii="Times New Roman" w:cs="Times New Roman" w:eastAsia="Times New Roman" w:hAnsi="Times New Roman"/>
                <w:sz w:val="9"/>
                <w:szCs w:val="9"/>
                <w:b w:val="1"/>
                <w:bCs w:val="1"/>
                <w:color w:val="auto"/>
              </w:rPr>
              <w:t>3-5</w:t>
            </w:r>
          </w:p>
        </w:tc>
        <w:tc>
          <w:tcPr>
            <w:tcW w:w="600" w:type="dxa"/>
            <w:vAlign w:val="bottom"/>
            <w:gridSpan w:val="2"/>
          </w:tcPr>
          <w:p>
            <w:pPr>
              <w:jc w:val="right"/>
              <w:spacing w:after="0" w:line="80" w:lineRule="exact"/>
              <w:rPr>
                <w:sz w:val="20"/>
                <w:szCs w:val="20"/>
                <w:color w:val="auto"/>
              </w:rPr>
            </w:pPr>
            <w:r>
              <w:rPr>
                <w:rFonts w:ascii="Times New Roman" w:cs="Times New Roman" w:eastAsia="Times New Roman" w:hAnsi="Times New Roman"/>
                <w:sz w:val="9"/>
                <w:szCs w:val="9"/>
                <w:b w:val="1"/>
                <w:bCs w:val="1"/>
                <w:color w:val="auto"/>
              </w:rPr>
              <w:t>More than</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5340" w:type="dxa"/>
            <w:vAlign w:val="bottom"/>
          </w:tcPr>
          <w:p>
            <w:pPr>
              <w:spacing w:after="0"/>
              <w:rPr>
                <w:sz w:val="10"/>
                <w:szCs w:val="10"/>
                <w:color w:val="auto"/>
              </w:rPr>
            </w:pPr>
          </w:p>
        </w:tc>
        <w:tc>
          <w:tcPr>
            <w:tcW w:w="38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1 year</w:t>
            </w:r>
          </w:p>
        </w:tc>
        <w:tc>
          <w:tcPr>
            <w:tcW w:w="120" w:type="dxa"/>
            <w:vAlign w:val="bottom"/>
          </w:tcPr>
          <w:p>
            <w:pPr>
              <w:spacing w:after="0"/>
              <w:rPr>
                <w:sz w:val="10"/>
                <w:szCs w:val="10"/>
                <w:color w:val="auto"/>
              </w:rPr>
            </w:pPr>
          </w:p>
        </w:tc>
        <w:tc>
          <w:tcPr>
            <w:tcW w:w="3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years</w:t>
            </w:r>
          </w:p>
        </w:tc>
        <w:tc>
          <w:tcPr>
            <w:tcW w:w="120" w:type="dxa"/>
            <w:vAlign w:val="bottom"/>
          </w:tcPr>
          <w:p>
            <w:pPr>
              <w:spacing w:after="0"/>
              <w:rPr>
                <w:sz w:val="10"/>
                <w:szCs w:val="10"/>
                <w:color w:val="auto"/>
              </w:rPr>
            </w:pPr>
          </w:p>
        </w:tc>
        <w:tc>
          <w:tcPr>
            <w:tcW w:w="4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years</w:t>
            </w:r>
          </w:p>
        </w:tc>
        <w:tc>
          <w:tcPr>
            <w:tcW w:w="120" w:type="dxa"/>
            <w:vAlign w:val="bottom"/>
          </w:tcPr>
          <w:p>
            <w:pPr>
              <w:spacing w:after="0"/>
              <w:rPr>
                <w:sz w:val="10"/>
                <w:szCs w:val="10"/>
                <w:color w:val="auto"/>
              </w:rPr>
            </w:pPr>
          </w:p>
        </w:tc>
        <w:tc>
          <w:tcPr>
            <w:tcW w:w="4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0"/>
                <w:szCs w:val="10"/>
                <w:b w:val="1"/>
                <w:bCs w:val="1"/>
                <w:color w:val="auto"/>
              </w:rPr>
              <w:t>5 years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5"/>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(in RMB thousands)</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lease commitments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26,746</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11,530</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6,717</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3,887</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4,612</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40" w:type="dxa"/>
            <w:vAlign w:val="bottom"/>
          </w:tcPr>
          <w:p>
            <w:pPr>
              <w:spacing w:after="0"/>
              <w:rPr>
                <w:sz w:val="20"/>
                <w:szCs w:val="20"/>
                <w:color w:val="auto"/>
              </w:rPr>
            </w:pPr>
            <w:r>
              <w:rPr>
                <w:rFonts w:ascii="Times New Roman" w:cs="Times New Roman" w:eastAsia="Times New Roman" w:hAnsi="Times New Roman"/>
                <w:sz w:val="13"/>
                <w:szCs w:val="13"/>
                <w:color w:val="auto"/>
              </w:rPr>
              <w:t>Short-term bank loans</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10,179</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10,179</w:t>
            </w:r>
          </w:p>
        </w:tc>
        <w:tc>
          <w:tcPr>
            <w:tcW w:w="120" w:type="dxa"/>
            <w:vAlign w:val="bottom"/>
          </w:tcPr>
          <w:p>
            <w:pPr>
              <w:spacing w:after="0"/>
              <w:rPr>
                <w:sz w:val="13"/>
                <w:szCs w:val="13"/>
                <w:color w:val="auto"/>
              </w:rPr>
            </w:pP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Long-term bank loans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20,846</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3,512</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16,561</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773</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5340" w:type="dxa"/>
            <w:vAlign w:val="bottom"/>
          </w:tcPr>
          <w:p>
            <w:pPr>
              <w:spacing w:after="0"/>
              <w:rPr>
                <w:sz w:val="20"/>
                <w:szCs w:val="20"/>
                <w:color w:val="auto"/>
              </w:rPr>
            </w:pPr>
            <w:r>
              <w:rPr>
                <w:rFonts w:ascii="Times New Roman" w:cs="Times New Roman" w:eastAsia="Times New Roman" w:hAnsi="Times New Roman"/>
                <w:sz w:val="13"/>
                <w:szCs w:val="13"/>
                <w:color w:val="auto"/>
              </w:rPr>
              <w:t>Mandatorily redeemable non-controlling interests</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42,096</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1,200</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40,296</w:t>
            </w:r>
          </w:p>
        </w:tc>
        <w:tc>
          <w:tcPr>
            <w:tcW w:w="120" w:type="dxa"/>
            <w:vAlign w:val="bottom"/>
          </w:tcPr>
          <w:p>
            <w:pPr>
              <w:spacing w:after="0"/>
              <w:rPr>
                <w:sz w:val="13"/>
                <w:szCs w:val="13"/>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Investment obligations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9,800</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6,300</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3,500</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1680" w:right="699" w:firstLine="317"/>
        <w:spacing w:after="0" w:line="259" w:lineRule="auto"/>
        <w:rPr>
          <w:sz w:val="20"/>
          <w:szCs w:val="20"/>
          <w:color w:val="auto"/>
        </w:rPr>
      </w:pPr>
      <w:r>
        <w:rPr>
          <w:rFonts w:ascii="Times New Roman" w:cs="Times New Roman" w:eastAsia="Times New Roman" w:hAnsi="Times New Roman"/>
          <w:sz w:val="13"/>
          <w:szCs w:val="13"/>
          <w:color w:val="auto"/>
        </w:rPr>
        <w:t>As disclosed in our consolidated financial statements included elsewhere in this annual report, we had unrecognized tax benefits. The final outcome of the tax uncertainty is dependent upon various matters including tax examinations, interpretation of tax laws or expiration of statutes of limitation. However, due to the uncertainties associated with the status of examinations, including the protocols of finalizing audits by the relevant tax authorities, there is a high degree of uncertainty regarding the future cash outflows associated with these tax uncertainties.</w:t>
      </w:r>
    </w:p>
    <w:p>
      <w:pPr>
        <w:spacing w:after="0" w:line="133" w:lineRule="exact"/>
        <w:rPr>
          <w:sz w:val="20"/>
          <w:szCs w:val="20"/>
          <w:color w:val="auto"/>
        </w:rPr>
      </w:pPr>
    </w:p>
    <w:p>
      <w:pPr>
        <w:ind w:left="1680" w:right="1239" w:firstLine="317"/>
        <w:spacing w:after="0" w:line="278" w:lineRule="auto"/>
        <w:rPr>
          <w:sz w:val="20"/>
          <w:szCs w:val="20"/>
          <w:color w:val="auto"/>
        </w:rPr>
      </w:pPr>
      <w:r>
        <w:rPr>
          <w:rFonts w:ascii="Times New Roman" w:cs="Times New Roman" w:eastAsia="Times New Roman" w:hAnsi="Times New Roman"/>
          <w:sz w:val="13"/>
          <w:szCs w:val="13"/>
          <w:color w:val="auto"/>
        </w:rPr>
        <w:t>Other than as shown above, we did not have any significant capital and other commitments, long-term obligations or guarantees as of December 31, 2021.</w:t>
      </w:r>
    </w:p>
    <w:p>
      <w:pPr>
        <w:spacing w:after="0" w:line="19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Off-Balance Sheet Arrangements</w:t>
      </w:r>
    </w:p>
    <w:p>
      <w:pPr>
        <w:spacing w:after="0" w:line="86" w:lineRule="exact"/>
        <w:rPr>
          <w:sz w:val="20"/>
          <w:szCs w:val="20"/>
          <w:color w:val="auto"/>
        </w:rPr>
      </w:pPr>
    </w:p>
    <w:p>
      <w:pPr>
        <w:ind w:left="1680" w:right="579" w:firstLine="317"/>
        <w:spacing w:after="0" w:line="257" w:lineRule="auto"/>
        <w:rPr>
          <w:sz w:val="20"/>
          <w:szCs w:val="20"/>
          <w:color w:val="auto"/>
        </w:rPr>
      </w:pPr>
      <w:r>
        <w:rPr>
          <w:rFonts w:ascii="Times New Roman" w:cs="Times New Roman" w:eastAsia="Times New Roman" w:hAnsi="Times New Roman"/>
          <w:sz w:val="13"/>
          <w:szCs w:val="13"/>
          <w:color w:val="auto"/>
        </w:rPr>
        <w:t>We have not entered into any financial guarantees or other commitments to guarantee the payment obligations of any third parties. In addition,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20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Holding Company Structure</w:t>
      </w:r>
    </w:p>
    <w:p>
      <w:pPr>
        <w:spacing w:after="0" w:line="8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We are a holding company with no material operations on our own. We conduct our operations primarily through our WFOE, the VIE and their</w:t>
      </w:r>
    </w:p>
    <w:p>
      <w:pPr>
        <w:spacing w:after="0" w:line="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2"/>
          <w:szCs w:val="12"/>
          <w:color w:val="auto"/>
        </w:rPr>
        <w:t>respective subsidiaries in China. As a result, our ability to pay dividends depends upon dividends paid by our WFOE. If our WFOE or any newly formed</w:t>
      </w:r>
    </w:p>
    <w:p>
      <w:pPr>
        <w:spacing w:after="0" w:line="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PRC subsidiaries incur debt on their own behalf in the future, the instruments governing their debt may restrict their ability to pay dividends to us. In</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addition, our wholly foreign-owned subsidiary in China is permitted to pay dividends to us only out of its retained earnings, if any, as determined in</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accordance with PRC accounting standards and regulations. Under PRC law, each of our WFOE, the VIE and their respective subsidiaries in China is</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required to set aside at least 10% of its after-tax profits each year, if any, to contribute to certain statutory reserve funds until the cumulative amount of</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such reserve funds reaches 50% of its registered capital. As of December 31, 2021, the total registered capital of our WFOE, the VIE and their</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respective subsidiaries in China amounted to RMB1006.2 million (US$157.9 million), implying a maximum total amount of RMB503.1 million</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(US$79.0 million) in statutory reserve funds to be set aside from their after-tax profits, if any. Our WFOE, the VIE and their respective subsidiaries in</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China had set aside a cumulative amount of RMB1.0 million (US$0.2 million) for such statutory reserve funds as of December 31, 2021. We believe</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2"/>
          <w:szCs w:val="12"/>
          <w:color w:val="auto"/>
        </w:rPr>
        <w:t>that setting aside such additional amount will not have a material adverse impact on our business or liquidity because (i) a company is not required to set</w:t>
      </w:r>
    </w:p>
    <w:p>
      <w:pPr>
        <w:spacing w:after="0" w:line="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aside any amount for its statutory reserve fund until it has positive after-tax profits; (ii) the amount to be set aside annually is only 10% of a company’s</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2"/>
          <w:szCs w:val="12"/>
          <w:color w:val="auto"/>
        </w:rPr>
        <w:t>after-tax profits, if any, and (iii) pursuant to the PRC Company Law, the statutory reserve funds can be used for offsetting a company’s losses, expanding</w:t>
      </w:r>
    </w:p>
    <w:p>
      <w:pPr>
        <w:spacing w:after="0" w:line="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its business operations and increasing its capital. In addition, our wholly foreign-owned subsidiary in China may allocate a portion of its after-tax profits</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based on PRC accounting standards to enterprise expansion funds and staff bonus and welfare funds at its discretion, and the VIE may allocate a portion</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of its after-tax profits based on PRC accounting standards to a surplus fund at its discretion. The statutory reserve funds and the discretionary funds are</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not distributable as cash dividends. Remittance of dividends by a wholly foreign-owned company out of China is subject to examination by the banks</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designated by SAFE. Our WFOE has not paid dividends and will not be able to pay dividends until it generates accumulated profits and meets the</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requirements for statutory reserve funds.</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123</w:t>
      </w:r>
    </w:p>
    <w:p>
      <w:pPr>
        <w:sectPr>
          <w:pgSz w:w="11900" w:h="16838" w:orient="portrait"/>
          <w:cols w:equalWidth="0" w:num="1">
            <w:col w:w="10159"/>
          </w:cols>
          <w:pgMar w:left="300" w:top="388" w:right="1440"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1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2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Inflation</w:t>
      </w:r>
    </w:p>
    <w:p>
      <w:pPr>
        <w:spacing w:after="0" w:line="86" w:lineRule="exact"/>
        <w:rPr>
          <w:sz w:val="20"/>
          <w:szCs w:val="20"/>
          <w:color w:val="auto"/>
        </w:rPr>
      </w:pPr>
    </w:p>
    <w:p>
      <w:pPr>
        <w:ind w:left="1680" w:right="739" w:firstLine="317"/>
        <w:spacing w:after="0" w:line="296" w:lineRule="auto"/>
        <w:rPr>
          <w:sz w:val="20"/>
          <w:szCs w:val="20"/>
          <w:color w:val="auto"/>
        </w:rPr>
      </w:pPr>
      <w:r>
        <w:rPr>
          <w:rFonts w:ascii="Times New Roman" w:cs="Times New Roman" w:eastAsia="Times New Roman" w:hAnsi="Times New Roman"/>
          <w:sz w:val="12"/>
          <w:szCs w:val="12"/>
          <w:color w:val="auto"/>
        </w:rPr>
        <w:t>Since our inception, inflation in China has not materially affected our results of operations. According to the National Bureau of Statistics of China, the year-over-year percent changes in the consumer price index for December 2020 and 2021 were increases of 0.2% and 2.4%, respectively. Although we have not been materially affected by inflation in the past, we may be affected if China experiences higher rates of inflation in the future.</w:t>
      </w:r>
    </w:p>
    <w:p>
      <w:pPr>
        <w:spacing w:after="0" w:line="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124</w:t>
      </w:r>
    </w:p>
    <w:p>
      <w:pPr>
        <w:sectPr>
          <w:pgSz w:w="11900" w:h="16838" w:orient="portrait"/>
          <w:cols w:equalWidth="0" w:num="1">
            <w:col w:w="10159"/>
          </w:cols>
          <w:pgMar w:left="300" w:top="388" w:right="1440"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 xml:space="preserve">C. </w:t>
      </w:r>
      <w:r>
        <w:rPr>
          <w:rFonts w:ascii="Times New Roman" w:cs="Times New Roman" w:eastAsia="Times New Roman" w:hAnsi="Times New Roman"/>
          <w:sz w:val="13"/>
          <w:szCs w:val="13"/>
          <w:b w:val="1"/>
          <w:bCs w:val="1"/>
          <w:u w:val="single" w:color="auto"/>
          <w:color w:val="auto"/>
        </w:rPr>
        <w:t>Research and Development, Patents and Licenses, etc</w:t>
      </w:r>
      <w:r>
        <w:rPr>
          <w:rFonts w:ascii="Times New Roman" w:cs="Times New Roman" w:eastAsia="Times New Roman" w:hAnsi="Times New Roman"/>
          <w:sz w:val="13"/>
          <w:szCs w:val="13"/>
          <w:b w:val="1"/>
          <w:bCs w:val="1"/>
          <w:color w:val="auto"/>
        </w:rPr>
        <w:t>.</w:t>
      </w:r>
    </w:p>
    <w:p>
      <w:pPr>
        <w:spacing w:after="0" w:line="8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See “Item 4. Information on the Company—B. Business Overview—Our Research and Development Capabilities” and “—Intellectual Property.”</w:t>
      </w:r>
    </w:p>
    <w:p>
      <w:pPr>
        <w:spacing w:after="0" w:line="23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 xml:space="preserve">D. </w:t>
      </w:r>
      <w:r>
        <w:rPr>
          <w:rFonts w:ascii="Times New Roman" w:cs="Times New Roman" w:eastAsia="Times New Roman" w:hAnsi="Times New Roman"/>
          <w:sz w:val="13"/>
          <w:szCs w:val="13"/>
          <w:b w:val="1"/>
          <w:bCs w:val="1"/>
          <w:u w:val="single" w:color="auto"/>
          <w:color w:val="auto"/>
        </w:rPr>
        <w:t>Trend Information.</w:t>
      </w:r>
    </w:p>
    <w:p>
      <w:pPr>
        <w:spacing w:after="0" w:line="86" w:lineRule="exact"/>
        <w:rPr>
          <w:sz w:val="20"/>
          <w:szCs w:val="20"/>
          <w:color w:val="auto"/>
        </w:rPr>
      </w:pPr>
    </w:p>
    <w:p>
      <w:pPr>
        <w:ind w:left="1680" w:right="559" w:firstLine="317"/>
        <w:spacing w:after="0" w:line="264" w:lineRule="auto"/>
        <w:rPr>
          <w:sz w:val="20"/>
          <w:szCs w:val="20"/>
          <w:color w:val="auto"/>
        </w:rPr>
      </w:pPr>
      <w:r>
        <w:rPr>
          <w:rFonts w:ascii="Times New Roman" w:cs="Times New Roman" w:eastAsia="Times New Roman" w:hAnsi="Times New Roman"/>
          <w:sz w:val="13"/>
          <w:szCs w:val="13"/>
          <w:color w:val="auto"/>
        </w:rPr>
        <w:t>Other than as described elsewhere in this annual report, we are not aware of any trends, uncertainties, demands, commitments or events that are reasonably likely to have a material adverse effect on our revenue, income from continuing operations, profitability, liquidity or capital resources, or that would cause our reported financial information not necessarily to be indicative of future operating results or financial condition.</w:t>
      </w:r>
    </w:p>
    <w:p>
      <w:pPr>
        <w:spacing w:after="0" w:line="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125</w:t>
      </w:r>
    </w:p>
    <w:p>
      <w:pPr>
        <w:sectPr>
          <w:pgSz w:w="11900" w:h="16838" w:orient="portrait"/>
          <w:cols w:equalWidth="0" w:num="1">
            <w:col w:w="10159"/>
          </w:cols>
          <w:pgMar w:left="300" w:top="388" w:right="1440"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 xml:space="preserve">E. </w:t>
      </w:r>
      <w:r>
        <w:rPr>
          <w:rFonts w:ascii="Times New Roman" w:cs="Times New Roman" w:eastAsia="Times New Roman" w:hAnsi="Times New Roman"/>
          <w:sz w:val="13"/>
          <w:szCs w:val="13"/>
          <w:b w:val="1"/>
          <w:bCs w:val="1"/>
          <w:u w:val="single" w:color="auto"/>
          <w:color w:val="auto"/>
        </w:rPr>
        <w:t>Critical Accounting Estimates</w:t>
      </w:r>
    </w:p>
    <w:p>
      <w:pPr>
        <w:spacing w:after="0" w:line="86" w:lineRule="exact"/>
        <w:rPr>
          <w:sz w:val="20"/>
          <w:szCs w:val="20"/>
          <w:color w:val="auto"/>
        </w:rPr>
      </w:pPr>
    </w:p>
    <w:p>
      <w:pPr>
        <w:ind w:left="1680" w:right="579" w:firstLine="317"/>
        <w:spacing w:after="0" w:line="253" w:lineRule="auto"/>
        <w:rPr>
          <w:sz w:val="20"/>
          <w:szCs w:val="20"/>
          <w:color w:val="auto"/>
        </w:rPr>
      </w:pPr>
      <w:r>
        <w:rPr>
          <w:rFonts w:ascii="Times New Roman" w:cs="Times New Roman" w:eastAsia="Times New Roman" w:hAnsi="Times New Roman"/>
          <w:sz w:val="13"/>
          <w:szCs w:val="13"/>
          <w:color w:val="auto"/>
        </w:rPr>
        <w:t>Our consolidated financial statements have been prepared in accordance with U.S. GAAP, which requires management to make estimates and assumptions that affect the reported amounts of assets and liabilities, revenues and expenses, and related disclosures of contingent liabilities in the consolidated financial statements and accompanying notes. We base our estimates on historical experience and on various other assumptions we believe to be reasonable under the circumstances, the results of which form the basis for making judgments about the carrying values of assets and liabilities. Changes in the economic environment, financial markets, and any other parameters used in determining such estimates could cause actual results to differ. Our critical accounting estimates are described below. The critical accounting estimates should be read in conjunction with our risk factors as disclosed in “Item 3. Key Information—D. Risk Factors.” See Note 2 to our consolidated financial statements for the year ended December 31, 2021 for more information on our critical accounting policies.</w:t>
      </w:r>
    </w:p>
    <w:p>
      <w:pPr>
        <w:spacing w:after="0" w:line="21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Allowance for doubtful accounts</w:t>
      </w:r>
    </w:p>
    <w:p>
      <w:pPr>
        <w:spacing w:after="0" w:line="86" w:lineRule="exact"/>
        <w:rPr>
          <w:sz w:val="20"/>
          <w:szCs w:val="20"/>
          <w:color w:val="auto"/>
        </w:rPr>
      </w:pPr>
    </w:p>
    <w:p>
      <w:pPr>
        <w:jc w:val="both"/>
        <w:ind w:left="1680" w:right="559" w:firstLine="317"/>
        <w:spacing w:after="0" w:line="264" w:lineRule="auto"/>
        <w:rPr>
          <w:sz w:val="20"/>
          <w:szCs w:val="20"/>
          <w:color w:val="auto"/>
        </w:rPr>
      </w:pPr>
      <w:r>
        <w:rPr>
          <w:rFonts w:ascii="Times New Roman" w:cs="Times New Roman" w:eastAsia="Times New Roman" w:hAnsi="Times New Roman"/>
          <w:sz w:val="13"/>
          <w:szCs w:val="13"/>
          <w:color w:val="auto"/>
        </w:rPr>
        <w:t>We make estimates of allowance for doubtful accounts receivable based upon assessment of various factors, including specific evidence indicating troubled collection, historical experience, accounts aging and other factors that may affect its ability to collect from the customers. Losses on allowance for doubtful accounts are recorded as general and administrative expenses on the consolidated statements of comprehensive income.</w:t>
      </w:r>
    </w:p>
    <w:p>
      <w:pPr>
        <w:spacing w:after="0" w:line="129" w:lineRule="exact"/>
        <w:rPr>
          <w:sz w:val="20"/>
          <w:szCs w:val="20"/>
          <w:color w:val="auto"/>
        </w:rPr>
      </w:pPr>
    </w:p>
    <w:p>
      <w:pPr>
        <w:ind w:left="1680" w:right="639" w:firstLine="317"/>
        <w:spacing w:after="0" w:line="254" w:lineRule="auto"/>
        <w:rPr>
          <w:sz w:val="20"/>
          <w:szCs w:val="20"/>
          <w:color w:val="auto"/>
        </w:rPr>
      </w:pPr>
      <w:r>
        <w:rPr>
          <w:rFonts w:ascii="Times New Roman" w:cs="Times New Roman" w:eastAsia="Times New Roman" w:hAnsi="Times New Roman"/>
          <w:sz w:val="13"/>
          <w:szCs w:val="13"/>
          <w:color w:val="auto"/>
        </w:rPr>
        <w:t>We apply management’s judgments and estimates when determining the allowance for doubtful accounts to be recognized. We reassess the allowance at each balance sheet date. Where the basis of judgments and estimates is different from the initial assessment, such differences will impact the allowance for doubtful accounts and the carrying values of the accounts receivable in the year. As of December 31, 2020 and 2021, we assessed the ending balance of allowance for doubtful accounts to be RMB10.1 million and RMB69.4 million (US$10.9 million), respectively. The significant increase was based on our assessment as of December 31, 2021, with our judgments and estimates that the impacts from the continuous COVID-19 epidemic and control measures in China adversely affected the business of customers and the ability to collect from the customers. Changes in these estimates and assumptions could materially affect the allowance losses.</w:t>
      </w:r>
    </w:p>
    <w:p>
      <w:pPr>
        <w:spacing w:after="0" w:line="21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Valuation allowance for deferred tax assets</w:t>
      </w:r>
    </w:p>
    <w:p>
      <w:pPr>
        <w:spacing w:after="0" w:line="86" w:lineRule="exact"/>
        <w:rPr>
          <w:sz w:val="20"/>
          <w:szCs w:val="20"/>
          <w:color w:val="auto"/>
        </w:rPr>
      </w:pPr>
    </w:p>
    <w:p>
      <w:pPr>
        <w:ind w:left="1680" w:right="619" w:firstLine="317"/>
        <w:spacing w:after="0" w:line="255" w:lineRule="auto"/>
        <w:rPr>
          <w:sz w:val="20"/>
          <w:szCs w:val="20"/>
          <w:color w:val="auto"/>
        </w:rPr>
      </w:pPr>
      <w:r>
        <w:rPr>
          <w:rFonts w:ascii="Times New Roman" w:cs="Times New Roman" w:eastAsia="Times New Roman" w:hAnsi="Times New Roman"/>
          <w:sz w:val="13"/>
          <w:szCs w:val="13"/>
          <w:color w:val="auto"/>
        </w:rPr>
        <w:t>We record a valuation allowance to offset deferred tax assets if based on the weight of available evidence, it is more-likely-than-not that some portion, or all, of the deferred tax assets will not be realized. Significant judgment is required in determining the valuation allowance. In assessing the need for a valuation allowance, we consider all sources of taxable income, including projected future taxable income, reversing taxable temporary differences and ongoing tax planning strategies. If it is determined that we are able to realize deferred tax assets in excess of the net carrying value or to the extent we are unable to realize a deferred tax asset, we would adjust the valuation allowance in the period in which such a determination is made, with a corresponding increase or decrease to earnings.</w:t>
      </w:r>
    </w:p>
    <w:p>
      <w:pPr>
        <w:spacing w:after="0" w:line="241" w:lineRule="exact"/>
        <w:rPr>
          <w:sz w:val="20"/>
          <w:szCs w:val="20"/>
          <w:color w:val="auto"/>
        </w:rPr>
      </w:pPr>
    </w:p>
    <w:p>
      <w:pPr>
        <w:ind w:left="1680"/>
        <w:spacing w:after="0"/>
        <w:tabs>
          <w:tab w:leader="none" w:pos="2440" w:val="left"/>
        </w:tabs>
        <w:rPr>
          <w:sz w:val="20"/>
          <w:szCs w:val="20"/>
          <w:color w:val="auto"/>
        </w:rPr>
      </w:pPr>
      <w:r>
        <w:rPr>
          <w:rFonts w:ascii="Times New Roman" w:cs="Times New Roman" w:eastAsia="Times New Roman" w:hAnsi="Times New Roman"/>
          <w:sz w:val="13"/>
          <w:szCs w:val="13"/>
          <w:b w:val="1"/>
          <w:bCs w:val="1"/>
          <w:color w:val="auto"/>
        </w:rPr>
        <w:t>Item 6.</w:t>
      </w:r>
      <w:r>
        <w:rPr>
          <w:sz w:val="20"/>
          <w:szCs w:val="20"/>
          <w:color w:val="auto"/>
        </w:rPr>
        <w:tab/>
      </w:r>
      <w:r>
        <w:rPr>
          <w:rFonts w:ascii="Times New Roman" w:cs="Times New Roman" w:eastAsia="Times New Roman" w:hAnsi="Times New Roman"/>
          <w:sz w:val="12"/>
          <w:szCs w:val="12"/>
          <w:b w:val="1"/>
          <w:bCs w:val="1"/>
          <w:color w:val="auto"/>
        </w:rPr>
        <w:t>Directors, Senior Management and Employees</w:t>
      </w:r>
    </w:p>
    <w:p>
      <w:pPr>
        <w:spacing w:after="0" w:line="24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 xml:space="preserve">A. </w:t>
      </w:r>
      <w:r>
        <w:rPr>
          <w:rFonts w:ascii="Times New Roman" w:cs="Times New Roman" w:eastAsia="Times New Roman" w:hAnsi="Times New Roman"/>
          <w:sz w:val="13"/>
          <w:szCs w:val="13"/>
          <w:b w:val="1"/>
          <w:bCs w:val="1"/>
          <w:u w:val="single" w:color="auto"/>
          <w:color w:val="auto"/>
        </w:rPr>
        <w:t>Directors and senior management.</w:t>
      </w:r>
    </w:p>
    <w:p>
      <w:pPr>
        <w:spacing w:after="0" w:line="8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following table sets forth certain information relating to our directors and executive officers as of the date of this annual report.</w:t>
      </w:r>
    </w:p>
    <w:p>
      <w:pPr>
        <w:spacing w:after="0" w:line="177" w:lineRule="exact"/>
        <w:rPr>
          <w:sz w:val="20"/>
          <w:szCs w:val="20"/>
          <w:color w:val="auto"/>
        </w:rPr>
      </w:pPr>
    </w:p>
    <w:tbl>
      <w:tblPr>
        <w:tblLayout w:type="fixed"/>
        <w:tblInd w:w="1680" w:type="dxa"/>
        <w:tblCellMar>
          <w:top w:w="0" w:type="dxa"/>
          <w:left w:w="0" w:type="dxa"/>
          <w:bottom w:w="0" w:type="dxa"/>
          <w:right w:w="0" w:type="dxa"/>
        </w:tblCellMar>
      </w:tblPr>
      <w:tr>
        <w:trPr>
          <w:trHeight w:val="144"/>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Directors and Executive Officers</w:t>
            </w:r>
          </w:p>
        </w:tc>
        <w:tc>
          <w:tcPr>
            <w:tcW w:w="700" w:type="dxa"/>
            <w:vAlign w:val="bottom"/>
          </w:tcPr>
          <w:p>
            <w:pPr>
              <w:spacing w:after="0"/>
              <w:rPr>
                <w:sz w:val="12"/>
                <w:szCs w:val="12"/>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Age</w:t>
            </w:r>
          </w:p>
        </w:tc>
        <w:tc>
          <w:tcPr>
            <w:tcW w:w="5240" w:type="dxa"/>
            <w:vAlign w:val="bottom"/>
          </w:tcPr>
          <w:p>
            <w:pPr>
              <w:ind w:left="2320"/>
              <w:spacing w:after="0"/>
              <w:rPr>
                <w:sz w:val="20"/>
                <w:szCs w:val="20"/>
                <w:color w:val="auto"/>
              </w:rPr>
            </w:pPr>
            <w:r>
              <w:rPr>
                <w:rFonts w:ascii="Times New Roman" w:cs="Times New Roman" w:eastAsia="Times New Roman" w:hAnsi="Times New Roman"/>
                <w:sz w:val="10"/>
                <w:szCs w:val="10"/>
                <w:b w:val="1"/>
                <w:bCs w:val="1"/>
                <w:color w:val="auto"/>
              </w:rPr>
              <w:t>Position/Title</w:t>
            </w:r>
          </w:p>
        </w:tc>
      </w:tr>
      <w:tr>
        <w:trPr>
          <w:trHeight w:val="135"/>
        </w:trPr>
        <w:tc>
          <w:tcPr>
            <w:tcW w:w="1440" w:type="dxa"/>
            <w:vAlign w:val="bottom"/>
            <w:tcBorders>
              <w:top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Huazhi Hu</w:t>
            </w:r>
          </w:p>
        </w:tc>
        <w:tc>
          <w:tcPr>
            <w:tcW w:w="7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45</w:t>
            </w:r>
          </w:p>
        </w:tc>
        <w:tc>
          <w:tcPr>
            <w:tcW w:w="220" w:type="dxa"/>
            <w:vAlign w:val="bottom"/>
            <w:tcBorders>
              <w:top w:val="single" w:sz="8" w:color="CCEEFF"/>
            </w:tcBorders>
            <w:shd w:val="clear" w:color="auto" w:fill="CCEEFF"/>
          </w:tcPr>
          <w:p>
            <w:pPr>
              <w:spacing w:after="0"/>
              <w:rPr>
                <w:sz w:val="11"/>
                <w:szCs w:val="11"/>
                <w:color w:val="auto"/>
              </w:rPr>
            </w:pPr>
          </w:p>
        </w:tc>
        <w:tc>
          <w:tcPr>
            <w:tcW w:w="5240" w:type="dxa"/>
            <w:vAlign w:val="bottom"/>
            <w:tcBorders>
              <w:top w:val="single" w:sz="8" w:color="auto"/>
            </w:tcBorders>
            <w:shd w:val="clear" w:color="auto" w:fill="CCEEFF"/>
          </w:tcPr>
          <w:p>
            <w:pPr>
              <w:ind w:left="260"/>
              <w:spacing w:after="0" w:line="135" w:lineRule="exact"/>
              <w:rPr>
                <w:sz w:val="20"/>
                <w:szCs w:val="20"/>
                <w:color w:val="auto"/>
              </w:rPr>
            </w:pPr>
            <w:r>
              <w:rPr>
                <w:rFonts w:ascii="Times New Roman" w:cs="Times New Roman" w:eastAsia="Times New Roman" w:hAnsi="Times New Roman"/>
                <w:sz w:val="13"/>
                <w:szCs w:val="13"/>
                <w:color w:val="auto"/>
              </w:rPr>
              <w:t>Founder, Chairman and Chief Executive Officer</w:t>
            </w:r>
          </w:p>
        </w:tc>
      </w:tr>
      <w:tr>
        <w:trPr>
          <w:trHeight w:val="156"/>
        </w:trPr>
        <w:tc>
          <w:tcPr>
            <w:tcW w:w="1440" w:type="dxa"/>
            <w:vAlign w:val="bottom"/>
          </w:tcPr>
          <w:p>
            <w:pPr>
              <w:spacing w:after="0"/>
              <w:rPr>
                <w:sz w:val="20"/>
                <w:szCs w:val="20"/>
                <w:color w:val="auto"/>
              </w:rPr>
            </w:pPr>
            <w:r>
              <w:rPr>
                <w:rFonts w:ascii="Times New Roman" w:cs="Times New Roman" w:eastAsia="Times New Roman" w:hAnsi="Times New Roman"/>
                <w:sz w:val="13"/>
                <w:szCs w:val="13"/>
                <w:color w:val="auto"/>
              </w:rPr>
              <w:t>Haoxiang Hou</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220" w:type="dxa"/>
            <w:vAlign w:val="bottom"/>
          </w:tcPr>
          <w:p>
            <w:pPr>
              <w:spacing w:after="0"/>
              <w:rPr>
                <w:sz w:val="13"/>
                <w:szCs w:val="13"/>
                <w:color w:val="auto"/>
              </w:rPr>
            </w:pPr>
          </w:p>
        </w:tc>
        <w:tc>
          <w:tcPr>
            <w:tcW w:w="52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Independent Director</w:t>
            </w:r>
          </w:p>
        </w:tc>
      </w:tr>
      <w:tr>
        <w:trPr>
          <w:trHeight w:val="156"/>
        </w:trPr>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Conor Chia-hung Yang</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220" w:type="dxa"/>
            <w:vAlign w:val="bottom"/>
            <w:shd w:val="clear" w:color="auto" w:fill="CCEEFF"/>
          </w:tcPr>
          <w:p>
            <w:pPr>
              <w:spacing w:after="0"/>
              <w:rPr>
                <w:sz w:val="13"/>
                <w:szCs w:val="13"/>
                <w:color w:val="auto"/>
              </w:rPr>
            </w:pPr>
          </w:p>
        </w:tc>
        <w:tc>
          <w:tcPr>
            <w:tcW w:w="5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Independent Director</w:t>
            </w:r>
          </w:p>
        </w:tc>
      </w:tr>
      <w:tr>
        <w:trPr>
          <w:trHeight w:val="156"/>
        </w:trPr>
        <w:tc>
          <w:tcPr>
            <w:tcW w:w="1440" w:type="dxa"/>
            <w:vAlign w:val="bottom"/>
          </w:tcPr>
          <w:p>
            <w:pPr>
              <w:spacing w:after="0"/>
              <w:rPr>
                <w:sz w:val="20"/>
                <w:szCs w:val="20"/>
                <w:color w:val="auto"/>
              </w:rPr>
            </w:pPr>
            <w:r>
              <w:rPr>
                <w:rFonts w:ascii="Times New Roman" w:cs="Times New Roman" w:eastAsia="Times New Roman" w:hAnsi="Times New Roman"/>
                <w:sz w:val="13"/>
                <w:szCs w:val="13"/>
                <w:color w:val="auto"/>
              </w:rPr>
              <w:t>Dongming Wu</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220" w:type="dxa"/>
            <w:vAlign w:val="bottom"/>
          </w:tcPr>
          <w:p>
            <w:pPr>
              <w:spacing w:after="0"/>
              <w:rPr>
                <w:sz w:val="13"/>
                <w:szCs w:val="13"/>
                <w:color w:val="auto"/>
              </w:rPr>
            </w:pPr>
          </w:p>
        </w:tc>
        <w:tc>
          <w:tcPr>
            <w:tcW w:w="52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Independent Director</w:t>
            </w:r>
          </w:p>
        </w:tc>
      </w:tr>
      <w:tr>
        <w:trPr>
          <w:trHeight w:val="156"/>
        </w:trPr>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Xin Fang</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220" w:type="dxa"/>
            <w:vAlign w:val="bottom"/>
            <w:shd w:val="clear" w:color="auto" w:fill="CCEEFF"/>
          </w:tcPr>
          <w:p>
            <w:pPr>
              <w:spacing w:after="0"/>
              <w:rPr>
                <w:sz w:val="13"/>
                <w:szCs w:val="13"/>
                <w:color w:val="auto"/>
              </w:rPr>
            </w:pPr>
          </w:p>
        </w:tc>
        <w:tc>
          <w:tcPr>
            <w:tcW w:w="5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Chief Operating Officer</w:t>
            </w:r>
          </w:p>
        </w:tc>
      </w:tr>
      <w:tr>
        <w:trPr>
          <w:trHeight w:val="156"/>
        </w:trPr>
        <w:tc>
          <w:tcPr>
            <w:tcW w:w="1440" w:type="dxa"/>
            <w:vAlign w:val="bottom"/>
          </w:tcPr>
          <w:p>
            <w:pPr>
              <w:spacing w:after="0"/>
              <w:rPr>
                <w:sz w:val="20"/>
                <w:szCs w:val="20"/>
                <w:color w:val="auto"/>
              </w:rPr>
            </w:pPr>
            <w:r>
              <w:rPr>
                <w:rFonts w:ascii="Times New Roman" w:cs="Times New Roman" w:eastAsia="Times New Roman" w:hAnsi="Times New Roman"/>
                <w:sz w:val="13"/>
                <w:szCs w:val="13"/>
                <w:color w:val="auto"/>
              </w:rPr>
              <w:t>Richard Jian Liu</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220" w:type="dxa"/>
            <w:vAlign w:val="bottom"/>
          </w:tcPr>
          <w:p>
            <w:pPr>
              <w:spacing w:after="0"/>
              <w:rPr>
                <w:sz w:val="13"/>
                <w:szCs w:val="13"/>
                <w:color w:val="auto"/>
              </w:rPr>
            </w:pPr>
          </w:p>
        </w:tc>
        <w:tc>
          <w:tcPr>
            <w:tcW w:w="52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Chief Financial Officer</w:t>
            </w:r>
          </w:p>
        </w:tc>
      </w:tr>
      <w:tr>
        <w:trPr>
          <w:trHeight w:val="156"/>
        </w:trPr>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Edward Huaxiang Xu</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220" w:type="dxa"/>
            <w:vAlign w:val="bottom"/>
            <w:shd w:val="clear" w:color="auto" w:fill="CCEEFF"/>
          </w:tcPr>
          <w:p>
            <w:pPr>
              <w:spacing w:after="0"/>
              <w:rPr>
                <w:sz w:val="13"/>
                <w:szCs w:val="13"/>
                <w:color w:val="auto"/>
              </w:rPr>
            </w:pPr>
          </w:p>
        </w:tc>
        <w:tc>
          <w:tcPr>
            <w:tcW w:w="5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Chief Strategy Officer</w:t>
            </w:r>
          </w:p>
        </w:tc>
      </w:tr>
    </w:tbl>
    <w:p>
      <w:pPr>
        <w:spacing w:after="0" w:line="141" w:lineRule="exact"/>
        <w:rPr>
          <w:sz w:val="20"/>
          <w:szCs w:val="20"/>
          <w:color w:val="auto"/>
        </w:rPr>
      </w:pPr>
    </w:p>
    <w:p>
      <w:pPr>
        <w:ind w:left="1680" w:right="559" w:firstLine="317"/>
        <w:spacing w:after="0" w:line="256" w:lineRule="auto"/>
        <w:rPr>
          <w:sz w:val="20"/>
          <w:szCs w:val="20"/>
          <w:color w:val="auto"/>
        </w:rPr>
      </w:pPr>
      <w:r>
        <w:rPr>
          <w:rFonts w:ascii="Times New Roman" w:cs="Times New Roman" w:eastAsia="Times New Roman" w:hAnsi="Times New Roman"/>
          <w:sz w:val="13"/>
          <w:szCs w:val="13"/>
          <w:i w:val="1"/>
          <w:iCs w:val="1"/>
          <w:color w:val="auto"/>
        </w:rPr>
        <w:t xml:space="preserve">Mr. Huazhi Hu </w:t>
      </w:r>
      <w:r>
        <w:rPr>
          <w:rFonts w:ascii="Times New Roman" w:cs="Times New Roman" w:eastAsia="Times New Roman" w:hAnsi="Times New Roman"/>
          <w:sz w:val="13"/>
          <w:szCs w:val="13"/>
          <w:color w:val="auto"/>
        </w:rPr>
        <w:t>has been the founder, chief executive officer and the chairman of the board of directors since the inception of our company. Mr. Hu</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founded our predecessor company, Beijing Yihang Chuangshi Technology Co., Ltd. in 2005, a leader in providing large-scale command-and-control systems. Mr. Hu also worked as the chief technology officer at Beijing 999 Emergency Rescue Center in charge of the development of the emergency command &amp; control center between 2008 and 2010, and worked at Beijing Jindian Group as a vice president overseeing information management between 2006 and 2008. Mr. Hu is a recipient of the Technology Innovation Award presented at the Living Legends of Aviation event in 2019. Mr. Hu attended Tsinghua University where he studied computer science between 1992 and 1997.</w:t>
      </w:r>
    </w:p>
    <w:p>
      <w:pPr>
        <w:spacing w:after="0" w:line="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126</w:t>
      </w:r>
    </w:p>
    <w:p>
      <w:pPr>
        <w:sectPr>
          <w:pgSz w:w="11900" w:h="16838" w:orient="portrait"/>
          <w:cols w:equalWidth="0" w:num="1">
            <w:col w:w="10159"/>
          </w:cols>
          <w:pgMar w:left="300" w:top="388" w:right="1440"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ind w:left="1680" w:right="559" w:firstLine="317"/>
        <w:spacing w:after="0" w:line="257" w:lineRule="auto"/>
        <w:rPr>
          <w:sz w:val="20"/>
          <w:szCs w:val="20"/>
          <w:color w:val="auto"/>
        </w:rPr>
      </w:pPr>
      <w:r>
        <w:rPr>
          <w:rFonts w:ascii="Times New Roman" w:cs="Times New Roman" w:eastAsia="Times New Roman" w:hAnsi="Times New Roman"/>
          <w:sz w:val="13"/>
          <w:szCs w:val="13"/>
          <w:i w:val="1"/>
          <w:iCs w:val="1"/>
          <w:color w:val="auto"/>
        </w:rPr>
        <w:t xml:space="preserve">Mr. Haoxiang Hou </w:t>
      </w:r>
      <w:r>
        <w:rPr>
          <w:rFonts w:ascii="Times New Roman" w:cs="Times New Roman" w:eastAsia="Times New Roman" w:hAnsi="Times New Roman"/>
          <w:sz w:val="13"/>
          <w:szCs w:val="13"/>
          <w:color w:val="auto"/>
        </w:rPr>
        <w:t>has served as our director since August 2015. Mr. Hou has served as a senior partner, managing director and member of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investment committee of GP Lingang Hi-tech Fund since January 2017, where he plays a key role in fundraising and investment in new energy and new material sectors. Prior to that, he served as a vice president of investment at GP TMT Fund from 2015 to 2016. Mr. Hou was named on the list of “China Top 30 Venture Capitalists Under the Age of 30 in 2018” by Forbes. Mr. Hou received his bachelor’s degree in information security and international finance and his master’s degree in business administration from Shanghai Jiao Tong University in 2011 and 2015, respectively.</w:t>
      </w:r>
    </w:p>
    <w:p>
      <w:pPr>
        <w:spacing w:after="0" w:line="133" w:lineRule="exact"/>
        <w:rPr>
          <w:sz w:val="20"/>
          <w:szCs w:val="20"/>
          <w:color w:val="auto"/>
        </w:rPr>
      </w:pPr>
    </w:p>
    <w:p>
      <w:pPr>
        <w:ind w:left="1680" w:right="559" w:firstLine="317"/>
        <w:spacing w:after="0" w:line="253" w:lineRule="auto"/>
        <w:rPr>
          <w:sz w:val="20"/>
          <w:szCs w:val="20"/>
          <w:color w:val="auto"/>
        </w:rPr>
      </w:pPr>
      <w:r>
        <w:rPr>
          <w:rFonts w:ascii="Times New Roman" w:cs="Times New Roman" w:eastAsia="Times New Roman" w:hAnsi="Times New Roman"/>
          <w:sz w:val="13"/>
          <w:szCs w:val="13"/>
          <w:i w:val="1"/>
          <w:iCs w:val="1"/>
          <w:color w:val="auto"/>
        </w:rPr>
        <w:t xml:space="preserve">Mr. Conor Chia-hung Yang </w:t>
      </w:r>
      <w:r>
        <w:rPr>
          <w:rFonts w:ascii="Times New Roman" w:cs="Times New Roman" w:eastAsia="Times New Roman" w:hAnsi="Times New Roman"/>
          <w:sz w:val="13"/>
          <w:szCs w:val="13"/>
          <w:color w:val="auto"/>
        </w:rPr>
        <w:t>has served as our director since December 2019. Mr. Yang is the chief financial officer of TalkingData Group Holding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Limited since December 2021. Prior to joining us, Mr. Yang was a co-founder of Black Fish Financial Group Limited and served as its president from November 2017 to February 2021. Mr. Yang was the chief financial officer of Tuniu Corporation (Nasdaq: TOUR) from January 2013 to November 2017, the chief financial officer of E-Commerce China Dangdang Inc., a previously NYSE-listed company, from March 2010 to July 2012, and the chief financial officer of AirMedia Group Inc., a Nasdaq-listed company, from March 2007 to March 2010. Mr. Yang was the chief executive officer of Rock Mobile Corporation from 2004 to 2007. From 1999 to 2004, Mr. Yang served as the chief financial officer of the Asia Pacific region for CellStar Asia Corporation. Mr. Yang was an executive director of Goldman Sachs (Asia) L.L.C. from 1997 to 1999. Prior to that, Mr. Yang was a vice president of Lehman Brothers Asia Limited from 1994 to 1996 and an associate at Morgan Stanley Asia Limited from 1992 to 1994. Mr. Yang currently serves as an independent director of I-Mab (Nasdaq: IMAB) and iQIYI, Inc. (Nasdaq: IQ). Mr. Yang received his master’s degree in business administration from the University of California, Los Angeles in 1992.</w:t>
      </w:r>
    </w:p>
    <w:p>
      <w:pPr>
        <w:spacing w:after="0" w:line="136" w:lineRule="exact"/>
        <w:rPr>
          <w:sz w:val="20"/>
          <w:szCs w:val="20"/>
          <w:color w:val="auto"/>
        </w:rPr>
      </w:pPr>
    </w:p>
    <w:p>
      <w:pPr>
        <w:ind w:left="1680" w:right="579" w:firstLine="317"/>
        <w:spacing w:after="0" w:line="255" w:lineRule="auto"/>
        <w:rPr>
          <w:sz w:val="20"/>
          <w:szCs w:val="20"/>
          <w:color w:val="auto"/>
        </w:rPr>
      </w:pPr>
      <w:r>
        <w:rPr>
          <w:rFonts w:ascii="Times New Roman" w:cs="Times New Roman" w:eastAsia="Times New Roman" w:hAnsi="Times New Roman"/>
          <w:sz w:val="13"/>
          <w:szCs w:val="13"/>
          <w:i w:val="1"/>
          <w:iCs w:val="1"/>
          <w:color w:val="auto"/>
        </w:rPr>
        <w:t xml:space="preserve">Mr. Dongming Wu </w:t>
      </w:r>
      <w:r>
        <w:rPr>
          <w:rFonts w:ascii="Times New Roman" w:cs="Times New Roman" w:eastAsia="Times New Roman" w:hAnsi="Times New Roman"/>
          <w:sz w:val="13"/>
          <w:szCs w:val="13"/>
          <w:color w:val="auto"/>
        </w:rPr>
        <w:t>has served as our director since June 2020. Mr. Wu has served as a Managing Director of DHL-Sinotrans since May 2003. 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also currently serves as the Chief Executive Officer of DHL Express China and a Global Management Board Member of DHL Express. DHL-Sinotrans, a leading international express company in China, is a joint venture between the global delivery and logistics giant DHL and Sinotrans. Mr. Wu has over 30 years of experience in the global delivery and logistics industry. He started his career at Sinotrans in July 1986, where he held various senior management positions and most recently served as the chairman of its supervisory board through March 2017. Mr. Dongming Wu received his bachelor’s degree in economics from Beijing International Studies University and his EMBA degree from the BiMBA Business School of the National School of Development at Peking University.</w:t>
      </w:r>
    </w:p>
    <w:p>
      <w:pPr>
        <w:spacing w:after="0" w:line="133" w:lineRule="exact"/>
        <w:rPr>
          <w:sz w:val="20"/>
          <w:szCs w:val="20"/>
          <w:color w:val="auto"/>
        </w:rPr>
      </w:pPr>
    </w:p>
    <w:p>
      <w:pPr>
        <w:ind w:left="1680" w:right="619" w:firstLine="317"/>
        <w:spacing w:after="0" w:line="256" w:lineRule="auto"/>
        <w:rPr>
          <w:sz w:val="20"/>
          <w:szCs w:val="20"/>
          <w:color w:val="auto"/>
        </w:rPr>
      </w:pPr>
      <w:r>
        <w:rPr>
          <w:rFonts w:ascii="Times New Roman" w:cs="Times New Roman" w:eastAsia="Times New Roman" w:hAnsi="Times New Roman"/>
          <w:sz w:val="13"/>
          <w:szCs w:val="13"/>
          <w:i w:val="1"/>
          <w:iCs w:val="1"/>
          <w:color w:val="auto"/>
        </w:rPr>
        <w:t xml:space="preserve">Mr. Xin Fang </w:t>
      </w:r>
      <w:r>
        <w:rPr>
          <w:rFonts w:ascii="Times New Roman" w:cs="Times New Roman" w:eastAsia="Times New Roman" w:hAnsi="Times New Roman"/>
          <w:sz w:val="13"/>
          <w:szCs w:val="13"/>
          <w:color w:val="auto"/>
        </w:rPr>
        <w:t>has served as our chief operating officer since February 2022. Prior to joining us, Mr. Fang served as the Chairman of the Board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Directors of Wuning Xinyihang Investment Development Co., Ltd. Mr. Fang is a seasoned business leader with more than 20 years of business administration and operational experience. He has a track record of success in the fields of sales of IT product and system integration solutions, tourism operation and management, tourism real estate development, etc. Mr. Fang will be in charge of the company’s daily operations, with a focus on sales of EHang AAV products and solutions, and the commercialization of UAM services. He obtained his master’s degree in business administration from Nanchang University in 2013.</w:t>
      </w:r>
    </w:p>
    <w:p>
      <w:pPr>
        <w:spacing w:after="0" w:line="133" w:lineRule="exact"/>
        <w:rPr>
          <w:sz w:val="20"/>
          <w:szCs w:val="20"/>
          <w:color w:val="auto"/>
        </w:rPr>
      </w:pPr>
    </w:p>
    <w:p>
      <w:pPr>
        <w:ind w:left="1680" w:right="739" w:firstLine="317"/>
        <w:spacing w:after="0" w:line="254" w:lineRule="auto"/>
        <w:rPr>
          <w:sz w:val="20"/>
          <w:szCs w:val="20"/>
          <w:color w:val="auto"/>
        </w:rPr>
      </w:pPr>
      <w:r>
        <w:rPr>
          <w:rFonts w:ascii="Times New Roman" w:cs="Times New Roman" w:eastAsia="Times New Roman" w:hAnsi="Times New Roman"/>
          <w:sz w:val="13"/>
          <w:szCs w:val="13"/>
          <w:i w:val="1"/>
          <w:iCs w:val="1"/>
          <w:color w:val="auto"/>
        </w:rPr>
        <w:t xml:space="preserve">Mr. Richard Jian Liu </w:t>
      </w:r>
      <w:r>
        <w:rPr>
          <w:rFonts w:ascii="Times New Roman" w:cs="Times New Roman" w:eastAsia="Times New Roman" w:hAnsi="Times New Roman"/>
          <w:sz w:val="13"/>
          <w:szCs w:val="13"/>
          <w:color w:val="auto"/>
        </w:rPr>
        <w:t>has served as our chief financial officer since May 2017. Mr. Liu joined our company as a vice president of finance in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August 2015. Prior to joining us, Mr. Liu served as group vice president of finance and chief financial officer of the New Business Group at 21Vianet Group, Inc. (Nasdaq: VNET) from May 2014 to August 2015. From March 2008 to May 2014, he also served as the chief financial officer at several industry-leading companies, including Ecoplast Technologies Inc., China Polypeptide Group, Inc. and China Energy Recovery, Inc. Prior to that, he worked as a senior consultant at Arthur Andersen LLP, a public accounting firm, in its China offices between 1996 to 2000. Mr. Liu received his bachelor’s degree in engineering from Shanghai Jiao Tong University in 1996 and his master’s degree in business administration from the Anderson Graduate School of Management at the University of California, Los Angeles in 2003. Mr. Liu is a member of Chinese Institute of Certified Public Accountants.</w:t>
      </w:r>
    </w:p>
    <w:p>
      <w:pPr>
        <w:spacing w:after="0" w:line="135" w:lineRule="exact"/>
        <w:rPr>
          <w:sz w:val="20"/>
          <w:szCs w:val="20"/>
          <w:color w:val="auto"/>
        </w:rPr>
      </w:pPr>
    </w:p>
    <w:p>
      <w:pPr>
        <w:ind w:left="1680" w:right="579" w:firstLine="317"/>
        <w:spacing w:after="0" w:line="257" w:lineRule="auto"/>
        <w:rPr>
          <w:sz w:val="20"/>
          <w:szCs w:val="20"/>
          <w:color w:val="auto"/>
        </w:rPr>
      </w:pPr>
      <w:r>
        <w:rPr>
          <w:rFonts w:ascii="Times New Roman" w:cs="Times New Roman" w:eastAsia="Times New Roman" w:hAnsi="Times New Roman"/>
          <w:sz w:val="13"/>
          <w:szCs w:val="13"/>
          <w:i w:val="1"/>
          <w:iCs w:val="1"/>
          <w:color w:val="auto"/>
        </w:rPr>
        <w:t xml:space="preserve">Mr. Edward Huaxiang Xu </w:t>
      </w:r>
      <w:r>
        <w:rPr>
          <w:rFonts w:ascii="Times New Roman" w:cs="Times New Roman" w:eastAsia="Times New Roman" w:hAnsi="Times New Roman"/>
          <w:sz w:val="13"/>
          <w:szCs w:val="13"/>
          <w:color w:val="auto"/>
        </w:rPr>
        <w:t>has served as our chief strategy officer since July 2019. Prior to joining us, Mr. Xu served as Head of Asia (ex-Japan)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Transportation Research at Morgan Stanley Asia Limited. During his 15-year career as an equity research analyst at Morgan Stanley, he covered China’s aerospace and transportation industries extensively, including airlines, logistics, airports, and railways, among others. Mr. Xu is a CFA charterholder. He obtained his bachelor’s degree in English information management from Beijing Foreign Studies University in 1998 and his master’s degree in business administration from University of Illinois at Urbana-Champaign in 2003.</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127</w:t>
      </w:r>
    </w:p>
    <w:p>
      <w:pPr>
        <w:sectPr>
          <w:pgSz w:w="11900" w:h="16838" w:orient="portrait"/>
          <w:cols w:equalWidth="0" w:num="1">
            <w:col w:w="10159"/>
          </w:cols>
          <w:pgMar w:left="300" w:top="388" w:right="1440"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ind w:left="1820" w:hanging="144"/>
        <w:spacing w:after="0"/>
        <w:tabs>
          <w:tab w:leader="none" w:pos="1820" w:val="left"/>
        </w:tabs>
        <w:numPr>
          <w:ilvl w:val="0"/>
          <w:numId w:val="4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Compensation</w:t>
      </w:r>
      <w:r>
        <w:rPr>
          <w:rFonts w:ascii="Times New Roman" w:cs="Times New Roman" w:eastAsia="Times New Roman" w:hAnsi="Times New Roman"/>
          <w:sz w:val="13"/>
          <w:szCs w:val="13"/>
          <w:b w:val="1"/>
          <w:bCs w:val="1"/>
          <w:color w:val="auto"/>
        </w:rPr>
        <w:t>.</w:t>
      </w:r>
    </w:p>
    <w:p>
      <w:pPr>
        <w:spacing w:after="0" w:line="8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Compensation of Directors and Executive Officers</w:t>
      </w:r>
    </w:p>
    <w:p>
      <w:pPr>
        <w:spacing w:after="0" w:line="88" w:lineRule="exact"/>
        <w:rPr>
          <w:sz w:val="20"/>
          <w:szCs w:val="20"/>
          <w:color w:val="auto"/>
        </w:rPr>
      </w:pPr>
    </w:p>
    <w:p>
      <w:pPr>
        <w:ind w:left="1680" w:right="599" w:firstLine="317"/>
        <w:spacing w:after="0" w:line="255" w:lineRule="auto"/>
        <w:rPr>
          <w:sz w:val="20"/>
          <w:szCs w:val="20"/>
          <w:color w:val="auto"/>
        </w:rPr>
      </w:pPr>
      <w:r>
        <w:rPr>
          <w:rFonts w:ascii="Times New Roman" w:cs="Times New Roman" w:eastAsia="Times New Roman" w:hAnsi="Times New Roman"/>
          <w:sz w:val="13"/>
          <w:szCs w:val="13"/>
          <w:color w:val="auto"/>
        </w:rPr>
        <w:t>For the fiscal year ended December 31, 2021, we paid an aggregate of approximately RMB2.8 million (US$0.4 million) in cash to our directors and executive officers. We are not required under Cayman Islands law to disclose, and we have not otherwise disclosed, the compensation of our directors and executive officers on an individual basis. We have not set aside or accrued any amount to provide pension, retirement or other similar benefits to our directors and executive officers. Our PRC subsidiaries and VIE are required by law to make contributions equal to certain percentages of each employee’s salary for his or her pension insurance, medical insurance, unemployment insurance and other statutory benefits and a housing provident fund.</w:t>
      </w:r>
    </w:p>
    <w:p>
      <w:pPr>
        <w:spacing w:after="0" w:line="21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Employment Agreements and Indemnification Agreements</w:t>
      </w:r>
    </w:p>
    <w:p>
      <w:pPr>
        <w:spacing w:after="0" w:line="88" w:lineRule="exact"/>
        <w:rPr>
          <w:sz w:val="20"/>
          <w:szCs w:val="20"/>
          <w:color w:val="auto"/>
        </w:rPr>
      </w:pPr>
    </w:p>
    <w:p>
      <w:pPr>
        <w:ind w:left="1680" w:right="599" w:firstLine="317"/>
        <w:spacing w:after="0" w:line="257" w:lineRule="auto"/>
        <w:rPr>
          <w:sz w:val="20"/>
          <w:szCs w:val="20"/>
          <w:color w:val="auto"/>
        </w:rPr>
      </w:pPr>
      <w:r>
        <w:rPr>
          <w:rFonts w:ascii="Times New Roman" w:cs="Times New Roman" w:eastAsia="Times New Roman" w:hAnsi="Times New Roman"/>
          <w:sz w:val="13"/>
          <w:szCs w:val="13"/>
          <w:color w:val="auto"/>
        </w:rPr>
        <w:t>We have entered into employment agreements with each of our executive officers. We may terminate employment for cause, at any time, without advance notice or remuneration, for certain acts of the executive officer, such as conviction or plea of guilty to a felony or any crime involving moral turpitude, negligent or dishonest acts to our detriment, or misconduct or a failure to perform agreed duties. In such case of termination by us, we will provide severance payments to the executive officer as expressly required by applicable law of the jurisdiction where the executive officer is based. The executive officer may resign at any time with a 30 days’ advance written notice.</w:t>
      </w:r>
    </w:p>
    <w:p>
      <w:pPr>
        <w:spacing w:after="0" w:line="133" w:lineRule="exact"/>
        <w:rPr>
          <w:sz w:val="20"/>
          <w:szCs w:val="20"/>
          <w:color w:val="auto"/>
        </w:rPr>
      </w:pPr>
    </w:p>
    <w:p>
      <w:pPr>
        <w:ind w:left="1680" w:right="579" w:firstLine="317"/>
        <w:spacing w:after="0" w:line="253" w:lineRule="auto"/>
        <w:rPr>
          <w:sz w:val="20"/>
          <w:szCs w:val="20"/>
          <w:color w:val="auto"/>
        </w:rPr>
      </w:pPr>
      <w:r>
        <w:rPr>
          <w:rFonts w:ascii="Times New Roman" w:cs="Times New Roman" w:eastAsia="Times New Roman" w:hAnsi="Times New Roman"/>
          <w:sz w:val="13"/>
          <w:szCs w:val="13"/>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 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 In addition, each executive officer has agreed to be bound by non-competition and non-solicitation restrictions during the term of his or her employment and typically for one year following the last date of employment.</w:t>
      </w:r>
    </w:p>
    <w:p>
      <w:pPr>
        <w:spacing w:after="0" w:line="140" w:lineRule="exact"/>
        <w:rPr>
          <w:sz w:val="20"/>
          <w:szCs w:val="20"/>
          <w:color w:val="auto"/>
        </w:rPr>
      </w:pPr>
    </w:p>
    <w:p>
      <w:pPr>
        <w:jc w:val="both"/>
        <w:ind w:left="1680" w:right="839" w:firstLine="317"/>
        <w:spacing w:after="0" w:line="264" w:lineRule="auto"/>
        <w:rPr>
          <w:sz w:val="20"/>
          <w:szCs w:val="20"/>
          <w:color w:val="auto"/>
        </w:rPr>
      </w:pPr>
      <w:r>
        <w:rPr>
          <w:rFonts w:ascii="Times New Roman" w:cs="Times New Roman" w:eastAsia="Times New Roman" w:hAnsi="Times New Roman"/>
          <w:sz w:val="13"/>
          <w:szCs w:val="13"/>
          <w:color w:val="auto"/>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20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2015 Share Incentive Plan</w:t>
      </w:r>
    </w:p>
    <w:p>
      <w:pPr>
        <w:spacing w:after="0" w:line="88" w:lineRule="exact"/>
        <w:rPr>
          <w:sz w:val="20"/>
          <w:szCs w:val="20"/>
          <w:color w:val="auto"/>
        </w:rPr>
      </w:pPr>
    </w:p>
    <w:p>
      <w:pPr>
        <w:ind w:left="1680" w:right="579" w:firstLine="317"/>
        <w:spacing w:after="0" w:line="255" w:lineRule="auto"/>
        <w:rPr>
          <w:sz w:val="20"/>
          <w:szCs w:val="20"/>
          <w:color w:val="auto"/>
        </w:rPr>
      </w:pPr>
      <w:r>
        <w:rPr>
          <w:rFonts w:ascii="Times New Roman" w:cs="Times New Roman" w:eastAsia="Times New Roman" w:hAnsi="Times New Roman"/>
          <w:sz w:val="13"/>
          <w:szCs w:val="13"/>
          <w:color w:val="auto"/>
        </w:rPr>
        <w:t>Our board of directors approved the 2015 Share Incentive Plan, or the 2015 Plan, to attract and retain the best available personnel, provide additional incentives to employees, directors and consultants, and promote the success of our business. The maximum aggregate number of ordinary shares that may be issued under the 2015 Plan pursuant to all awards under the 2015 Plan is 8,867,053 ordinary shares and can be increased up to a number that is equal to 15% of the then total outstanding shares on a fully diluted basis at the discretion of our board of directors. As of March 31, 2022, 589,250 restricted share units and 53,737 share options were outstanding under the 2015 Plan, excluding awards that were forfeited or cancelled after the relevant grant dates.</w:t>
      </w:r>
    </w:p>
    <w:p>
      <w:pPr>
        <w:spacing w:after="0" w:line="13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following paragraphs describe the principal terms of the 2015 Plan.</w:t>
      </w:r>
    </w:p>
    <w:p>
      <w:pPr>
        <w:spacing w:after="0" w:line="16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i w:val="1"/>
          <w:iCs w:val="1"/>
          <w:color w:val="auto"/>
        </w:rPr>
        <w:t xml:space="preserve">Types of Awards. </w:t>
      </w:r>
      <w:r>
        <w:rPr>
          <w:rFonts w:ascii="Times New Roman" w:cs="Times New Roman" w:eastAsia="Times New Roman" w:hAnsi="Times New Roman"/>
          <w:sz w:val="13"/>
          <w:szCs w:val="13"/>
          <w:color w:val="auto"/>
        </w:rPr>
        <w:t>The 2015 Plan permits the awards of options, restricted shares and restricted share units.</w:t>
      </w:r>
    </w:p>
    <w:p>
      <w:pPr>
        <w:spacing w:after="0" w:line="1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128</w:t>
      </w:r>
    </w:p>
    <w:p>
      <w:pPr>
        <w:sectPr>
          <w:pgSz w:w="11900" w:h="16838" w:orient="portrait"/>
          <w:cols w:equalWidth="0" w:num="1">
            <w:col w:w="10159"/>
          </w:cols>
          <w:pgMar w:left="300" w:top="388" w:right="1440"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both"/>
        <w:ind w:left="1680" w:right="599" w:firstLine="317"/>
        <w:spacing w:after="0" w:line="265" w:lineRule="auto"/>
        <w:rPr>
          <w:sz w:val="20"/>
          <w:szCs w:val="20"/>
          <w:color w:val="auto"/>
        </w:rPr>
      </w:pPr>
      <w:r>
        <w:rPr>
          <w:rFonts w:ascii="Times New Roman" w:cs="Times New Roman" w:eastAsia="Times New Roman" w:hAnsi="Times New Roman"/>
          <w:sz w:val="13"/>
          <w:szCs w:val="13"/>
          <w:i w:val="1"/>
          <w:iCs w:val="1"/>
          <w:color w:val="auto"/>
        </w:rPr>
        <w:t>Plan Administration</w:t>
      </w:r>
      <w:r>
        <w:rPr>
          <w:rFonts w:ascii="Times New Roman" w:cs="Times New Roman" w:eastAsia="Times New Roman" w:hAnsi="Times New Roman"/>
          <w:sz w:val="13"/>
          <w:szCs w:val="13"/>
          <w:color w:val="auto"/>
        </w:rPr>
        <w:t>. Our board of directors or a committee of one or more members of the board of directors will administer the 2015 Plan.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committee or the full board of directors, as applicable, will determine the participants to receive awards, the type and number of awards to be granted to each participant, and the terms and conditions of each award grant.</w:t>
      </w:r>
    </w:p>
    <w:p>
      <w:pPr>
        <w:spacing w:after="0" w:line="127" w:lineRule="exact"/>
        <w:rPr>
          <w:sz w:val="20"/>
          <w:szCs w:val="20"/>
          <w:color w:val="auto"/>
        </w:rPr>
      </w:pPr>
    </w:p>
    <w:p>
      <w:pPr>
        <w:jc w:val="both"/>
        <w:ind w:left="1680" w:right="639" w:firstLine="317"/>
        <w:spacing w:after="0" w:line="265" w:lineRule="auto"/>
        <w:rPr>
          <w:sz w:val="20"/>
          <w:szCs w:val="20"/>
          <w:color w:val="auto"/>
        </w:rPr>
      </w:pPr>
      <w:r>
        <w:rPr>
          <w:rFonts w:ascii="Times New Roman" w:cs="Times New Roman" w:eastAsia="Times New Roman" w:hAnsi="Times New Roman"/>
          <w:sz w:val="13"/>
          <w:szCs w:val="13"/>
          <w:i w:val="1"/>
          <w:iCs w:val="1"/>
          <w:color w:val="auto"/>
        </w:rPr>
        <w:t xml:space="preserve">Award Agreement. </w:t>
      </w:r>
      <w:r>
        <w:rPr>
          <w:rFonts w:ascii="Times New Roman" w:cs="Times New Roman" w:eastAsia="Times New Roman" w:hAnsi="Times New Roman"/>
          <w:sz w:val="13"/>
          <w:szCs w:val="13"/>
          <w:color w:val="auto"/>
        </w:rPr>
        <w:t>Awards granted under the 2015 Plan are evidenced by an award agreement that sets forth the terms, conditions and limitations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for each award which may include the term of an award, the provisions applicable in the event the grantee’s employment or service terminates, and our authority to unilaterally or bilaterally amend, modify, suspend, cancel or rescind an award.</w:t>
      </w:r>
    </w:p>
    <w:p>
      <w:pPr>
        <w:spacing w:after="0" w:line="127" w:lineRule="exact"/>
        <w:rPr>
          <w:sz w:val="20"/>
          <w:szCs w:val="20"/>
          <w:color w:val="auto"/>
        </w:rPr>
      </w:pPr>
    </w:p>
    <w:p>
      <w:pPr>
        <w:ind w:left="1680" w:right="759" w:firstLine="317"/>
        <w:spacing w:after="0" w:line="282" w:lineRule="auto"/>
        <w:rPr>
          <w:sz w:val="20"/>
          <w:szCs w:val="20"/>
          <w:color w:val="auto"/>
        </w:rPr>
      </w:pPr>
      <w:r>
        <w:rPr>
          <w:rFonts w:ascii="Times New Roman" w:cs="Times New Roman" w:eastAsia="Times New Roman" w:hAnsi="Times New Roman"/>
          <w:sz w:val="13"/>
          <w:szCs w:val="13"/>
          <w:i w:val="1"/>
          <w:iCs w:val="1"/>
          <w:color w:val="auto"/>
        </w:rPr>
        <w:t xml:space="preserve">Eligibility. </w:t>
      </w:r>
      <w:r>
        <w:rPr>
          <w:rFonts w:ascii="Times New Roman" w:cs="Times New Roman" w:eastAsia="Times New Roman" w:hAnsi="Times New Roman"/>
          <w:sz w:val="13"/>
          <w:szCs w:val="13"/>
          <w:color w:val="auto"/>
        </w:rPr>
        <w:t>We may grant awards to our employees, consultants and directors, as determined by our board of directors or a committee of one 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more members of the board of directors.</w:t>
      </w:r>
    </w:p>
    <w:p>
      <w:pPr>
        <w:spacing w:after="0" w:line="11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i w:val="1"/>
          <w:iCs w:val="1"/>
          <w:color w:val="auto"/>
        </w:rPr>
        <w:t xml:space="preserve">Vesting Schedule. </w:t>
      </w:r>
      <w:r>
        <w:rPr>
          <w:rFonts w:ascii="Times New Roman" w:cs="Times New Roman" w:eastAsia="Times New Roman" w:hAnsi="Times New Roman"/>
          <w:sz w:val="13"/>
          <w:szCs w:val="13"/>
          <w:color w:val="auto"/>
        </w:rPr>
        <w:t>In general, the plan administrator determines the vesting schedule, which is specified in the relevant award agreement.</w:t>
      </w:r>
    </w:p>
    <w:p>
      <w:pPr>
        <w:spacing w:after="0" w:line="162" w:lineRule="exact"/>
        <w:rPr>
          <w:sz w:val="20"/>
          <w:szCs w:val="20"/>
          <w:color w:val="auto"/>
        </w:rPr>
      </w:pPr>
    </w:p>
    <w:p>
      <w:pPr>
        <w:jc w:val="both"/>
        <w:ind w:left="1680" w:right="739" w:firstLine="317"/>
        <w:spacing w:after="0" w:line="265" w:lineRule="auto"/>
        <w:rPr>
          <w:sz w:val="20"/>
          <w:szCs w:val="20"/>
          <w:color w:val="auto"/>
        </w:rPr>
      </w:pPr>
      <w:r>
        <w:rPr>
          <w:rFonts w:ascii="Times New Roman" w:cs="Times New Roman" w:eastAsia="Times New Roman" w:hAnsi="Times New Roman"/>
          <w:sz w:val="13"/>
          <w:szCs w:val="13"/>
          <w:i w:val="1"/>
          <w:iCs w:val="1"/>
          <w:color w:val="auto"/>
        </w:rPr>
        <w:t xml:space="preserve">Transfer Restrictions. </w:t>
      </w:r>
      <w:r>
        <w:rPr>
          <w:rFonts w:ascii="Times New Roman" w:cs="Times New Roman" w:eastAsia="Times New Roman" w:hAnsi="Times New Roman"/>
          <w:sz w:val="13"/>
          <w:szCs w:val="13"/>
          <w:color w:val="auto"/>
        </w:rPr>
        <w:t>Awards may not be transferred in any manner by the participant other than in accordance with the exceptions provided in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2015 Plan or the relevant award agreement or otherwise determined by the plan administrator, such as transfers by will or the laws of descent and distribution.</w:t>
      </w:r>
    </w:p>
    <w:p>
      <w:pPr>
        <w:spacing w:after="0" w:line="127" w:lineRule="exact"/>
        <w:rPr>
          <w:sz w:val="20"/>
          <w:szCs w:val="20"/>
          <w:color w:val="auto"/>
        </w:rPr>
      </w:pPr>
    </w:p>
    <w:p>
      <w:pPr>
        <w:ind w:left="1680" w:right="619" w:firstLine="317"/>
        <w:spacing w:after="0" w:line="265" w:lineRule="auto"/>
        <w:rPr>
          <w:sz w:val="20"/>
          <w:szCs w:val="20"/>
          <w:color w:val="auto"/>
        </w:rPr>
      </w:pPr>
      <w:r>
        <w:rPr>
          <w:rFonts w:ascii="Times New Roman" w:cs="Times New Roman" w:eastAsia="Times New Roman" w:hAnsi="Times New Roman"/>
          <w:sz w:val="13"/>
          <w:szCs w:val="13"/>
          <w:i w:val="1"/>
          <w:iCs w:val="1"/>
          <w:color w:val="auto"/>
        </w:rPr>
        <w:t xml:space="preserve">Termination and Amendment of the 2015 Plan. </w:t>
      </w:r>
      <w:r>
        <w:rPr>
          <w:rFonts w:ascii="Times New Roman" w:cs="Times New Roman" w:eastAsia="Times New Roman" w:hAnsi="Times New Roman"/>
          <w:sz w:val="13"/>
          <w:szCs w:val="13"/>
          <w:color w:val="auto"/>
        </w:rPr>
        <w:t>Unless terminated earlier, the 2015 Plan has a term of ten years. With the approval of our board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directors, the plan administrator has the authority to terminate, amend or modify the 2015 Plan. However, without the prior written consent of the participant, no such action may adversely affect in any material way any award previously granted pursuant to the 2015 Plan.</w:t>
      </w:r>
    </w:p>
    <w:p>
      <w:pPr>
        <w:spacing w:after="0" w:line="20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2019 Share Incentive Plan</w:t>
      </w:r>
    </w:p>
    <w:p>
      <w:pPr>
        <w:spacing w:after="0" w:line="88" w:lineRule="exact"/>
        <w:rPr>
          <w:sz w:val="20"/>
          <w:szCs w:val="20"/>
          <w:color w:val="auto"/>
        </w:rPr>
      </w:pPr>
    </w:p>
    <w:p>
      <w:pPr>
        <w:ind w:left="1680" w:right="559" w:firstLine="317"/>
        <w:spacing w:after="0" w:line="255" w:lineRule="auto"/>
        <w:rPr>
          <w:sz w:val="20"/>
          <w:szCs w:val="20"/>
          <w:color w:val="auto"/>
        </w:rPr>
      </w:pPr>
      <w:r>
        <w:rPr>
          <w:rFonts w:ascii="Times New Roman" w:cs="Times New Roman" w:eastAsia="Times New Roman" w:hAnsi="Times New Roman"/>
          <w:sz w:val="13"/>
          <w:szCs w:val="13"/>
          <w:color w:val="auto"/>
        </w:rPr>
        <w:t>Our board of directors approved the 2019 Share Incentive Plan, or the 2019 Plan, to attract and retain the best available personnel, provide additional incentives to employees, directors and consultants, and promote the success of our business. The 2019 Plan became effective upon the completion of the Company’s initial public offering in 2019. The maximum aggregate number of ordinary shares that may be issued under the 2019 Plan pursuant to all awards under the 2019 Plan is 6,440,855 ordinary shares and can be increased up to a number that is equal to 15% of the then total outstanding shares on a fully diluted basis at the discretion of our board of directors. As of March 31, 2022, 3,331,120 restricted share units were outstanding under the 2019 Plan, excluding awards that were forfeited or cancelled after the relevant grant dates.</w:t>
      </w:r>
    </w:p>
    <w:p>
      <w:pPr>
        <w:spacing w:after="0" w:line="13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following paragraphs describe the principal terms of the 2019 Plan.</w:t>
      </w:r>
    </w:p>
    <w:p>
      <w:pPr>
        <w:spacing w:after="0" w:line="16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i w:val="1"/>
          <w:iCs w:val="1"/>
          <w:color w:val="auto"/>
        </w:rPr>
        <w:t xml:space="preserve">Types of Awards. </w:t>
      </w:r>
      <w:r>
        <w:rPr>
          <w:rFonts w:ascii="Times New Roman" w:cs="Times New Roman" w:eastAsia="Times New Roman" w:hAnsi="Times New Roman"/>
          <w:sz w:val="13"/>
          <w:szCs w:val="13"/>
          <w:color w:val="auto"/>
        </w:rPr>
        <w:t>The 2019 Plan permits the awards of options, restricted shares and restricted share units.</w:t>
      </w:r>
    </w:p>
    <w:p>
      <w:pPr>
        <w:spacing w:after="0" w:line="162" w:lineRule="exact"/>
        <w:rPr>
          <w:sz w:val="20"/>
          <w:szCs w:val="20"/>
          <w:color w:val="auto"/>
        </w:rPr>
      </w:pPr>
    </w:p>
    <w:p>
      <w:pPr>
        <w:jc w:val="both"/>
        <w:ind w:left="1680" w:right="599" w:firstLine="317"/>
        <w:spacing w:after="0" w:line="265" w:lineRule="auto"/>
        <w:rPr>
          <w:sz w:val="20"/>
          <w:szCs w:val="20"/>
          <w:color w:val="auto"/>
        </w:rPr>
      </w:pPr>
      <w:r>
        <w:rPr>
          <w:rFonts w:ascii="Times New Roman" w:cs="Times New Roman" w:eastAsia="Times New Roman" w:hAnsi="Times New Roman"/>
          <w:sz w:val="13"/>
          <w:szCs w:val="13"/>
          <w:i w:val="1"/>
          <w:iCs w:val="1"/>
          <w:color w:val="auto"/>
        </w:rPr>
        <w:t>Plan Administration</w:t>
      </w:r>
      <w:r>
        <w:rPr>
          <w:rFonts w:ascii="Times New Roman" w:cs="Times New Roman" w:eastAsia="Times New Roman" w:hAnsi="Times New Roman"/>
          <w:sz w:val="13"/>
          <w:szCs w:val="13"/>
          <w:color w:val="auto"/>
        </w:rPr>
        <w:t>. Our board of directors or a committee of one or more members of the board of directors will administer the 2019 Plan.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committee or the full board of directors, as applicable, will determine the participants to receive awards, the type and number of awards to be granted to each participant, and the terms and conditions of each award grant.</w:t>
      </w:r>
    </w:p>
    <w:p>
      <w:pPr>
        <w:spacing w:after="0" w:line="127" w:lineRule="exact"/>
        <w:rPr>
          <w:sz w:val="20"/>
          <w:szCs w:val="20"/>
          <w:color w:val="auto"/>
        </w:rPr>
      </w:pPr>
    </w:p>
    <w:p>
      <w:pPr>
        <w:jc w:val="both"/>
        <w:ind w:left="1680" w:right="639" w:firstLine="317"/>
        <w:spacing w:after="0" w:line="265" w:lineRule="auto"/>
        <w:rPr>
          <w:sz w:val="20"/>
          <w:szCs w:val="20"/>
          <w:color w:val="auto"/>
        </w:rPr>
      </w:pPr>
      <w:r>
        <w:rPr>
          <w:rFonts w:ascii="Times New Roman" w:cs="Times New Roman" w:eastAsia="Times New Roman" w:hAnsi="Times New Roman"/>
          <w:sz w:val="13"/>
          <w:szCs w:val="13"/>
          <w:i w:val="1"/>
          <w:iCs w:val="1"/>
          <w:color w:val="auto"/>
        </w:rPr>
        <w:t xml:space="preserve">Award Agreement. </w:t>
      </w:r>
      <w:r>
        <w:rPr>
          <w:rFonts w:ascii="Times New Roman" w:cs="Times New Roman" w:eastAsia="Times New Roman" w:hAnsi="Times New Roman"/>
          <w:sz w:val="13"/>
          <w:szCs w:val="13"/>
          <w:color w:val="auto"/>
        </w:rPr>
        <w:t>Awards granted under the 2019 Plan are evidenced by an award agreement that sets forth the terms, conditions and limitations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for each award which may include the term of an award, the provisions applicable in the event the grantee’s employment or service terminates, and our authority to unilaterally or bilaterally amend, modify, suspend, cancel or rescind an award.</w:t>
      </w:r>
    </w:p>
    <w:p>
      <w:pPr>
        <w:spacing w:after="0" w:line="127" w:lineRule="exact"/>
        <w:rPr>
          <w:sz w:val="20"/>
          <w:szCs w:val="20"/>
          <w:color w:val="auto"/>
        </w:rPr>
      </w:pPr>
    </w:p>
    <w:p>
      <w:pPr>
        <w:ind w:left="1680" w:right="759" w:firstLine="317"/>
        <w:spacing w:after="0" w:line="282" w:lineRule="auto"/>
        <w:rPr>
          <w:sz w:val="20"/>
          <w:szCs w:val="20"/>
          <w:color w:val="auto"/>
        </w:rPr>
      </w:pPr>
      <w:r>
        <w:rPr>
          <w:rFonts w:ascii="Times New Roman" w:cs="Times New Roman" w:eastAsia="Times New Roman" w:hAnsi="Times New Roman"/>
          <w:sz w:val="13"/>
          <w:szCs w:val="13"/>
          <w:i w:val="1"/>
          <w:iCs w:val="1"/>
          <w:color w:val="auto"/>
        </w:rPr>
        <w:t xml:space="preserve">Eligibility. </w:t>
      </w:r>
      <w:r>
        <w:rPr>
          <w:rFonts w:ascii="Times New Roman" w:cs="Times New Roman" w:eastAsia="Times New Roman" w:hAnsi="Times New Roman"/>
          <w:sz w:val="13"/>
          <w:szCs w:val="13"/>
          <w:color w:val="auto"/>
        </w:rPr>
        <w:t>We may grant awards to our employees, consultants and directors, as determined by our board of directors or a committee of one 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more members of the board of directors.</w:t>
      </w:r>
    </w:p>
    <w:p>
      <w:pPr>
        <w:spacing w:after="0" w:line="116"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3"/>
          <w:szCs w:val="13"/>
          <w:i w:val="1"/>
          <w:iCs w:val="1"/>
          <w:color w:val="auto"/>
        </w:rPr>
        <w:t xml:space="preserve">Vesting Schedule. </w:t>
      </w:r>
      <w:r>
        <w:rPr>
          <w:rFonts w:ascii="Times New Roman" w:cs="Times New Roman" w:eastAsia="Times New Roman" w:hAnsi="Times New Roman"/>
          <w:sz w:val="13"/>
          <w:szCs w:val="13"/>
          <w:color w:val="auto"/>
        </w:rPr>
        <w:t>In general, the plan administrator determines the vesting schedule, which is specified in the relevant award agreement.</w:t>
      </w:r>
    </w:p>
    <w:p>
      <w:pPr>
        <w:spacing w:after="0" w:line="11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color w:val="auto"/>
        </w:rPr>
        <w:t>129</w:t>
      </w:r>
    </w:p>
    <w:p>
      <w:pPr>
        <w:sectPr>
          <w:pgSz w:w="11900" w:h="16838" w:orient="portrait"/>
          <w:cols w:equalWidth="0" w:num="1">
            <w:col w:w="10159"/>
          </w:cols>
          <w:pgMar w:left="300" w:top="388" w:right="1440"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both"/>
        <w:ind w:left="1680" w:right="739" w:firstLine="317"/>
        <w:spacing w:after="0" w:line="265" w:lineRule="auto"/>
        <w:rPr>
          <w:sz w:val="20"/>
          <w:szCs w:val="20"/>
          <w:color w:val="auto"/>
        </w:rPr>
      </w:pPr>
      <w:r>
        <w:rPr>
          <w:rFonts w:ascii="Times New Roman" w:cs="Times New Roman" w:eastAsia="Times New Roman" w:hAnsi="Times New Roman"/>
          <w:sz w:val="13"/>
          <w:szCs w:val="13"/>
          <w:i w:val="1"/>
          <w:iCs w:val="1"/>
          <w:color w:val="auto"/>
        </w:rPr>
        <w:t xml:space="preserve">Transfer Restrictions. </w:t>
      </w:r>
      <w:r>
        <w:rPr>
          <w:rFonts w:ascii="Times New Roman" w:cs="Times New Roman" w:eastAsia="Times New Roman" w:hAnsi="Times New Roman"/>
          <w:sz w:val="13"/>
          <w:szCs w:val="13"/>
          <w:color w:val="auto"/>
        </w:rPr>
        <w:t>Awards may not be transferred in any manner by the participant other than in accordance with the exceptions provided in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2019 Plan or the relevant award agreement or otherwise determined by the plan administrator, such as transfers by will or the laws of descent and distribution.</w:t>
      </w:r>
    </w:p>
    <w:p>
      <w:pPr>
        <w:spacing w:after="0" w:line="127" w:lineRule="exact"/>
        <w:rPr>
          <w:sz w:val="20"/>
          <w:szCs w:val="20"/>
          <w:color w:val="auto"/>
        </w:rPr>
      </w:pPr>
    </w:p>
    <w:p>
      <w:pPr>
        <w:ind w:left="1680" w:right="619" w:firstLine="317"/>
        <w:spacing w:after="0" w:line="265" w:lineRule="auto"/>
        <w:rPr>
          <w:sz w:val="20"/>
          <w:szCs w:val="20"/>
          <w:color w:val="auto"/>
        </w:rPr>
      </w:pPr>
      <w:r>
        <w:rPr>
          <w:rFonts w:ascii="Times New Roman" w:cs="Times New Roman" w:eastAsia="Times New Roman" w:hAnsi="Times New Roman"/>
          <w:sz w:val="13"/>
          <w:szCs w:val="13"/>
          <w:i w:val="1"/>
          <w:iCs w:val="1"/>
          <w:color w:val="auto"/>
        </w:rPr>
        <w:t xml:space="preserve">Termination and Amendment of the 2019 Plan. </w:t>
      </w:r>
      <w:r>
        <w:rPr>
          <w:rFonts w:ascii="Times New Roman" w:cs="Times New Roman" w:eastAsia="Times New Roman" w:hAnsi="Times New Roman"/>
          <w:sz w:val="13"/>
          <w:szCs w:val="13"/>
          <w:color w:val="auto"/>
        </w:rPr>
        <w:t>Unless terminated earlier, the 2019 Plan has a term of ten years. With the approval of our board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directors, the plan administrator has the authority to terminate, amend or modify the 2019 Plan. However, without the prior written consent of the participant, no such action may adversely affect in any material way any award previously granted pursuant to the 2019 Plan.</w:t>
      </w:r>
    </w:p>
    <w:p>
      <w:pPr>
        <w:spacing w:after="0" w:line="129" w:lineRule="exact"/>
        <w:rPr>
          <w:sz w:val="20"/>
          <w:szCs w:val="20"/>
          <w:color w:val="auto"/>
        </w:rPr>
      </w:pPr>
    </w:p>
    <w:p>
      <w:pPr>
        <w:ind w:left="1680" w:right="759" w:firstLine="317"/>
        <w:spacing w:after="0" w:line="264" w:lineRule="auto"/>
        <w:rPr>
          <w:sz w:val="20"/>
          <w:szCs w:val="20"/>
          <w:color w:val="auto"/>
        </w:rPr>
      </w:pPr>
      <w:r>
        <w:rPr>
          <w:rFonts w:ascii="Times New Roman" w:cs="Times New Roman" w:eastAsia="Times New Roman" w:hAnsi="Times New Roman"/>
          <w:sz w:val="13"/>
          <w:szCs w:val="13"/>
          <w:color w:val="auto"/>
        </w:rPr>
        <w:t>The following table summarizes, as of March 31, 2022, the number of Class A ordinary shares under outstanding options, restricted share units and other equity awards that we granted to our directors and executive officers, excluding awards that were settled, forfeited or cancelled after the relevant grant dates.</w:t>
      </w:r>
    </w:p>
    <w:p>
      <w:pPr>
        <w:spacing w:after="0" w:line="137"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5"/>
              </w:rPr>
              <w:t>Name</w:t>
            </w:r>
          </w:p>
        </w:tc>
        <w:tc>
          <w:tcPr>
            <w:tcW w:w="2200" w:type="dxa"/>
            <w:vAlign w:val="bottom"/>
            <w:vMerge w:val="restart"/>
          </w:tcPr>
          <w:p>
            <w:pPr>
              <w:spacing w:after="0"/>
              <w:rPr>
                <w:sz w:val="10"/>
                <w:szCs w:val="10"/>
                <w:color w:val="auto"/>
              </w:rPr>
            </w:pP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Class A Ordinary Shares</w:t>
            </w:r>
          </w:p>
        </w:tc>
        <w:tc>
          <w:tcPr>
            <w:tcW w:w="21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Date of Grant</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Date of Expiration</w:t>
            </w:r>
          </w:p>
        </w:tc>
        <w:tc>
          <w:tcPr>
            <w:tcW w:w="0" w:type="dxa"/>
            <w:vAlign w:val="bottom"/>
          </w:tcPr>
          <w:p>
            <w:pPr>
              <w:spacing w:after="0"/>
              <w:rPr>
                <w:sz w:val="1"/>
                <w:szCs w:val="1"/>
                <w:color w:val="auto"/>
              </w:rPr>
            </w:pPr>
          </w:p>
        </w:tc>
      </w:tr>
      <w:tr>
        <w:trPr>
          <w:trHeight w:val="144"/>
        </w:trPr>
        <w:tc>
          <w:tcPr>
            <w:tcW w:w="260" w:type="dxa"/>
            <w:vAlign w:val="bottom"/>
            <w:tcBorders>
              <w:bottom w:val="single" w:sz="8" w:color="auto"/>
            </w:tcBorders>
            <w:vMerge w:val="continue"/>
          </w:tcPr>
          <w:p>
            <w:pPr>
              <w:spacing w:after="0"/>
              <w:rPr>
                <w:sz w:val="12"/>
                <w:szCs w:val="12"/>
                <w:color w:val="auto"/>
              </w:rPr>
            </w:pPr>
          </w:p>
        </w:tc>
        <w:tc>
          <w:tcPr>
            <w:tcW w:w="2200" w:type="dxa"/>
            <w:vAlign w:val="bottom"/>
            <w:vMerge w:val="continue"/>
          </w:tcPr>
          <w:p>
            <w:pPr>
              <w:spacing w:after="0"/>
              <w:rPr>
                <w:sz w:val="12"/>
                <w:szCs w:val="12"/>
                <w:color w:val="auto"/>
              </w:rPr>
            </w:pP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underlying Equity Awards</w:t>
            </w:r>
          </w:p>
        </w:tc>
        <w:tc>
          <w:tcPr>
            <w:tcW w:w="216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460" w:type="dxa"/>
            <w:vAlign w:val="bottom"/>
            <w:gridSpan w:val="2"/>
          </w:tcPr>
          <w:p>
            <w:pPr>
              <w:spacing w:after="0" w:line="123" w:lineRule="exact"/>
              <w:rPr>
                <w:sz w:val="20"/>
                <w:szCs w:val="20"/>
                <w:color w:val="auto"/>
              </w:rPr>
            </w:pPr>
            <w:r>
              <w:rPr>
                <w:rFonts w:ascii="Times New Roman" w:cs="Times New Roman" w:eastAsia="Times New Roman" w:hAnsi="Times New Roman"/>
                <w:sz w:val="13"/>
                <w:szCs w:val="13"/>
                <w:color w:val="auto"/>
              </w:rPr>
              <w:t>Huazhi Hu</w:t>
            </w:r>
          </w:p>
        </w:tc>
        <w:tc>
          <w:tcPr>
            <w:tcW w:w="2060" w:type="dxa"/>
            <w:vAlign w:val="bottom"/>
            <w:tcBorders>
              <w:top w:val="single" w:sz="8" w:color="auto"/>
            </w:tcBorders>
          </w:tcPr>
          <w:p>
            <w:pPr>
              <w:jc w:val="center"/>
              <w:spacing w:after="0" w:line="123"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2060" w:type="dxa"/>
            <w:vAlign w:val="bottom"/>
            <w:tcBorders>
              <w:top w:val="single" w:sz="8" w:color="auto"/>
            </w:tcBorders>
          </w:tcPr>
          <w:p>
            <w:pPr>
              <w:jc w:val="center"/>
              <w:spacing w:after="0" w:line="123" w:lineRule="exact"/>
              <w:rPr>
                <w:sz w:val="20"/>
                <w:szCs w:val="20"/>
                <w:color w:val="auto"/>
              </w:rPr>
            </w:pPr>
            <w:r>
              <w:rPr>
                <w:rFonts w:ascii="Times New Roman" w:cs="Times New Roman" w:eastAsia="Times New Roman" w:hAnsi="Times New Roman"/>
                <w:sz w:val="13"/>
                <w:szCs w:val="13"/>
                <w:color w:val="auto"/>
                <w:w w:val="99"/>
              </w:rPr>
              <w:t>January 4, 2021</w:t>
            </w:r>
          </w:p>
        </w:tc>
        <w:tc>
          <w:tcPr>
            <w:tcW w:w="100" w:type="dxa"/>
            <w:vAlign w:val="bottom"/>
          </w:tcPr>
          <w:p>
            <w:pPr>
              <w:spacing w:after="0"/>
              <w:rPr>
                <w:sz w:val="10"/>
                <w:szCs w:val="10"/>
                <w:color w:val="auto"/>
              </w:rPr>
            </w:pPr>
          </w:p>
        </w:tc>
        <w:tc>
          <w:tcPr>
            <w:tcW w:w="1180" w:type="dxa"/>
            <w:vAlign w:val="bottom"/>
            <w:tcBorders>
              <w:top w:val="single" w:sz="8" w:color="auto"/>
            </w:tcBorders>
          </w:tcPr>
          <w:p>
            <w:pPr>
              <w:jc w:val="center"/>
              <w:spacing w:after="0" w:line="123" w:lineRule="exact"/>
              <w:rPr>
                <w:sz w:val="20"/>
                <w:szCs w:val="20"/>
                <w:color w:val="auto"/>
              </w:rPr>
            </w:pPr>
            <w:r>
              <w:rPr>
                <w:rFonts w:ascii="Times New Roman" w:cs="Times New Roman" w:eastAsia="Times New Roman" w:hAnsi="Times New Roman"/>
                <w:sz w:val="13"/>
                <w:szCs w:val="13"/>
                <w:color w:val="auto"/>
              </w:rPr>
              <w:t>January 3, 2031</w:t>
            </w:r>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9"/>
              </w:rPr>
              <w:t>December 16, 2019</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December 15, 2029</w:t>
            </w:r>
          </w:p>
        </w:tc>
        <w:tc>
          <w:tcPr>
            <w:tcW w:w="0" w:type="dxa"/>
            <w:vAlign w:val="bottom"/>
          </w:tcPr>
          <w:p>
            <w:pPr>
              <w:spacing w:after="0"/>
              <w:rPr>
                <w:sz w:val="1"/>
                <w:szCs w:val="1"/>
                <w:color w:val="auto"/>
              </w:rPr>
            </w:pPr>
          </w:p>
        </w:tc>
      </w:tr>
      <w:tr>
        <w:trPr>
          <w:trHeight w:val="165"/>
        </w:trPr>
        <w:tc>
          <w:tcPr>
            <w:tcW w:w="2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Conor Chia-hung Yang</w:t>
            </w:r>
          </w:p>
        </w:tc>
        <w:tc>
          <w:tcPr>
            <w:tcW w:w="20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1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9"/>
              </w:rPr>
              <w:t>January 4, 2021</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January 3, 2031</w:t>
            </w:r>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9"/>
              </w:rPr>
              <w:t>June 1, 2020</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May 31, 2030</w:t>
            </w:r>
          </w:p>
        </w:tc>
        <w:tc>
          <w:tcPr>
            <w:tcW w:w="0" w:type="dxa"/>
            <w:vAlign w:val="bottom"/>
          </w:tcPr>
          <w:p>
            <w:pPr>
              <w:spacing w:after="0"/>
              <w:rPr>
                <w:sz w:val="1"/>
                <w:szCs w:val="1"/>
                <w:color w:val="auto"/>
              </w:rPr>
            </w:pPr>
          </w:p>
        </w:tc>
      </w:tr>
      <w:tr>
        <w:trPr>
          <w:trHeight w:val="165"/>
        </w:trPr>
        <w:tc>
          <w:tcPr>
            <w:tcW w:w="2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Dongming Wu</w:t>
            </w:r>
          </w:p>
        </w:tc>
        <w:tc>
          <w:tcPr>
            <w:tcW w:w="20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1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9"/>
              </w:rPr>
              <w:t>January 4, 2021</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January 3, 2031</w:t>
            </w:r>
          </w:p>
        </w:tc>
        <w:tc>
          <w:tcPr>
            <w:tcW w:w="0" w:type="dxa"/>
            <w:vAlign w:val="bottom"/>
          </w:tcPr>
          <w:p>
            <w:pPr>
              <w:spacing w:after="0"/>
              <w:rPr>
                <w:sz w:val="1"/>
                <w:szCs w:val="1"/>
                <w:color w:val="auto"/>
              </w:rPr>
            </w:pPr>
          </w:p>
        </w:tc>
      </w:tr>
      <w:tr>
        <w:trPr>
          <w:trHeight w:val="156"/>
        </w:trPr>
        <w:tc>
          <w:tcPr>
            <w:tcW w:w="2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Haoxiang Hou</w:t>
            </w:r>
          </w:p>
        </w:tc>
        <w:tc>
          <w:tcPr>
            <w:tcW w:w="20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21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9"/>
              </w:rPr>
              <w:t>January 4, 2021</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January 3, 2031</w:t>
            </w:r>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July 1, 2019</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June 30, 2029</w:t>
            </w:r>
          </w:p>
        </w:tc>
        <w:tc>
          <w:tcPr>
            <w:tcW w:w="0" w:type="dxa"/>
            <w:vAlign w:val="bottom"/>
          </w:tcPr>
          <w:p>
            <w:pPr>
              <w:spacing w:after="0"/>
              <w:rPr>
                <w:sz w:val="1"/>
                <w:szCs w:val="1"/>
                <w:color w:val="auto"/>
              </w:rPr>
            </w:pPr>
          </w:p>
        </w:tc>
      </w:tr>
      <w:tr>
        <w:trPr>
          <w:trHeight w:val="165"/>
        </w:trPr>
        <w:tc>
          <w:tcPr>
            <w:tcW w:w="2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Edward Huaxiang Xu</w:t>
            </w:r>
          </w:p>
        </w:tc>
        <w:tc>
          <w:tcPr>
            <w:tcW w:w="20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1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9"/>
              </w:rPr>
              <w:t>January 4, 2021</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January 3, 2031</w:t>
            </w:r>
          </w:p>
        </w:tc>
        <w:tc>
          <w:tcPr>
            <w:tcW w:w="0" w:type="dxa"/>
            <w:vAlign w:val="bottom"/>
          </w:tcPr>
          <w:p>
            <w:pPr>
              <w:spacing w:after="0"/>
              <w:rPr>
                <w:sz w:val="1"/>
                <w:szCs w:val="1"/>
                <w:color w:val="auto"/>
              </w:rPr>
            </w:pPr>
          </w:p>
        </w:tc>
      </w:tr>
      <w:tr>
        <w:trPr>
          <w:trHeight w:val="156"/>
        </w:trPr>
        <w:tc>
          <w:tcPr>
            <w:tcW w:w="2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Richard Jian Liu</w:t>
            </w:r>
          </w:p>
        </w:tc>
        <w:tc>
          <w:tcPr>
            <w:tcW w:w="20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21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9"/>
              </w:rPr>
              <w:t>January 4, 2021</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January 3, 2031</w:t>
            </w:r>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9"/>
              </w:rPr>
              <w:t>Various dates from December 16, 2019</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Various dates from</w:t>
            </w:r>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8"/>
              </w:rPr>
              <w:t>to</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December 15, 2029</w:t>
            </w:r>
          </w:p>
        </w:tc>
        <w:tc>
          <w:tcPr>
            <w:tcW w:w="0" w:type="dxa"/>
            <w:vAlign w:val="bottom"/>
          </w:tcPr>
          <w:p>
            <w:pPr>
              <w:spacing w:after="0"/>
              <w:rPr>
                <w:sz w:val="1"/>
                <w:szCs w:val="1"/>
                <w:color w:val="auto"/>
              </w:rPr>
            </w:pPr>
          </w:p>
        </w:tc>
      </w:tr>
      <w:tr>
        <w:trPr>
          <w:trHeight w:val="177"/>
        </w:trPr>
        <w:tc>
          <w:tcPr>
            <w:tcW w:w="2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All directors and officers as a group</w:t>
            </w:r>
          </w:p>
        </w:tc>
        <w:tc>
          <w:tcPr>
            <w:tcW w:w="2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2,903,737</w:t>
            </w:r>
          </w:p>
        </w:tc>
        <w:tc>
          <w:tcPr>
            <w:tcW w:w="80" w:type="dxa"/>
            <w:vAlign w:val="bottom"/>
          </w:tcPr>
          <w:p>
            <w:pPr>
              <w:spacing w:after="0"/>
              <w:rPr>
                <w:sz w:val="15"/>
                <w:szCs w:val="15"/>
                <w:color w:val="auto"/>
              </w:rPr>
            </w:pPr>
          </w:p>
        </w:tc>
        <w:tc>
          <w:tcPr>
            <w:tcW w:w="21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9"/>
              </w:rPr>
              <w:t>January 4, 2021</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to January 3, 2031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68580</wp:posOffset>
            </wp:positionV>
            <wp:extent cx="549910"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49910" cy="6350"/>
                    </a:xfrm>
                    <a:prstGeom prst="rect">
                      <a:avLst/>
                    </a:prstGeom>
                    <a:noFill/>
                  </pic:spPr>
                </pic:pic>
              </a:graphicData>
            </a:graphic>
          </wp:anchor>
        </w:drawing>
      </w:r>
    </w:p>
    <w:p>
      <w:pPr>
        <w:spacing w:after="0" w:line="114" w:lineRule="exact"/>
        <w:rPr>
          <w:sz w:val="20"/>
          <w:szCs w:val="20"/>
          <w:color w:val="auto"/>
        </w:rPr>
      </w:pPr>
    </w:p>
    <w:p>
      <w:pPr>
        <w:ind w:left="1980" w:hanging="304"/>
        <w:spacing w:after="0"/>
        <w:tabs>
          <w:tab w:leader="none" w:pos="198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Less than 1% of our total outstanding ordinary shares on an as-converted basis.</w:t>
      </w:r>
    </w:p>
    <w:p>
      <w:pPr>
        <w:spacing w:after="0" w:line="83" w:lineRule="exact"/>
        <w:rPr>
          <w:rFonts w:ascii="Times New Roman" w:cs="Times New Roman" w:eastAsia="Times New Roman" w:hAnsi="Times New Roman"/>
          <w:sz w:val="13"/>
          <w:szCs w:val="13"/>
          <w:color w:val="auto"/>
        </w:rPr>
      </w:pPr>
    </w:p>
    <w:p>
      <w:pPr>
        <w:ind w:left="20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March 31, 2022, our employees other than members of our senior management as a group held 2,142,870 restricted share units.</w:t>
      </w:r>
    </w:p>
    <w:p>
      <w:pPr>
        <w:spacing w:after="0" w:line="23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 xml:space="preserve">C. </w:t>
      </w:r>
      <w:r>
        <w:rPr>
          <w:rFonts w:ascii="Times New Roman" w:cs="Times New Roman" w:eastAsia="Times New Roman" w:hAnsi="Times New Roman"/>
          <w:sz w:val="13"/>
          <w:szCs w:val="13"/>
          <w:b w:val="1"/>
          <w:bCs w:val="1"/>
          <w:u w:val="single" w:color="auto"/>
          <w:color w:val="auto"/>
        </w:rPr>
        <w:t>Board Practices.</w:t>
      </w:r>
    </w:p>
    <w:p>
      <w:pPr>
        <w:spacing w:after="0" w:line="8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Board of Directors</w:t>
      </w:r>
    </w:p>
    <w:p>
      <w:pPr>
        <w:spacing w:after="0" w:line="88" w:lineRule="exact"/>
        <w:rPr>
          <w:sz w:val="20"/>
          <w:szCs w:val="20"/>
          <w:color w:val="auto"/>
        </w:rPr>
      </w:pPr>
    </w:p>
    <w:p>
      <w:pPr>
        <w:ind w:left="1680" w:right="579" w:firstLine="317"/>
        <w:spacing w:after="0" w:line="253" w:lineRule="auto"/>
        <w:rPr>
          <w:sz w:val="20"/>
          <w:szCs w:val="20"/>
          <w:color w:val="auto"/>
        </w:rPr>
      </w:pPr>
      <w:r>
        <w:rPr>
          <w:rFonts w:ascii="Times New Roman" w:cs="Times New Roman" w:eastAsia="Times New Roman" w:hAnsi="Times New Roman"/>
          <w:sz w:val="13"/>
          <w:szCs w:val="13"/>
          <w:color w:val="auto"/>
        </w:rPr>
        <w:t>Our board of directors consists of four directors. A director is not required to hold any shares in our company by way of qualification. A director may vote with respect to any contract or transaction, or proposed contract or transaction in which he or she is, whether directly or indirectly interested, provided that (a) such director has declared the nature of his or her interest at the earliest meeting of the board at which it is practicable for him or her to do so, either specifically or by way of a general notice, and (b) if such contract or transaction, or proposed contract or transaction is a transaction with a related party, such transaction has been approved by the audit committee in accordance with the Nasdaq rules. The directors may exercise all the powers of the company to borrow money, mortgage or charge its undertaking, property and assets (present or future) and uncalled capital or any part thereof, and issue debentures, debenture stock, bonds or other securities whether outright or as collateral security for any obligation of the company or of any third party. None of our non-executive directors has a service contract with us that provides for benefits upon termination of service.</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130</w:t>
      </w:r>
    </w:p>
    <w:p>
      <w:pPr>
        <w:sectPr>
          <w:pgSz w:w="11900" w:h="16838" w:orient="portrait"/>
          <w:cols w:equalWidth="0" w:num="1">
            <w:col w:w="10159"/>
          </w:cols>
          <w:pgMar w:left="300" w:top="388" w:right="1440"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1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Committees of the Board of Directors</w:t>
      </w:r>
    </w:p>
    <w:p>
      <w:pPr>
        <w:spacing w:after="0" w:line="88" w:lineRule="exact"/>
        <w:rPr>
          <w:sz w:val="20"/>
          <w:szCs w:val="20"/>
          <w:color w:val="auto"/>
        </w:rPr>
      </w:pPr>
    </w:p>
    <w:p>
      <w:pPr>
        <w:ind w:left="1680" w:right="659" w:firstLine="317"/>
        <w:spacing w:after="0" w:line="257" w:lineRule="auto"/>
        <w:rPr>
          <w:sz w:val="20"/>
          <w:szCs w:val="20"/>
          <w:color w:val="auto"/>
        </w:rPr>
      </w:pPr>
      <w:r>
        <w:rPr>
          <w:rFonts w:ascii="Times New Roman" w:cs="Times New Roman" w:eastAsia="Times New Roman" w:hAnsi="Times New Roman"/>
          <w:sz w:val="13"/>
          <w:szCs w:val="13"/>
          <w:color w:val="auto"/>
        </w:rPr>
        <w:t>A company of which more than 50% of the voting power is held by a single entity is considered a “controlled company” under the Nasdaq Stock Market Rules. A controlled company is not required to comply with the Nasdaq corporate governance rules requiring a board of directors to have a majority of independent directors, to have an independent compensation committee, and to have an independent nominating and corporate governance committee. We are a “controlled company” as defined under the Nasdaq Stock Market Rules, but we have no current intention to rely on the controlled company exemption.</w:t>
      </w:r>
    </w:p>
    <w:p>
      <w:pPr>
        <w:spacing w:after="0" w:line="133" w:lineRule="exact"/>
        <w:rPr>
          <w:sz w:val="20"/>
          <w:szCs w:val="20"/>
          <w:color w:val="auto"/>
        </w:rPr>
      </w:pPr>
    </w:p>
    <w:p>
      <w:pPr>
        <w:ind w:left="1680" w:right="699" w:firstLine="317"/>
        <w:spacing w:after="0" w:line="264" w:lineRule="auto"/>
        <w:rPr>
          <w:sz w:val="20"/>
          <w:szCs w:val="20"/>
          <w:color w:val="auto"/>
        </w:rPr>
      </w:pPr>
      <w:r>
        <w:rPr>
          <w:rFonts w:ascii="Times New Roman" w:cs="Times New Roman" w:eastAsia="Times New Roman" w:hAnsi="Times New Roman"/>
          <w:sz w:val="13"/>
          <w:szCs w:val="13"/>
          <w:color w:val="auto"/>
        </w:rPr>
        <w:t>We have established three committees under the board of directors: an audit committee, a compensation committee and a nominating and corporate governance committee. We have adopted a charter for each of the three committees. Each committee’s members and functions are described below.</w:t>
      </w:r>
    </w:p>
    <w:p>
      <w:pPr>
        <w:spacing w:after="0" w:line="127" w:lineRule="exact"/>
        <w:rPr>
          <w:sz w:val="20"/>
          <w:szCs w:val="20"/>
          <w:color w:val="auto"/>
        </w:rPr>
      </w:pPr>
    </w:p>
    <w:p>
      <w:pPr>
        <w:ind w:left="1680" w:right="559" w:firstLine="317"/>
        <w:spacing w:after="0" w:line="284" w:lineRule="auto"/>
        <w:rPr>
          <w:sz w:val="20"/>
          <w:szCs w:val="20"/>
          <w:color w:val="auto"/>
        </w:rPr>
      </w:pPr>
      <w:r>
        <w:rPr>
          <w:rFonts w:ascii="Times New Roman" w:cs="Times New Roman" w:eastAsia="Times New Roman" w:hAnsi="Times New Roman"/>
          <w:sz w:val="12"/>
          <w:szCs w:val="12"/>
          <w:i w:val="1"/>
          <w:iCs w:val="1"/>
          <w:color w:val="auto"/>
        </w:rPr>
        <w:t>Audit Committee</w:t>
      </w:r>
      <w:r>
        <w:rPr>
          <w:rFonts w:ascii="Times New Roman" w:cs="Times New Roman" w:eastAsia="Times New Roman" w:hAnsi="Times New Roman"/>
          <w:sz w:val="12"/>
          <w:szCs w:val="12"/>
          <w:color w:val="auto"/>
        </w:rPr>
        <w:t>. Our audit committee consists of Conor Chia-hung Yang, Dongming Wu and Haoxiang Hou. Conor Chia-hung Yang is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chairman of our audit committee. We have determined that each of Conor Chia-hung Yang, Dongming Wu and Haoxiang Hou satisfies the “independence” requirements of Rule 5605(c)(2) of the Listing Rules of the Nasdaq Stock Market and Rule 10A-3 under the Exchange Act, as amended. We have determined that Conor Chia-hung Yang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51" w:lineRule="exact"/>
        <w:rPr>
          <w:sz w:val="20"/>
          <w:szCs w:val="20"/>
          <w:color w:val="auto"/>
        </w:rPr>
      </w:pPr>
    </w:p>
    <w:p>
      <w:pPr>
        <w:ind w:left="2380" w:right="1219" w:hanging="315"/>
        <w:spacing w:after="0" w:line="278" w:lineRule="auto"/>
        <w:tabs>
          <w:tab w:leader="none" w:pos="238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appointing the independent auditors and pre-approving all auditing and non-auditing services permitted to be performed by the independent auditors;</w:t>
      </w:r>
    </w:p>
    <w:p>
      <w:pPr>
        <w:spacing w:after="0" w:line="52"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with the independent auditors any audit problems or difficulties and management’s response;</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discussing the annual audited financial statements with management and the independent auditors;</w:t>
      </w:r>
    </w:p>
    <w:p>
      <w:pPr>
        <w:spacing w:after="0" w:line="93" w:lineRule="exact"/>
        <w:rPr>
          <w:rFonts w:ascii="Times New Roman" w:cs="Times New Roman" w:eastAsia="Times New Roman" w:hAnsi="Times New Roman"/>
          <w:sz w:val="13"/>
          <w:szCs w:val="13"/>
          <w:color w:val="auto"/>
        </w:rPr>
      </w:pPr>
    </w:p>
    <w:p>
      <w:pPr>
        <w:ind w:left="2380" w:right="759" w:hanging="315"/>
        <w:spacing w:after="0" w:line="278" w:lineRule="auto"/>
        <w:tabs>
          <w:tab w:leader="none" w:pos="238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the adequacy and effectiveness of our accounting and internal control policies and procedures and any steps taken to monitor and control major financial risk exposures;</w:t>
      </w:r>
    </w:p>
    <w:p>
      <w:pPr>
        <w:spacing w:after="0" w:line="52"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and approving all proposed related party transactions;</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meeting separately and periodically with management and the independent auditors; and</w:t>
      </w:r>
    </w:p>
    <w:p>
      <w:pPr>
        <w:spacing w:after="0" w:line="93" w:lineRule="exact"/>
        <w:rPr>
          <w:rFonts w:ascii="Times New Roman" w:cs="Times New Roman" w:eastAsia="Times New Roman" w:hAnsi="Times New Roman"/>
          <w:sz w:val="13"/>
          <w:szCs w:val="13"/>
          <w:color w:val="auto"/>
        </w:rPr>
      </w:pPr>
    </w:p>
    <w:p>
      <w:pPr>
        <w:ind w:left="2380" w:right="1139" w:hanging="315"/>
        <w:spacing w:after="0" w:line="278" w:lineRule="auto"/>
        <w:tabs>
          <w:tab w:leader="none" w:pos="238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monitoring compliance with our code of business conduct and ethics, including reviewing the adequacy and effectiveness of our procedures to ensure proper compliance.</w:t>
      </w:r>
    </w:p>
    <w:p>
      <w:pPr>
        <w:spacing w:after="0" w:line="119" w:lineRule="exact"/>
        <w:rPr>
          <w:sz w:val="20"/>
          <w:szCs w:val="20"/>
          <w:color w:val="auto"/>
        </w:rPr>
      </w:pPr>
    </w:p>
    <w:p>
      <w:pPr>
        <w:ind w:left="1680" w:right="599" w:firstLine="317"/>
        <w:spacing w:after="0" w:line="284" w:lineRule="auto"/>
        <w:rPr>
          <w:sz w:val="20"/>
          <w:szCs w:val="20"/>
          <w:color w:val="auto"/>
        </w:rPr>
      </w:pPr>
      <w:r>
        <w:rPr>
          <w:rFonts w:ascii="Times New Roman" w:cs="Times New Roman" w:eastAsia="Times New Roman" w:hAnsi="Times New Roman"/>
          <w:sz w:val="12"/>
          <w:szCs w:val="12"/>
          <w:i w:val="1"/>
          <w:iCs w:val="1"/>
          <w:color w:val="auto"/>
        </w:rPr>
        <w:t xml:space="preserve">Compensation Committee. </w:t>
      </w:r>
      <w:r>
        <w:rPr>
          <w:rFonts w:ascii="Times New Roman" w:cs="Times New Roman" w:eastAsia="Times New Roman" w:hAnsi="Times New Roman"/>
          <w:sz w:val="12"/>
          <w:szCs w:val="12"/>
          <w:color w:val="auto"/>
        </w:rPr>
        <w:t>Our compensation committee consists of Haoxiang Hou and Conor Chia-hung Yang. Haoxiang Hou is the chairman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our compensation committee. We have determined that each of Haoxiang Hou and Conor Chia-hung Yang satisfies the “independence” requirements of Rule 5605(c)(2) of the Listing Rules of the Nasdaq Stock Market.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p>
      <w:pPr>
        <w:spacing w:after="0" w:line="51" w:lineRule="exact"/>
        <w:rPr>
          <w:sz w:val="20"/>
          <w:szCs w:val="20"/>
          <w:color w:val="auto"/>
        </w:rPr>
      </w:pPr>
    </w:p>
    <w:p>
      <w:pPr>
        <w:ind w:left="2380" w:right="959" w:hanging="315"/>
        <w:spacing w:after="0" w:line="278" w:lineRule="auto"/>
        <w:tabs>
          <w:tab w:leader="none" w:pos="238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and approving, or recommending to the board for its approval, the compensation for our chief executive officer and other executive officers;</w:t>
      </w:r>
    </w:p>
    <w:p>
      <w:pPr>
        <w:spacing w:after="0" w:line="52"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and recommending to the board for determination with respect to the compensation of our non-employee directors;</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periodically and approving any incentive compensation or equity plans, programs or similar arrangements; and</w:t>
      </w:r>
    </w:p>
    <w:p>
      <w:pPr>
        <w:spacing w:after="0" w:line="11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131</w:t>
      </w:r>
    </w:p>
    <w:p>
      <w:pPr>
        <w:sectPr>
          <w:pgSz w:w="11900" w:h="16838" w:orient="portrait"/>
          <w:cols w:equalWidth="0" w:num="1">
            <w:col w:w="10159"/>
          </w:cols>
          <w:pgMar w:left="300" w:top="388" w:right="1440"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2380" w:right="739" w:hanging="315"/>
        <w:spacing w:after="0" w:line="278" w:lineRule="auto"/>
        <w:tabs>
          <w:tab w:leader="none" w:pos="238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selecting compensation consultant, legal counsel or other adviser only after taking into consideration all factors relevant to that person’s independence from management.</w:t>
      </w:r>
    </w:p>
    <w:p>
      <w:pPr>
        <w:spacing w:after="0" w:line="119" w:lineRule="exact"/>
        <w:rPr>
          <w:sz w:val="20"/>
          <w:szCs w:val="20"/>
          <w:color w:val="auto"/>
        </w:rPr>
      </w:pPr>
    </w:p>
    <w:p>
      <w:pPr>
        <w:ind w:left="1680" w:right="559" w:firstLine="317"/>
        <w:spacing w:after="0" w:line="257" w:lineRule="auto"/>
        <w:rPr>
          <w:sz w:val="20"/>
          <w:szCs w:val="20"/>
          <w:color w:val="auto"/>
        </w:rPr>
      </w:pPr>
      <w:r>
        <w:rPr>
          <w:rFonts w:ascii="Times New Roman" w:cs="Times New Roman" w:eastAsia="Times New Roman" w:hAnsi="Times New Roman"/>
          <w:sz w:val="13"/>
          <w:szCs w:val="13"/>
          <w:i w:val="1"/>
          <w:iCs w:val="1"/>
          <w:color w:val="auto"/>
        </w:rPr>
        <w:t xml:space="preserve">Nominating and Corporate Governance Committee. </w:t>
      </w:r>
      <w:r>
        <w:rPr>
          <w:rFonts w:ascii="Times New Roman" w:cs="Times New Roman" w:eastAsia="Times New Roman" w:hAnsi="Times New Roman"/>
          <w:sz w:val="13"/>
          <w:szCs w:val="13"/>
          <w:color w:val="auto"/>
        </w:rPr>
        <w:t>Our nominating and corporate governance committee consists of Huazhi Hu and Haoxiang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Hou. Huazhi Hu is the chairperson of our nominating and corporate governance committee. We have determined that Haoxiang Hou satisfies the “independence” requirements of Rule 5605(c)(2) of the Listing Rules of the Nasdaq Stock Market. The nominating and corporate governance committee assists the board of directors in selecting individuals qualified to become our directors and in determining the composition of the board and its committees. The nominating and corporate governance committee is responsible for, among other things:</w:t>
      </w:r>
    </w:p>
    <w:p>
      <w:pPr>
        <w:spacing w:after="0" w:line="67" w:lineRule="exact"/>
        <w:rPr>
          <w:sz w:val="20"/>
          <w:szCs w:val="20"/>
          <w:color w:val="auto"/>
        </w:rPr>
      </w:pPr>
    </w:p>
    <w:p>
      <w:pPr>
        <w:ind w:left="2380" w:hanging="315"/>
        <w:spacing w:after="0"/>
        <w:tabs>
          <w:tab w:leader="none" w:pos="238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selecting and recommending to the board nominees for election by the shareholders or appointment by the board;</w:t>
      </w:r>
    </w:p>
    <w:p>
      <w:pPr>
        <w:spacing w:after="0" w:line="93" w:lineRule="exact"/>
        <w:rPr>
          <w:rFonts w:ascii="Times New Roman" w:cs="Times New Roman" w:eastAsia="Times New Roman" w:hAnsi="Times New Roman"/>
          <w:sz w:val="13"/>
          <w:szCs w:val="13"/>
          <w:color w:val="auto"/>
        </w:rPr>
      </w:pPr>
    </w:p>
    <w:p>
      <w:pPr>
        <w:ind w:left="2380" w:right="679" w:hanging="315"/>
        <w:spacing w:after="0" w:line="278" w:lineRule="auto"/>
        <w:tabs>
          <w:tab w:leader="none" w:pos="238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annually with the board the current composition of the board with regards to characteristics such as independence, knowledge, skills, experience and diversity;</w:t>
      </w:r>
    </w:p>
    <w:p>
      <w:pPr>
        <w:spacing w:after="0" w:line="52" w:lineRule="exact"/>
        <w:rPr>
          <w:rFonts w:ascii="Times New Roman" w:cs="Times New Roman" w:eastAsia="Times New Roman" w:hAnsi="Times New Roman"/>
          <w:sz w:val="13"/>
          <w:szCs w:val="13"/>
          <w:color w:val="auto"/>
        </w:rPr>
      </w:pPr>
    </w:p>
    <w:p>
      <w:pPr>
        <w:ind w:left="2380" w:right="559" w:hanging="315"/>
        <w:spacing w:after="0" w:line="278" w:lineRule="auto"/>
        <w:tabs>
          <w:tab w:leader="none" w:pos="238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making recommendations on the frequency and structure of board meetings and monitoring the functioning of the committees of the board; and</w:t>
      </w:r>
    </w:p>
    <w:p>
      <w:pPr>
        <w:spacing w:after="0" w:line="52" w:lineRule="exact"/>
        <w:rPr>
          <w:rFonts w:ascii="Times New Roman" w:cs="Times New Roman" w:eastAsia="Times New Roman" w:hAnsi="Times New Roman"/>
          <w:sz w:val="13"/>
          <w:szCs w:val="13"/>
          <w:color w:val="auto"/>
        </w:rPr>
      </w:pPr>
    </w:p>
    <w:p>
      <w:pPr>
        <w:ind w:left="2380" w:right="579" w:hanging="315"/>
        <w:spacing w:after="0" w:line="264" w:lineRule="auto"/>
        <w:tabs>
          <w:tab w:leader="none" w:pos="238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advising the board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w:t>
      </w:r>
    </w:p>
    <w:p>
      <w:pPr>
        <w:spacing w:after="0" w:line="20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Duties of Directors</w:t>
      </w:r>
    </w:p>
    <w:p>
      <w:pPr>
        <w:spacing w:after="0" w:line="88" w:lineRule="exact"/>
        <w:rPr>
          <w:sz w:val="20"/>
          <w:szCs w:val="20"/>
          <w:color w:val="auto"/>
        </w:rPr>
      </w:pPr>
    </w:p>
    <w:p>
      <w:pPr>
        <w:ind w:left="1680" w:right="579" w:firstLine="317"/>
        <w:spacing w:after="0" w:line="253" w:lineRule="auto"/>
        <w:rPr>
          <w:sz w:val="20"/>
          <w:szCs w:val="20"/>
          <w:color w:val="auto"/>
        </w:rPr>
      </w:pPr>
      <w:r>
        <w:rPr>
          <w:rFonts w:ascii="Times New Roman" w:cs="Times New Roman" w:eastAsia="Times New Roman" w:hAnsi="Times New Roman"/>
          <w:sz w:val="13"/>
          <w:szCs w:val="13"/>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due to our company a duty to exercise skills they actually possess and such care and diligence that a reasonably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 an objective standard with regards to the registered skill and care and these authorized are likely to be followed in the Cayman Islands. In fulfilling their duty of care to us, our directors must ensure compliance with our memorandum and articles of association, as amended and restated from time to time. Our company has the right to seek damages if a duty owed by our directors is breached. In certain limited exceptional circumstances, a shareholder may have the right to seek damages in our name if a duty owed by our directors is breached.</w:t>
      </w:r>
    </w:p>
    <w:p>
      <w:pPr>
        <w:spacing w:after="0" w:line="138" w:lineRule="exact"/>
        <w:rPr>
          <w:sz w:val="20"/>
          <w:szCs w:val="20"/>
          <w:color w:val="auto"/>
        </w:rPr>
      </w:pPr>
    </w:p>
    <w:p>
      <w:pPr>
        <w:ind w:left="1680" w:right="939" w:firstLine="317"/>
        <w:spacing w:after="0" w:line="278" w:lineRule="auto"/>
        <w:rPr>
          <w:sz w:val="20"/>
          <w:szCs w:val="20"/>
          <w:color w:val="auto"/>
        </w:rPr>
      </w:pPr>
      <w:r>
        <w:rPr>
          <w:rFonts w:ascii="Times New Roman" w:cs="Times New Roman" w:eastAsia="Times New Roman" w:hAnsi="Times New Roman"/>
          <w:sz w:val="13"/>
          <w:szCs w:val="13"/>
          <w:color w:val="auto"/>
        </w:rPr>
        <w:t>Our board of directors has all the powers necessary for managing, and for directing and supervising, our business affairs. The functions and powers of our board of directors include, among others:</w:t>
      </w:r>
    </w:p>
    <w:p>
      <w:pPr>
        <w:spacing w:after="0" w:line="52" w:lineRule="exact"/>
        <w:rPr>
          <w:sz w:val="20"/>
          <w:szCs w:val="20"/>
          <w:color w:val="auto"/>
        </w:rPr>
      </w:pPr>
    </w:p>
    <w:p>
      <w:pPr>
        <w:ind w:left="2380" w:hanging="315"/>
        <w:spacing w:after="0"/>
        <w:tabs>
          <w:tab w:leader="none" w:pos="238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convening shareholders’ annual and extraordinary general meetings and reporting its work to shareholders at such meetings;</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declaring dividends and distributions;</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appointing officers and determining the term of office of the officers;</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exercising the borrowing powers of our company and mortgaging the property of our company; and</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approving the transfer of shares in our company, including the registration of such shares in our share register.</w:t>
      </w:r>
    </w:p>
    <w:p>
      <w:pPr>
        <w:spacing w:after="0" w:line="11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132</w:t>
      </w:r>
    </w:p>
    <w:p>
      <w:pPr>
        <w:sectPr>
          <w:pgSz w:w="11900" w:h="16838" w:orient="portrait"/>
          <w:cols w:equalWidth="0" w:num="1">
            <w:col w:w="10159"/>
          </w:cols>
          <w:pgMar w:left="300" w:top="388" w:right="1440"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Terms of Directors and Officers</w:t>
      </w:r>
    </w:p>
    <w:p>
      <w:pPr>
        <w:spacing w:after="0" w:line="88" w:lineRule="exact"/>
        <w:rPr>
          <w:sz w:val="20"/>
          <w:szCs w:val="20"/>
          <w:color w:val="auto"/>
        </w:rPr>
      </w:pPr>
    </w:p>
    <w:p>
      <w:pPr>
        <w:ind w:left="1680" w:right="599" w:firstLine="317"/>
        <w:spacing w:after="0" w:line="273" w:lineRule="auto"/>
        <w:rPr>
          <w:sz w:val="20"/>
          <w:szCs w:val="20"/>
          <w:color w:val="auto"/>
        </w:rPr>
      </w:pPr>
      <w:r>
        <w:rPr>
          <w:rFonts w:ascii="Times New Roman" w:cs="Times New Roman" w:eastAsia="Times New Roman" w:hAnsi="Times New Roman"/>
          <w:sz w:val="12"/>
          <w:szCs w:val="12"/>
          <w:color w:val="auto"/>
        </w:rPr>
        <w:t>Our directors may be elected by a resolution of our board of directors or by an ordinary resolution of our shareholders. Unless otherwise determined by our company in general meeting, our company shall have not less than three (3) directors, and there shall be no maximum number of directors. An appointment of a director may be on terms that the director shall automatically retire from office (unless he has sooner vacated office) at the next or a subsequent annual general meeting or upon any specified event or after any specified period in a written agreement between our company and the director, if any; but no such term shall be implied in the absence of express provision. Each director whose term of office expires shall be eligible for re-election at a meeting of the Shareholders or re-appointment by our board of directors. Our directors may be removed from office by ordinary resolution of the shareholders. In addition, a director’s office will be vacated if the director (i) becomes bankrupt or makes any arrangement or composition with his creditors; (ii) dies or is found by our company to be or becomes of unsound mind; (iii) resigns his office by notice in writing to us;</w:t>
      </w:r>
    </w:p>
    <w:p>
      <w:pPr>
        <w:spacing w:after="0" w:line="1" w:lineRule="exact"/>
        <w:rPr>
          <w:sz w:val="20"/>
          <w:szCs w:val="20"/>
          <w:color w:val="auto"/>
        </w:rPr>
      </w:pPr>
    </w:p>
    <w:p>
      <w:pPr>
        <w:ind w:left="1680" w:right="619" w:hanging="4"/>
        <w:spacing w:after="0" w:line="259" w:lineRule="auto"/>
        <w:tabs>
          <w:tab w:leader="none" w:pos="190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without special leave of absence from our board, is absent from three consecutive board meetings and our board of directors resolves that his office be vacated; or (v) is removed from office pursuant to any other provisions of our memorandum and articles of association.</w:t>
      </w:r>
    </w:p>
    <w:p>
      <w:pPr>
        <w:spacing w:after="0" w:line="13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Our officers are elected by and serve at the discretion of the board of directors.</w:t>
      </w:r>
    </w:p>
    <w:p>
      <w:pPr>
        <w:spacing w:after="0" w:line="238" w:lineRule="exact"/>
        <w:rPr>
          <w:sz w:val="20"/>
          <w:szCs w:val="20"/>
          <w:color w:val="auto"/>
        </w:rPr>
      </w:pPr>
    </w:p>
    <w:p>
      <w:pPr>
        <w:ind w:left="1840" w:hanging="164"/>
        <w:spacing w:after="0"/>
        <w:tabs>
          <w:tab w:leader="none" w:pos="1840" w:val="left"/>
        </w:tabs>
        <w:numPr>
          <w:ilvl w:val="0"/>
          <w:numId w:val="5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Employees</w:t>
      </w:r>
      <w:r>
        <w:rPr>
          <w:rFonts w:ascii="Times New Roman" w:cs="Times New Roman" w:eastAsia="Times New Roman" w:hAnsi="Times New Roman"/>
          <w:sz w:val="13"/>
          <w:szCs w:val="13"/>
          <w:b w:val="1"/>
          <w:bCs w:val="1"/>
          <w:color w:val="auto"/>
        </w:rPr>
        <w:t>.</w:t>
      </w:r>
    </w:p>
    <w:p>
      <w:pPr>
        <w:spacing w:after="0" w:line="86" w:lineRule="exact"/>
        <w:rPr>
          <w:sz w:val="20"/>
          <w:szCs w:val="20"/>
          <w:color w:val="auto"/>
        </w:rPr>
      </w:pPr>
    </w:p>
    <w:p>
      <w:pPr>
        <w:ind w:left="1680" w:right="619" w:firstLine="317"/>
        <w:spacing w:after="0" w:line="264" w:lineRule="auto"/>
        <w:rPr>
          <w:sz w:val="20"/>
          <w:szCs w:val="20"/>
          <w:color w:val="auto"/>
        </w:rPr>
      </w:pPr>
      <w:r>
        <w:rPr>
          <w:rFonts w:ascii="Times New Roman" w:cs="Times New Roman" w:eastAsia="Times New Roman" w:hAnsi="Times New Roman"/>
          <w:sz w:val="13"/>
          <w:szCs w:val="13"/>
          <w:color w:val="auto"/>
        </w:rPr>
        <w:t>We had 240, 227 and 326 employees as of December 31, 2019, 2020 and 2021, respectively. As of December 31, 2021, we had 299 employees in Guangzhou, 13 employees in Yunfu, 4 employees in Xi’an, 2 employees in Beijing and 8 employees outside China. The following table sets forth the number of our employees categorized by function as of December 31, 2021:</w:t>
      </w:r>
    </w:p>
    <w:p>
      <w:pPr>
        <w:spacing w:after="0" w:line="137" w:lineRule="exact"/>
        <w:rPr>
          <w:sz w:val="20"/>
          <w:szCs w:val="20"/>
          <w:color w:val="auto"/>
        </w:rPr>
      </w:pPr>
    </w:p>
    <w:tbl>
      <w:tblPr>
        <w:tblLayout w:type="fixed"/>
        <w:tblInd w:w="2620" w:type="dxa"/>
        <w:tblCellMar>
          <w:top w:w="0" w:type="dxa"/>
          <w:left w:w="0" w:type="dxa"/>
          <w:bottom w:w="0" w:type="dxa"/>
          <w:right w:w="0" w:type="dxa"/>
        </w:tblCellMar>
      </w:tblPr>
      <w:tr>
        <w:trPr>
          <w:trHeight w:val="115"/>
        </w:trPr>
        <w:tc>
          <w:tcPr>
            <w:tcW w:w="354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Function</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420" w:type="dxa"/>
            <w:vAlign w:val="bottom"/>
          </w:tcPr>
          <w:p>
            <w:pPr>
              <w:spacing w:after="0"/>
              <w:rPr>
                <w:sz w:val="10"/>
                <w:szCs w:val="10"/>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w w:val="95"/>
              </w:rPr>
              <w:t>% of Total</w:t>
            </w:r>
          </w:p>
        </w:tc>
        <w:tc>
          <w:tcPr>
            <w:tcW w:w="0" w:type="dxa"/>
            <w:vAlign w:val="bottom"/>
          </w:tcPr>
          <w:p>
            <w:pPr>
              <w:spacing w:after="0"/>
              <w:rPr>
                <w:sz w:val="1"/>
                <w:szCs w:val="1"/>
                <w:color w:val="auto"/>
              </w:rPr>
            </w:pPr>
          </w:p>
        </w:tc>
      </w:tr>
      <w:tr>
        <w:trPr>
          <w:trHeight w:val="114"/>
        </w:trPr>
        <w:tc>
          <w:tcPr>
            <w:tcW w:w="3540" w:type="dxa"/>
            <w:vAlign w:val="bottom"/>
            <w:gridSpan w:val="3"/>
            <w:vMerge w:val="continue"/>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Employees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5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Research and product development department</w:t>
            </w:r>
          </w:p>
        </w:tc>
        <w:tc>
          <w:tcPr>
            <w:tcW w:w="10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189</w:t>
            </w:r>
          </w:p>
        </w:tc>
        <w:tc>
          <w:tcPr>
            <w:tcW w:w="4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58.0%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Marketing and sales department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18.7%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General administration department</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23.3%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number of employees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326</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1680" w:right="699" w:firstLine="317"/>
        <w:spacing w:after="0" w:line="278" w:lineRule="auto"/>
        <w:rPr>
          <w:sz w:val="20"/>
          <w:szCs w:val="20"/>
          <w:color w:val="auto"/>
        </w:rPr>
      </w:pPr>
      <w:r>
        <w:rPr>
          <w:rFonts w:ascii="Times New Roman" w:cs="Times New Roman" w:eastAsia="Times New Roman" w:hAnsi="Times New Roman"/>
          <w:sz w:val="13"/>
          <w:szCs w:val="13"/>
          <w:color w:val="auto"/>
        </w:rPr>
        <w:t>We also had 74, 68 and 113 full-time contractors who are involved in the manufacturing of our AAVs as of December 31, 2019, 2020 and 2021, respectively.</w:t>
      </w:r>
    </w:p>
    <w:p>
      <w:pPr>
        <w:spacing w:after="0" w:line="121" w:lineRule="exact"/>
        <w:rPr>
          <w:sz w:val="20"/>
          <w:szCs w:val="20"/>
          <w:color w:val="auto"/>
        </w:rPr>
      </w:pPr>
    </w:p>
    <w:p>
      <w:pPr>
        <w:ind w:left="1680" w:right="659" w:firstLine="317"/>
        <w:spacing w:after="0" w:line="255" w:lineRule="auto"/>
        <w:rPr>
          <w:sz w:val="20"/>
          <w:szCs w:val="20"/>
          <w:color w:val="auto"/>
        </w:rPr>
      </w:pPr>
      <w:r>
        <w:rPr>
          <w:rFonts w:ascii="Times New Roman" w:cs="Times New Roman" w:eastAsia="Times New Roman" w:hAnsi="Times New Roman"/>
          <w:sz w:val="13"/>
          <w:szCs w:val="13"/>
          <w:color w:val="auto"/>
        </w:rPr>
        <w:t>As required by laws and regulations in China, we participate in various employee social security plans that are organized by municipal and provincial governments, including housing, pension, medical insurance and unemployment insurance. We are required under PRC law to make contributions to an employee benefit plan at a specified percentage of the salaries, bonuses and certain allowances of our employees, up to a maximum amount specified by the local government from time to time. See “Item 3. Key Information—D. Risk Factors—Risks Relating to Doing Business in China—Increases in labor costs and enforcement of stricter labor laws and regulations in the PRC may adversely affect our business and our profitability.”</w:t>
      </w:r>
    </w:p>
    <w:p>
      <w:pPr>
        <w:spacing w:after="0" w:line="136" w:lineRule="exact"/>
        <w:rPr>
          <w:sz w:val="20"/>
          <w:szCs w:val="20"/>
          <w:color w:val="auto"/>
        </w:rPr>
      </w:pPr>
    </w:p>
    <w:p>
      <w:pPr>
        <w:ind w:left="1680" w:right="539" w:firstLine="317"/>
        <w:spacing w:after="0" w:line="278" w:lineRule="auto"/>
        <w:rPr>
          <w:sz w:val="20"/>
          <w:szCs w:val="20"/>
          <w:color w:val="auto"/>
        </w:rPr>
      </w:pPr>
      <w:r>
        <w:rPr>
          <w:rFonts w:ascii="Times New Roman" w:cs="Times New Roman" w:eastAsia="Times New Roman" w:hAnsi="Times New Roman"/>
          <w:sz w:val="13"/>
          <w:szCs w:val="13"/>
          <w:color w:val="auto"/>
        </w:rPr>
        <w:t>We typically enter into standard employment and confidentiality agreements with our key employees. In addition, we enter into confidentiality and non-compete agreements with senior management and intellectual property assignment agreements with core technical personnel.</w:t>
      </w:r>
    </w:p>
    <w:p>
      <w:pPr>
        <w:spacing w:after="0" w:line="121" w:lineRule="exact"/>
        <w:rPr>
          <w:sz w:val="20"/>
          <w:szCs w:val="20"/>
          <w:color w:val="auto"/>
        </w:rPr>
      </w:pPr>
    </w:p>
    <w:p>
      <w:pPr>
        <w:ind w:left="1680" w:right="719" w:firstLine="317"/>
        <w:spacing w:after="0" w:line="264" w:lineRule="auto"/>
        <w:rPr>
          <w:sz w:val="20"/>
          <w:szCs w:val="20"/>
          <w:color w:val="auto"/>
        </w:rPr>
      </w:pPr>
      <w:r>
        <w:rPr>
          <w:rFonts w:ascii="Times New Roman" w:cs="Times New Roman" w:eastAsia="Times New Roman" w:hAnsi="Times New Roman"/>
          <w:sz w:val="13"/>
          <w:szCs w:val="13"/>
          <w:color w:val="auto"/>
        </w:rPr>
        <w:t>Our success depends on our ability to attract, retain and motivate qualified employees that share our values and vision. We believe that we maintain a good working relationship with our employees. As of the date of this annual report, we have no material labor disputes and we believe that we maintain a good working relationship with our employees</w:t>
      </w:r>
    </w:p>
    <w:p>
      <w:pPr>
        <w:spacing w:after="0" w:line="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133</w:t>
      </w:r>
    </w:p>
    <w:p>
      <w:pPr>
        <w:sectPr>
          <w:pgSz w:w="11900" w:h="16838" w:orient="portrait"/>
          <w:cols w:equalWidth="0" w:num="1">
            <w:col w:w="10159"/>
          </w:cols>
          <w:pgMar w:left="300" w:top="388" w:right="1440"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 xml:space="preserve">E. </w:t>
      </w:r>
      <w:r>
        <w:rPr>
          <w:rFonts w:ascii="Times New Roman" w:cs="Times New Roman" w:eastAsia="Times New Roman" w:hAnsi="Times New Roman"/>
          <w:sz w:val="13"/>
          <w:szCs w:val="13"/>
          <w:b w:val="1"/>
          <w:bCs w:val="1"/>
          <w:u w:val="single" w:color="auto"/>
          <w:color w:val="auto"/>
        </w:rPr>
        <w:t>Share Ownership.</w:t>
      </w:r>
    </w:p>
    <w:p>
      <w:pPr>
        <w:spacing w:after="0" w:line="8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Except as specifically noted, the following table sets forth information with respect to the beneficial ownership of our ordinary shares as of</w:t>
      </w:r>
    </w:p>
    <w:p>
      <w:pPr>
        <w:spacing w:after="0" w:line="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March 31, 2022 by:</w:t>
      </w:r>
    </w:p>
    <w:p>
      <w:pPr>
        <w:spacing w:after="0" w:line="82" w:lineRule="exact"/>
        <w:rPr>
          <w:sz w:val="20"/>
          <w:szCs w:val="20"/>
          <w:color w:val="auto"/>
        </w:rPr>
      </w:pPr>
    </w:p>
    <w:p>
      <w:pPr>
        <w:ind w:left="2380" w:hanging="315"/>
        <w:spacing w:after="0"/>
        <w:tabs>
          <w:tab w:leader="none" w:pos="238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our directors and executive officers; and</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person known to us to beneficially own more than 5% of our ordinary shares on an as-converted basis.</w:t>
      </w:r>
    </w:p>
    <w:p>
      <w:pPr>
        <w:spacing w:after="0" w:line="162" w:lineRule="exact"/>
        <w:rPr>
          <w:sz w:val="20"/>
          <w:szCs w:val="20"/>
          <w:color w:val="auto"/>
        </w:rPr>
      </w:pPr>
    </w:p>
    <w:p>
      <w:pPr>
        <w:ind w:left="1680" w:right="699" w:firstLine="317"/>
        <w:spacing w:after="0" w:line="264" w:lineRule="auto"/>
        <w:rPr>
          <w:sz w:val="20"/>
          <w:szCs w:val="20"/>
          <w:color w:val="auto"/>
        </w:rPr>
      </w:pPr>
      <w:r>
        <w:rPr>
          <w:rFonts w:ascii="Times New Roman" w:cs="Times New Roman" w:eastAsia="Times New Roman" w:hAnsi="Times New Roman"/>
          <w:sz w:val="13"/>
          <w:szCs w:val="13"/>
          <w:color w:val="auto"/>
        </w:rPr>
        <w:t>The calculations in the table below are based on 74,554,137 Class A ordinary shares (excluding Class A ordinary shares issued to the depositary bank for bulk issuance of ADSs reserved for future issuances upon the exercise or vesting of awards granted under our share incentive plans) and 40,136,560 Class B ordinary shares outstanding as of March 31, 2022.</w:t>
      </w:r>
    </w:p>
    <w:p>
      <w:pPr>
        <w:spacing w:after="0" w:line="129" w:lineRule="exact"/>
        <w:rPr>
          <w:sz w:val="20"/>
          <w:szCs w:val="20"/>
          <w:color w:val="auto"/>
        </w:rPr>
      </w:pPr>
    </w:p>
    <w:p>
      <w:pPr>
        <w:ind w:left="1680" w:right="639" w:firstLine="317"/>
        <w:spacing w:after="0" w:line="259" w:lineRule="auto"/>
        <w:rPr>
          <w:sz w:val="20"/>
          <w:szCs w:val="20"/>
          <w:color w:val="auto"/>
        </w:rPr>
      </w:pPr>
      <w:r>
        <w:rPr>
          <w:rFonts w:ascii="Times New Roman" w:cs="Times New Roman" w:eastAsia="Times New Roman" w:hAnsi="Times New Roman"/>
          <w:sz w:val="13"/>
          <w:szCs w:val="13"/>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after March 31, 2022, including through the exercise of any restricted share unit, option, warrant or other right or the conversion of any other security. These shares, however, are not included in the computation of the percentage ownership of any other person.</w:t>
      </w:r>
    </w:p>
    <w:p>
      <w:pPr>
        <w:spacing w:after="0" w:line="140"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4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Ordinary</w:t>
            </w: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5"/>
              </w:rPr>
              <w:t>% of</w:t>
            </w:r>
          </w:p>
        </w:tc>
        <w:tc>
          <w:tcPr>
            <w:tcW w:w="0" w:type="dxa"/>
            <w:vAlign w:val="bottom"/>
          </w:tcPr>
          <w:p>
            <w:pPr>
              <w:spacing w:after="0"/>
              <w:rPr>
                <w:sz w:val="1"/>
                <w:szCs w:val="1"/>
                <w:color w:val="auto"/>
              </w:rPr>
            </w:pPr>
          </w:p>
        </w:tc>
      </w:tr>
      <w:tr>
        <w:trPr>
          <w:trHeight w:val="107"/>
        </w:trPr>
        <w:tc>
          <w:tcPr>
            <w:tcW w:w="4200" w:type="dxa"/>
            <w:vAlign w:val="bottom"/>
          </w:tcPr>
          <w:p>
            <w:pPr>
              <w:spacing w:after="0"/>
              <w:rPr>
                <w:sz w:val="9"/>
                <w:szCs w:val="9"/>
                <w:color w:val="auto"/>
              </w:rPr>
            </w:pPr>
          </w:p>
        </w:tc>
        <w:tc>
          <w:tcPr>
            <w:tcW w:w="7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Class A</w:t>
            </w:r>
          </w:p>
        </w:tc>
        <w:tc>
          <w:tcPr>
            <w:tcW w:w="8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Class B</w:t>
            </w:r>
          </w:p>
        </w:tc>
        <w:tc>
          <w:tcPr>
            <w:tcW w:w="64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Shares</w:t>
            </w:r>
          </w:p>
        </w:tc>
        <w:tc>
          <w:tcPr>
            <w:tcW w:w="180" w:type="dxa"/>
            <w:vAlign w:val="bottom"/>
          </w:tcPr>
          <w:p>
            <w:pPr>
              <w:spacing w:after="0"/>
              <w:rPr>
                <w:sz w:val="9"/>
                <w:szCs w:val="9"/>
                <w:color w:val="auto"/>
              </w:rPr>
            </w:pPr>
          </w:p>
        </w:tc>
        <w:tc>
          <w:tcPr>
            <w:tcW w:w="6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5"/>
              </w:rPr>
              <w:t>% of</w:t>
            </w:r>
          </w:p>
        </w:tc>
        <w:tc>
          <w:tcPr>
            <w:tcW w:w="10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2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4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on an as-</w:t>
            </w:r>
          </w:p>
        </w:tc>
        <w:tc>
          <w:tcPr>
            <w:tcW w:w="18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700" w:type="dxa"/>
            <w:vAlign w:val="bottom"/>
            <w:gridSpan w:val="3"/>
          </w:tcPr>
          <w:p>
            <w:pPr>
              <w:jc w:val="center"/>
              <w:ind w:right="60"/>
              <w:spacing w:after="0" w:line="107" w:lineRule="exact"/>
              <w:rPr>
                <w:sz w:val="20"/>
                <w:szCs w:val="20"/>
                <w:color w:val="auto"/>
              </w:rPr>
            </w:pPr>
            <w:r>
              <w:rPr>
                <w:rFonts w:ascii="Times New Roman" w:cs="Times New Roman" w:eastAsia="Times New Roman" w:hAnsi="Times New Roman"/>
                <w:sz w:val="10"/>
                <w:szCs w:val="10"/>
                <w:b w:val="1"/>
                <w:bCs w:val="1"/>
                <w:color w:val="auto"/>
              </w:rPr>
              <w:t>Aggregate</w:t>
            </w:r>
          </w:p>
        </w:tc>
        <w:tc>
          <w:tcPr>
            <w:tcW w:w="0" w:type="dxa"/>
            <w:vAlign w:val="bottom"/>
          </w:tcPr>
          <w:p>
            <w:pPr>
              <w:spacing w:after="0"/>
              <w:rPr>
                <w:sz w:val="1"/>
                <w:szCs w:val="1"/>
                <w:color w:val="auto"/>
              </w:rPr>
            </w:pPr>
          </w:p>
        </w:tc>
      </w:tr>
      <w:tr>
        <w:trPr>
          <w:trHeight w:val="107"/>
        </w:trPr>
        <w:tc>
          <w:tcPr>
            <w:tcW w:w="4200" w:type="dxa"/>
            <w:vAlign w:val="bottom"/>
          </w:tcPr>
          <w:p>
            <w:pPr>
              <w:spacing w:after="0"/>
              <w:rPr>
                <w:sz w:val="9"/>
                <w:szCs w:val="9"/>
                <w:color w:val="auto"/>
              </w:rPr>
            </w:pPr>
          </w:p>
        </w:tc>
        <w:tc>
          <w:tcPr>
            <w:tcW w:w="740" w:type="dxa"/>
            <w:vAlign w:val="bottom"/>
            <w:gridSpan w:val="2"/>
          </w:tcPr>
          <w:p>
            <w:pPr>
              <w:jc w:val="center"/>
              <w:ind w:right="200"/>
              <w:spacing w:after="0" w:line="107" w:lineRule="exact"/>
              <w:rPr>
                <w:sz w:val="20"/>
                <w:szCs w:val="20"/>
                <w:color w:val="auto"/>
              </w:rPr>
            </w:pPr>
            <w:r>
              <w:rPr>
                <w:rFonts w:ascii="Times New Roman" w:cs="Times New Roman" w:eastAsia="Times New Roman" w:hAnsi="Times New Roman"/>
                <w:sz w:val="10"/>
                <w:szCs w:val="10"/>
                <w:b w:val="1"/>
                <w:bCs w:val="1"/>
                <w:color w:val="auto"/>
              </w:rPr>
              <w:t>Ordinary</w:t>
            </w:r>
          </w:p>
        </w:tc>
        <w:tc>
          <w:tcPr>
            <w:tcW w:w="800" w:type="dxa"/>
            <w:vAlign w:val="bottom"/>
            <w:gridSpan w:val="2"/>
          </w:tcPr>
          <w:p>
            <w:pPr>
              <w:jc w:val="center"/>
              <w:ind w:right="180"/>
              <w:spacing w:after="0" w:line="107" w:lineRule="exact"/>
              <w:rPr>
                <w:sz w:val="20"/>
                <w:szCs w:val="20"/>
                <w:color w:val="auto"/>
              </w:rPr>
            </w:pPr>
            <w:r>
              <w:rPr>
                <w:rFonts w:ascii="Times New Roman" w:cs="Times New Roman" w:eastAsia="Times New Roman" w:hAnsi="Times New Roman"/>
                <w:sz w:val="10"/>
                <w:szCs w:val="10"/>
                <w:b w:val="1"/>
                <w:bCs w:val="1"/>
                <w:color w:val="auto"/>
              </w:rPr>
              <w:t>Ordinary</w:t>
            </w:r>
          </w:p>
        </w:tc>
        <w:tc>
          <w:tcPr>
            <w:tcW w:w="64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Converted</w:t>
            </w:r>
          </w:p>
        </w:tc>
        <w:tc>
          <w:tcPr>
            <w:tcW w:w="180" w:type="dxa"/>
            <w:vAlign w:val="bottom"/>
          </w:tcPr>
          <w:p>
            <w:pPr>
              <w:spacing w:after="0"/>
              <w:rPr>
                <w:sz w:val="9"/>
                <w:szCs w:val="9"/>
                <w:color w:val="auto"/>
              </w:rPr>
            </w:pPr>
          </w:p>
        </w:tc>
        <w:tc>
          <w:tcPr>
            <w:tcW w:w="680" w:type="dxa"/>
            <w:vAlign w:val="bottom"/>
            <w:gridSpan w:val="2"/>
          </w:tcPr>
          <w:p>
            <w:pPr>
              <w:jc w:val="center"/>
              <w:ind w:right="200"/>
              <w:spacing w:after="0" w:line="107" w:lineRule="exact"/>
              <w:rPr>
                <w:sz w:val="20"/>
                <w:szCs w:val="20"/>
                <w:color w:val="auto"/>
              </w:rPr>
            </w:pPr>
            <w:r>
              <w:rPr>
                <w:rFonts w:ascii="Times New Roman" w:cs="Times New Roman" w:eastAsia="Times New Roman" w:hAnsi="Times New Roman"/>
                <w:sz w:val="10"/>
                <w:szCs w:val="10"/>
                <w:b w:val="1"/>
                <w:bCs w:val="1"/>
                <w:color w:val="auto"/>
              </w:rPr>
              <w:t>Beneficial</w:t>
            </w:r>
          </w:p>
        </w:tc>
        <w:tc>
          <w:tcPr>
            <w:tcW w:w="100" w:type="dxa"/>
            <w:vAlign w:val="bottom"/>
          </w:tcPr>
          <w:p>
            <w:pPr>
              <w:spacing w:after="0"/>
              <w:rPr>
                <w:sz w:val="9"/>
                <w:szCs w:val="9"/>
                <w:color w:val="auto"/>
              </w:rPr>
            </w:pPr>
          </w:p>
        </w:tc>
        <w:tc>
          <w:tcPr>
            <w:tcW w:w="600" w:type="dxa"/>
            <w:vAlign w:val="bottom"/>
            <w:gridSpan w:val="2"/>
          </w:tcPr>
          <w:p>
            <w:pPr>
              <w:jc w:val="center"/>
              <w:ind w:right="160"/>
              <w:spacing w:after="0" w:line="107" w:lineRule="exact"/>
              <w:rPr>
                <w:sz w:val="20"/>
                <w:szCs w:val="20"/>
                <w:color w:val="auto"/>
              </w:rPr>
            </w:pPr>
            <w:r>
              <w:rPr>
                <w:rFonts w:ascii="Times New Roman" w:cs="Times New Roman" w:eastAsia="Times New Roman" w:hAnsi="Times New Roman"/>
                <w:sz w:val="10"/>
                <w:szCs w:val="10"/>
                <w:b w:val="1"/>
                <w:bCs w:val="1"/>
                <w:color w:val="auto"/>
                <w:w w:val="96"/>
              </w:rPr>
              <w:t>Voting</w:t>
            </w:r>
          </w:p>
        </w:tc>
        <w:tc>
          <w:tcPr>
            <w:tcW w:w="0" w:type="dxa"/>
            <w:vAlign w:val="bottom"/>
          </w:tcPr>
          <w:p>
            <w:pPr>
              <w:spacing w:after="0"/>
              <w:rPr>
                <w:sz w:val="1"/>
                <w:szCs w:val="1"/>
                <w:color w:val="auto"/>
              </w:rPr>
            </w:pPr>
          </w:p>
        </w:tc>
      </w:tr>
      <w:tr>
        <w:trPr>
          <w:trHeight w:val="124"/>
        </w:trPr>
        <w:tc>
          <w:tcPr>
            <w:tcW w:w="4200" w:type="dxa"/>
            <w:vAlign w:val="bottom"/>
          </w:tcPr>
          <w:p>
            <w:pPr>
              <w:spacing w:after="0"/>
              <w:rPr>
                <w:sz w:val="10"/>
                <w:szCs w:val="10"/>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Basis</w:t>
            </w:r>
          </w:p>
        </w:tc>
        <w:tc>
          <w:tcPr>
            <w:tcW w:w="860" w:type="dxa"/>
            <w:vAlign w:val="bottom"/>
            <w:gridSpan w:val="3"/>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Ownership</w:t>
            </w:r>
          </w:p>
        </w:tc>
        <w:tc>
          <w:tcPr>
            <w:tcW w:w="100" w:type="dxa"/>
            <w:vAlign w:val="bottom"/>
          </w:tcPr>
          <w:p>
            <w:pPr>
              <w:spacing w:after="0"/>
              <w:rPr>
                <w:sz w:val="10"/>
                <w:szCs w:val="10"/>
                <w:color w:val="auto"/>
              </w:rPr>
            </w:pPr>
          </w:p>
        </w:tc>
        <w:tc>
          <w:tcPr>
            <w:tcW w:w="60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Power***</w:t>
            </w:r>
          </w:p>
        </w:tc>
        <w:tc>
          <w:tcPr>
            <w:tcW w:w="0" w:type="dxa"/>
            <w:vAlign w:val="bottom"/>
          </w:tcPr>
          <w:p>
            <w:pPr>
              <w:spacing w:after="0"/>
              <w:rPr>
                <w:sz w:val="1"/>
                <w:szCs w:val="1"/>
                <w:color w:val="auto"/>
              </w:rPr>
            </w:pPr>
          </w:p>
        </w:tc>
      </w:tr>
      <w:tr>
        <w:trPr>
          <w:trHeight w:val="121"/>
        </w:trPr>
        <w:tc>
          <w:tcPr>
            <w:tcW w:w="4200" w:type="dxa"/>
            <w:vAlign w:val="bottom"/>
            <w:tcBorders>
              <w:top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3"/>
                <w:szCs w:val="13"/>
                <w:b w:val="1"/>
                <w:bCs w:val="1"/>
                <w:color w:val="auto"/>
              </w:rPr>
              <w:t>Directors and Executive</w:t>
            </w:r>
          </w:p>
        </w:tc>
        <w:tc>
          <w:tcPr>
            <w:tcW w:w="5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Officers:**</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00" w:type="dxa"/>
            <w:vAlign w:val="bottom"/>
          </w:tcPr>
          <w:p>
            <w:pPr>
              <w:ind w:left="260"/>
              <w:spacing w:after="0" w:line="156" w:lineRule="exact"/>
              <w:rPr>
                <w:sz w:val="20"/>
                <w:szCs w:val="20"/>
                <w:color w:val="auto"/>
              </w:rPr>
            </w:pPr>
            <w:r>
              <w:rPr>
                <w:rFonts w:ascii="Times New Roman" w:cs="Times New Roman" w:eastAsia="Times New Roman" w:hAnsi="Times New Roman"/>
                <w:sz w:val="13"/>
                <w:szCs w:val="13"/>
                <w:color w:val="auto"/>
              </w:rPr>
              <w:t>Huazhi Hu</w:t>
            </w:r>
            <w:r>
              <w:rPr>
                <w:rFonts w:ascii="Times New Roman" w:cs="Times New Roman" w:eastAsia="Times New Roman" w:hAnsi="Times New Roman"/>
                <w:sz w:val="18"/>
                <w:szCs w:val="18"/>
                <w:color w:val="auto"/>
                <w:vertAlign w:val="superscript"/>
              </w:rPr>
              <w:t>(1)</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3,270,258</w:t>
            </w:r>
          </w:p>
        </w:tc>
        <w:tc>
          <w:tcPr>
            <w:tcW w:w="180" w:type="dxa"/>
            <w:vAlign w:val="bottom"/>
          </w:tcPr>
          <w:p>
            <w:pPr>
              <w:spacing w:after="0"/>
              <w:rPr>
                <w:sz w:val="13"/>
                <w:szCs w:val="13"/>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5"/>
              </w:rPr>
              <w:t>40,136,560</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43,406,818</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37.8%</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85.0%</w:t>
            </w:r>
          </w:p>
        </w:tc>
        <w:tc>
          <w:tcPr>
            <w:tcW w:w="0" w:type="dxa"/>
            <w:vAlign w:val="bottom"/>
          </w:tcPr>
          <w:p>
            <w:pPr>
              <w:spacing w:after="0"/>
              <w:rPr>
                <w:sz w:val="1"/>
                <w:szCs w:val="1"/>
                <w:color w:val="auto"/>
              </w:rPr>
            </w:pPr>
          </w:p>
        </w:tc>
      </w:tr>
      <w:tr>
        <w:trPr>
          <w:trHeight w:val="156"/>
        </w:trPr>
        <w:tc>
          <w:tcPr>
            <w:tcW w:w="4200" w:type="dxa"/>
            <w:vAlign w:val="bottom"/>
            <w:shd w:val="clear" w:color="auto" w:fill="CCEEFF"/>
          </w:tcPr>
          <w:p>
            <w:pPr>
              <w:ind w:left="260"/>
              <w:spacing w:after="0" w:line="156" w:lineRule="exact"/>
              <w:rPr>
                <w:sz w:val="20"/>
                <w:szCs w:val="20"/>
                <w:color w:val="auto"/>
              </w:rPr>
            </w:pPr>
            <w:r>
              <w:rPr>
                <w:rFonts w:ascii="Times New Roman" w:cs="Times New Roman" w:eastAsia="Times New Roman" w:hAnsi="Times New Roman"/>
                <w:sz w:val="13"/>
                <w:szCs w:val="13"/>
                <w:color w:val="auto"/>
              </w:rPr>
              <w:t>Haoxiang Hou</w:t>
            </w:r>
            <w:r>
              <w:rPr>
                <w:rFonts w:ascii="Times New Roman" w:cs="Times New Roman" w:eastAsia="Times New Roman" w:hAnsi="Times New Roman"/>
                <w:sz w:val="18"/>
                <w:szCs w:val="18"/>
                <w:color w:val="auto"/>
                <w:vertAlign w:val="superscript"/>
              </w:rPr>
              <w:t>(2)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00" w:type="dxa"/>
            <w:vAlign w:val="bottom"/>
          </w:tcPr>
          <w:p>
            <w:pPr>
              <w:ind w:left="260"/>
              <w:spacing w:after="0" w:line="156" w:lineRule="exact"/>
              <w:rPr>
                <w:sz w:val="20"/>
                <w:szCs w:val="20"/>
                <w:color w:val="auto"/>
              </w:rPr>
            </w:pPr>
            <w:r>
              <w:rPr>
                <w:rFonts w:ascii="Times New Roman" w:cs="Times New Roman" w:eastAsia="Times New Roman" w:hAnsi="Times New Roman"/>
                <w:sz w:val="13"/>
                <w:szCs w:val="13"/>
                <w:color w:val="auto"/>
              </w:rPr>
              <w:t>Conor Chia-Hung Yang</w:t>
            </w:r>
            <w:r>
              <w:rPr>
                <w:rFonts w:ascii="Times New Roman" w:cs="Times New Roman" w:eastAsia="Times New Roman" w:hAnsi="Times New Roman"/>
                <w:sz w:val="18"/>
                <w:szCs w:val="18"/>
                <w:color w:val="auto"/>
                <w:vertAlign w:val="superscript"/>
              </w:rPr>
              <w:t>(3)</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80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00" w:type="dxa"/>
            <w:vAlign w:val="bottom"/>
            <w:shd w:val="clear" w:color="auto" w:fill="CCEEFF"/>
          </w:tcPr>
          <w:p>
            <w:pPr>
              <w:ind w:left="260"/>
              <w:spacing w:after="0" w:line="156" w:lineRule="exact"/>
              <w:rPr>
                <w:sz w:val="20"/>
                <w:szCs w:val="20"/>
                <w:color w:val="auto"/>
              </w:rPr>
            </w:pPr>
            <w:r>
              <w:rPr>
                <w:rFonts w:ascii="Times New Roman" w:cs="Times New Roman" w:eastAsia="Times New Roman" w:hAnsi="Times New Roman"/>
                <w:sz w:val="13"/>
                <w:szCs w:val="13"/>
                <w:color w:val="auto"/>
              </w:rPr>
              <w:t>Dongming Wu</w:t>
            </w:r>
            <w:r>
              <w:rPr>
                <w:rFonts w:ascii="Times New Roman" w:cs="Times New Roman" w:eastAsia="Times New Roman" w:hAnsi="Times New Roman"/>
                <w:sz w:val="18"/>
                <w:szCs w:val="18"/>
                <w:color w:val="auto"/>
                <w:vertAlign w:val="superscript"/>
              </w:rPr>
              <w:t>(4)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Xin Fang</w:t>
            </w: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4200" w:type="dxa"/>
            <w:vAlign w:val="bottom"/>
            <w:shd w:val="clear" w:color="auto" w:fill="CCEEFF"/>
          </w:tcPr>
          <w:p>
            <w:pPr>
              <w:ind w:left="260"/>
              <w:spacing w:after="0" w:line="156" w:lineRule="exact"/>
              <w:rPr>
                <w:sz w:val="20"/>
                <w:szCs w:val="20"/>
                <w:color w:val="auto"/>
              </w:rPr>
            </w:pPr>
            <w:r>
              <w:rPr>
                <w:rFonts w:ascii="Times New Roman" w:cs="Times New Roman" w:eastAsia="Times New Roman" w:hAnsi="Times New Roman"/>
                <w:sz w:val="13"/>
                <w:szCs w:val="13"/>
                <w:color w:val="auto"/>
              </w:rPr>
              <w:t>Richard Jian Liu</w:t>
            </w:r>
            <w:r>
              <w:rPr>
                <w:rFonts w:ascii="Times New Roman" w:cs="Times New Roman" w:eastAsia="Times New Roman" w:hAnsi="Times New Roman"/>
                <w:sz w:val="18"/>
                <w:szCs w:val="18"/>
                <w:color w:val="auto"/>
                <w:vertAlign w:val="superscript"/>
              </w:rPr>
              <w:t>(5)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1,575,000</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1,575,000</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56"/>
        </w:trPr>
        <w:tc>
          <w:tcPr>
            <w:tcW w:w="4200" w:type="dxa"/>
            <w:vAlign w:val="bottom"/>
          </w:tcPr>
          <w:p>
            <w:pPr>
              <w:ind w:left="260"/>
              <w:spacing w:after="0" w:line="156" w:lineRule="exact"/>
              <w:rPr>
                <w:sz w:val="20"/>
                <w:szCs w:val="20"/>
                <w:color w:val="auto"/>
              </w:rPr>
            </w:pPr>
            <w:r>
              <w:rPr>
                <w:rFonts w:ascii="Times New Roman" w:cs="Times New Roman" w:eastAsia="Times New Roman" w:hAnsi="Times New Roman"/>
                <w:sz w:val="13"/>
                <w:szCs w:val="13"/>
                <w:color w:val="auto"/>
              </w:rPr>
              <w:t>Edward Huaxiang Xu</w:t>
            </w:r>
            <w:r>
              <w:rPr>
                <w:rFonts w:ascii="Times New Roman" w:cs="Times New Roman" w:eastAsia="Times New Roman" w:hAnsi="Times New Roman"/>
                <w:sz w:val="18"/>
                <w:szCs w:val="18"/>
                <w:color w:val="auto"/>
                <w:vertAlign w:val="superscript"/>
              </w:rPr>
              <w:t>(6)</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80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200" w:type="dxa"/>
            <w:vAlign w:val="bottom"/>
            <w:shd w:val="clear" w:color="auto" w:fill="CCEEFF"/>
          </w:tcPr>
          <w:p>
            <w:pPr>
              <w:ind w:left="260"/>
              <w:spacing w:after="0" w:line="143" w:lineRule="exact"/>
              <w:rPr>
                <w:sz w:val="20"/>
                <w:szCs w:val="20"/>
                <w:color w:val="auto"/>
              </w:rPr>
            </w:pPr>
            <w:r>
              <w:rPr>
                <w:rFonts w:ascii="Times New Roman" w:cs="Times New Roman" w:eastAsia="Times New Roman" w:hAnsi="Times New Roman"/>
                <w:sz w:val="13"/>
                <w:szCs w:val="13"/>
                <w:color w:val="auto"/>
              </w:rPr>
              <w:t>All Directors and Executive</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2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Officers as a Group</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5,286,495</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5"/>
              </w:rPr>
              <w:t>40,136,560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45,423,055</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39.6%</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85.4%</w:t>
            </w:r>
          </w:p>
        </w:tc>
        <w:tc>
          <w:tcPr>
            <w:tcW w:w="0" w:type="dxa"/>
            <w:vAlign w:val="bottom"/>
          </w:tcPr>
          <w:p>
            <w:pPr>
              <w:spacing w:after="0"/>
              <w:rPr>
                <w:sz w:val="1"/>
                <w:szCs w:val="1"/>
                <w:color w:val="auto"/>
              </w:rPr>
            </w:pPr>
          </w:p>
        </w:tc>
      </w:tr>
      <w:tr>
        <w:trPr>
          <w:trHeight w:val="156"/>
        </w:trPr>
        <w:tc>
          <w:tcPr>
            <w:tcW w:w="42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Principal Shareholder:</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00" w:type="dxa"/>
            <w:vAlign w:val="bottom"/>
            <w:shd w:val="clear" w:color="auto" w:fill="CCEEFF"/>
          </w:tcPr>
          <w:p>
            <w:pPr>
              <w:ind w:left="260"/>
              <w:spacing w:after="0" w:line="156" w:lineRule="exact"/>
              <w:rPr>
                <w:sz w:val="20"/>
                <w:szCs w:val="20"/>
                <w:color w:val="auto"/>
              </w:rPr>
            </w:pPr>
            <w:r>
              <w:rPr>
                <w:rFonts w:ascii="Times New Roman" w:cs="Times New Roman" w:eastAsia="Times New Roman" w:hAnsi="Times New Roman"/>
                <w:sz w:val="13"/>
                <w:szCs w:val="13"/>
                <w:color w:val="auto"/>
              </w:rPr>
              <w:t>Genesis Rising Limited</w:t>
            </w:r>
            <w:r>
              <w:rPr>
                <w:rFonts w:ascii="Times New Roman" w:cs="Times New Roman" w:eastAsia="Times New Roman" w:hAnsi="Times New Roman"/>
                <w:sz w:val="18"/>
                <w:szCs w:val="18"/>
                <w:color w:val="auto"/>
                <w:vertAlign w:val="superscript"/>
              </w:rPr>
              <w:t>(7)</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2,600,000</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5"/>
              </w:rPr>
              <w:t>40,136,560</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42,736,560</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37.3%</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67945</wp:posOffset>
            </wp:positionV>
            <wp:extent cx="549910"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49910" cy="6350"/>
                    </a:xfrm>
                    <a:prstGeom prst="rect">
                      <a:avLst/>
                    </a:prstGeom>
                    <a:noFill/>
                  </pic:spPr>
                </pic:pic>
              </a:graphicData>
            </a:graphic>
          </wp:anchor>
        </w:drawing>
      </w:r>
    </w:p>
    <w:p>
      <w:pPr>
        <w:spacing w:after="0" w:line="11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Notes:</w:t>
      </w:r>
    </w:p>
    <w:p>
      <w:pPr>
        <w:spacing w:after="0" w:line="18" w:lineRule="exact"/>
        <w:rPr>
          <w:sz w:val="20"/>
          <w:szCs w:val="20"/>
          <w:color w:val="auto"/>
        </w:rPr>
      </w:pPr>
    </w:p>
    <w:p>
      <w:pPr>
        <w:ind w:left="1980" w:hanging="304"/>
        <w:spacing w:after="0"/>
        <w:tabs>
          <w:tab w:leader="none" w:pos="198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Less than 1% of our total outstanding shares.</w:t>
      </w:r>
    </w:p>
    <w:p>
      <w:pPr>
        <w:spacing w:after="0" w:line="6" w:lineRule="exact"/>
        <w:rPr>
          <w:sz w:val="20"/>
          <w:szCs w:val="20"/>
          <w:color w:val="auto"/>
        </w:rPr>
      </w:pPr>
    </w:p>
    <w:p>
      <w:pPr>
        <w:ind w:left="1980" w:right="659" w:hanging="304"/>
        <w:spacing w:after="0" w:line="249" w:lineRule="auto"/>
        <w:tabs>
          <w:tab w:leader="none" w:pos="198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Messrs. Huazhi Hu, Xin Fang, Richard Jian Liu and Edward Huaxiang Xu’s business address is Building C, Yixiang Technology Park, No. 72 Nanxiang Second Road, Huangpu District, Guangzhou 510700, People’s Republic of China. Mr. Haoxiang Hou’s business address is 40/F, One Lujiazui, No. 68 Yin Cheng Road, Pudong District, Shanghai, People’s Republic of China. Mr. Dongming Wu’s business address is No. 18 Rong Hua South Road, Beijing Economic-Technological Development Area, Daxing District, Beijing, People’s Republic of China.</w:t>
      </w:r>
    </w:p>
    <w:p>
      <w:pPr>
        <w:spacing w:after="0" w:line="2" w:lineRule="exact"/>
        <w:rPr>
          <w:rFonts w:ascii="Times New Roman" w:cs="Times New Roman" w:eastAsia="Times New Roman" w:hAnsi="Times New Roman"/>
          <w:sz w:val="13"/>
          <w:szCs w:val="13"/>
          <w:color w:val="auto"/>
        </w:rPr>
      </w:pPr>
    </w:p>
    <w:p>
      <w:pPr>
        <w:jc w:val="both"/>
        <w:ind w:left="1980" w:right="659" w:hanging="304"/>
        <w:spacing w:after="0" w:line="270" w:lineRule="auto"/>
        <w:tabs>
          <w:tab w:leader="none" w:pos="198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each person and group included in this column, percentage of voting power is calculated by dividing the voting power beneficially owned by such person or group by the voting power of all of our outstanding Class A and Class B ordinary shares as a single class. Each holder of Class B ordinary shares is entitled to ten votes per share, and while each holder of our Class A ordinary shares is entitled to one vote per share on all</w:t>
      </w:r>
    </w:p>
    <w:p>
      <w:pPr>
        <w:spacing w:after="0" w:line="1" w:lineRule="exact"/>
        <w:rPr>
          <w:sz w:val="20"/>
          <w:szCs w:val="20"/>
          <w:color w:val="auto"/>
        </w:rPr>
      </w:pPr>
    </w:p>
    <w:p>
      <w:pPr>
        <w:ind w:left="1980" w:right="539"/>
        <w:spacing w:after="0" w:line="249" w:lineRule="auto"/>
        <w:rPr>
          <w:sz w:val="20"/>
          <w:szCs w:val="20"/>
          <w:color w:val="auto"/>
        </w:rPr>
      </w:pPr>
      <w:r>
        <w:rPr>
          <w:rFonts w:ascii="Times New Roman" w:cs="Times New Roman" w:eastAsia="Times New Roman" w:hAnsi="Times New Roman"/>
          <w:sz w:val="13"/>
          <w:szCs w:val="13"/>
          <w:color w:val="auto"/>
        </w:rPr>
        <w:t>matters submitted to them for a vote. Our Class A ordinary shares and Class B ordinary shares vote together as a single class on all matters submitted to a vote of our shareholders. Our Class B ordinary shares are convertible at any time by the holders thereof into Class A ordinary shares on a one-for-one basis.</w:t>
      </w:r>
    </w:p>
    <w:p>
      <w:pPr>
        <w:spacing w:after="0" w:line="2" w:lineRule="exact"/>
        <w:rPr>
          <w:sz w:val="20"/>
          <w:szCs w:val="20"/>
          <w:color w:val="auto"/>
        </w:rPr>
      </w:pPr>
    </w:p>
    <w:p>
      <w:pPr>
        <w:ind w:left="1980" w:right="599" w:hanging="304"/>
        <w:spacing w:after="0" w:line="253" w:lineRule="auto"/>
        <w:tabs>
          <w:tab w:leader="none" w:pos="198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(i) 2,600,000 Class A ordinary shares and 40,136,560 Class B ordinary shares beneficially owned by Genesis Rising Limited, a British Virgin Islands company, and (ii) 335,129 ADSs, representing 670,258 Class A ordinary shares, directly held by Mr. Huazhi Hu. Genesis Rising Limited is wholly owned by Mr. Huazhi Hu. The registered address of Genesis Rising Limited is Start Chambers, Wickham’s Cay II, P.O. Box 2221, Road Town, Tortola, British Virgin Islands.</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134</w:t>
      </w:r>
    </w:p>
    <w:p>
      <w:pPr>
        <w:sectPr>
          <w:pgSz w:w="11900" w:h="16838" w:orient="portrait"/>
          <w:cols w:equalWidth="0" w:num="1">
            <w:col w:w="10159"/>
          </w:cols>
          <w:pgMar w:left="300" w:top="388" w:right="1440"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980" w:hanging="304"/>
        <w:spacing w:after="0"/>
        <w:tabs>
          <w:tab w:leader="none" w:pos="198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Class A ordinary shares beneficially owned by Mr. Haoxiang Hou.</w:t>
      </w:r>
    </w:p>
    <w:p>
      <w:pPr>
        <w:spacing w:after="0" w:line="18" w:lineRule="exact"/>
        <w:rPr>
          <w:rFonts w:ascii="Times New Roman" w:cs="Times New Roman" w:eastAsia="Times New Roman" w:hAnsi="Times New Roman"/>
          <w:sz w:val="13"/>
          <w:szCs w:val="13"/>
          <w:color w:val="auto"/>
        </w:rPr>
      </w:pPr>
    </w:p>
    <w:p>
      <w:pPr>
        <w:ind w:left="1980" w:hanging="304"/>
        <w:spacing w:after="0"/>
        <w:tabs>
          <w:tab w:leader="none" w:pos="198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Class A ordinary shares beneficially owned by Mr. Conor Chia-Hung Yang.</w:t>
      </w:r>
    </w:p>
    <w:p>
      <w:pPr>
        <w:spacing w:after="0" w:line="6" w:lineRule="exact"/>
        <w:rPr>
          <w:rFonts w:ascii="Times New Roman" w:cs="Times New Roman" w:eastAsia="Times New Roman" w:hAnsi="Times New Roman"/>
          <w:sz w:val="13"/>
          <w:szCs w:val="13"/>
          <w:color w:val="auto"/>
        </w:rPr>
      </w:pPr>
    </w:p>
    <w:p>
      <w:pPr>
        <w:ind w:left="1980" w:right="739" w:hanging="304"/>
        <w:spacing w:after="0" w:line="249" w:lineRule="auto"/>
        <w:tabs>
          <w:tab w:leader="none" w:pos="198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Class A Ordinary Shares beneficially owned by Mr. Dongming Wu, including Class A ordinary shares underlying share options and restricted share units held by Mr. Dongming Wu that have vested as of March 31, 2022 or will vest within 60 days after March 31, 2022.</w:t>
      </w:r>
    </w:p>
    <w:p>
      <w:pPr>
        <w:spacing w:after="0" w:line="1" w:lineRule="exact"/>
        <w:rPr>
          <w:rFonts w:ascii="Times New Roman" w:cs="Times New Roman" w:eastAsia="Times New Roman" w:hAnsi="Times New Roman"/>
          <w:sz w:val="13"/>
          <w:szCs w:val="13"/>
          <w:color w:val="auto"/>
        </w:rPr>
      </w:pPr>
    </w:p>
    <w:p>
      <w:pPr>
        <w:ind w:left="1980" w:right="579" w:hanging="304"/>
        <w:spacing w:after="0" w:line="249" w:lineRule="auto"/>
        <w:tabs>
          <w:tab w:leader="none" w:pos="198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1,575,000 Class A ordinary shares beneficially owned by JM Elegance Holdings Limited, a British Virgin Island company that is wholly owned by Mr. Richard Jian Liu. The registered address of JM Elegance Holdings Limited is Drake Chambers, P.O. Box 3321, Road Town, Tortola, British Virgin Islands.</w:t>
      </w:r>
    </w:p>
    <w:p>
      <w:pPr>
        <w:spacing w:after="0" w:line="1" w:lineRule="exact"/>
        <w:rPr>
          <w:rFonts w:ascii="Times New Roman" w:cs="Times New Roman" w:eastAsia="Times New Roman" w:hAnsi="Times New Roman"/>
          <w:sz w:val="13"/>
          <w:szCs w:val="13"/>
          <w:color w:val="auto"/>
        </w:rPr>
      </w:pPr>
    </w:p>
    <w:p>
      <w:pPr>
        <w:ind w:left="1980" w:right="599" w:hanging="304"/>
        <w:spacing w:after="0" w:line="249" w:lineRule="auto"/>
        <w:tabs>
          <w:tab w:leader="none" w:pos="198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Class A ordinary shares beneficially owned by Mr. Edward Huaxiang Xu, including those underlying vested restricted share units held by Mr. Edward Huaxiang Xu.</w:t>
      </w:r>
    </w:p>
    <w:p>
      <w:pPr>
        <w:spacing w:after="0" w:line="1" w:lineRule="exact"/>
        <w:rPr>
          <w:rFonts w:ascii="Times New Roman" w:cs="Times New Roman" w:eastAsia="Times New Roman" w:hAnsi="Times New Roman"/>
          <w:sz w:val="13"/>
          <w:szCs w:val="13"/>
          <w:color w:val="auto"/>
        </w:rPr>
      </w:pPr>
    </w:p>
    <w:p>
      <w:pPr>
        <w:jc w:val="both"/>
        <w:ind w:left="1980" w:right="739" w:hanging="304"/>
        <w:spacing w:after="0" w:line="254" w:lineRule="auto"/>
        <w:tabs>
          <w:tab w:leader="none" w:pos="198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2,600,000 Class A ordinary shares and 40,136,560 Class B ordinary shares beneficially owned by Genesis Rising Limited, a British Virgin Islands company. Genesis Rising Limited is wholly owned by Mr. Huazhi Hu. The registered address of Genesis Rising Limited is Start Chambers, Wickham’s Cay II, P.O. Box 2221, Road Town, Tortola, British Virgin Islands.</w:t>
      </w:r>
    </w:p>
    <w:p>
      <w:pPr>
        <w:spacing w:after="0" w:line="136" w:lineRule="exact"/>
        <w:rPr>
          <w:sz w:val="20"/>
          <w:szCs w:val="20"/>
          <w:color w:val="auto"/>
        </w:rPr>
      </w:pPr>
    </w:p>
    <w:p>
      <w:pPr>
        <w:ind w:left="1680" w:right="559" w:firstLine="317"/>
        <w:spacing w:after="0" w:line="259" w:lineRule="auto"/>
        <w:rPr>
          <w:sz w:val="20"/>
          <w:szCs w:val="20"/>
          <w:color w:val="auto"/>
        </w:rPr>
      </w:pPr>
      <w:r>
        <w:rPr>
          <w:rFonts w:ascii="Times New Roman" w:cs="Times New Roman" w:eastAsia="Times New Roman" w:hAnsi="Times New Roman"/>
          <w:sz w:val="13"/>
          <w:szCs w:val="13"/>
          <w:color w:val="auto"/>
        </w:rPr>
        <w:t>To our knowledge, as of March 31, 2022, 70,146,490 of our Class A ordinary shares were held by six record holders in the United States, including a total of 70,146,486 Class A ordinary shares held by The Bank of New York Mellon, the depositary of the ADS program. None of our outstanding Class B ordinary shares are held by record holders in the United States. The number of beneficial owners of the ADSs in the United States is likely to be much larger than the number of record holders of our ordinary shares in the United States.</w:t>
      </w:r>
    </w:p>
    <w:p>
      <w:pPr>
        <w:spacing w:after="0" w:line="133" w:lineRule="exact"/>
        <w:rPr>
          <w:sz w:val="20"/>
          <w:szCs w:val="20"/>
          <w:color w:val="auto"/>
        </w:rPr>
      </w:pPr>
    </w:p>
    <w:p>
      <w:pPr>
        <w:ind w:left="1680" w:right="619" w:firstLine="317"/>
        <w:spacing w:after="0" w:line="264" w:lineRule="auto"/>
        <w:rPr>
          <w:sz w:val="20"/>
          <w:szCs w:val="20"/>
          <w:color w:val="auto"/>
        </w:rPr>
      </w:pPr>
      <w:r>
        <w:rPr>
          <w:rFonts w:ascii="Times New Roman" w:cs="Times New Roman" w:eastAsia="Times New Roman" w:hAnsi="Times New Roman"/>
          <w:sz w:val="13"/>
          <w:szCs w:val="13"/>
          <w:color w:val="auto"/>
        </w:rPr>
        <w:t>To our knowledge, except as disclosed above, we are not owned or controlled, directly or indirectly, by another corporation, by any foreign government or by any other natural or legal person or persons, severally or jointly. We are not aware of any arrangement that may, at a subsequent date, result in a change of control of our company.</w:t>
      </w:r>
    </w:p>
    <w:p>
      <w:pPr>
        <w:spacing w:after="0" w:line="234" w:lineRule="exact"/>
        <w:rPr>
          <w:sz w:val="20"/>
          <w:szCs w:val="20"/>
          <w:color w:val="auto"/>
        </w:rPr>
      </w:pPr>
    </w:p>
    <w:p>
      <w:pPr>
        <w:ind w:left="1680"/>
        <w:spacing w:after="0"/>
        <w:tabs>
          <w:tab w:leader="none" w:pos="2440" w:val="left"/>
        </w:tabs>
        <w:rPr>
          <w:sz w:val="20"/>
          <w:szCs w:val="20"/>
          <w:color w:val="auto"/>
        </w:rPr>
      </w:pPr>
      <w:r>
        <w:rPr>
          <w:rFonts w:ascii="Times New Roman" w:cs="Times New Roman" w:eastAsia="Times New Roman" w:hAnsi="Times New Roman"/>
          <w:sz w:val="13"/>
          <w:szCs w:val="13"/>
          <w:b w:val="1"/>
          <w:bCs w:val="1"/>
          <w:color w:val="auto"/>
        </w:rPr>
        <w:t>Item 7.</w:t>
      </w:r>
      <w:r>
        <w:rPr>
          <w:sz w:val="20"/>
          <w:szCs w:val="20"/>
          <w:color w:val="auto"/>
        </w:rPr>
        <w:tab/>
      </w:r>
      <w:r>
        <w:rPr>
          <w:rFonts w:ascii="Times New Roman" w:cs="Times New Roman" w:eastAsia="Times New Roman" w:hAnsi="Times New Roman"/>
          <w:sz w:val="12"/>
          <w:szCs w:val="12"/>
          <w:b w:val="1"/>
          <w:bCs w:val="1"/>
          <w:color w:val="auto"/>
        </w:rPr>
        <w:t>Major Shareholders and Related Party Transaction</w:t>
      </w:r>
    </w:p>
    <w:p>
      <w:pPr>
        <w:spacing w:after="0" w:line="24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 xml:space="preserve">A. </w:t>
      </w:r>
      <w:r>
        <w:rPr>
          <w:rFonts w:ascii="Times New Roman" w:cs="Times New Roman" w:eastAsia="Times New Roman" w:hAnsi="Times New Roman"/>
          <w:sz w:val="13"/>
          <w:szCs w:val="13"/>
          <w:b w:val="1"/>
          <w:bCs w:val="1"/>
          <w:u w:val="single" w:color="auto"/>
          <w:color w:val="auto"/>
        </w:rPr>
        <w:t>Major Shareholders</w:t>
      </w:r>
      <w:r>
        <w:rPr>
          <w:rFonts w:ascii="Times New Roman" w:cs="Times New Roman" w:eastAsia="Times New Roman" w:hAnsi="Times New Roman"/>
          <w:sz w:val="13"/>
          <w:szCs w:val="13"/>
          <w:b w:val="1"/>
          <w:bCs w:val="1"/>
          <w:color w:val="auto"/>
        </w:rPr>
        <w:t>.</w:t>
      </w:r>
    </w:p>
    <w:p>
      <w:pPr>
        <w:spacing w:after="0" w:line="8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Please refer to “Item 6. Directors, Senior Management and Employees—E. Directors, Senior Management and Employees—Share Ownership.”</w:t>
      </w:r>
    </w:p>
    <w:p>
      <w:pPr>
        <w:spacing w:after="0" w:line="23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 xml:space="preserve">B. </w:t>
      </w:r>
      <w:r>
        <w:rPr>
          <w:rFonts w:ascii="Times New Roman" w:cs="Times New Roman" w:eastAsia="Times New Roman" w:hAnsi="Times New Roman"/>
          <w:sz w:val="13"/>
          <w:szCs w:val="13"/>
          <w:b w:val="1"/>
          <w:bCs w:val="1"/>
          <w:u w:val="single" w:color="auto"/>
          <w:color w:val="auto"/>
        </w:rPr>
        <w:t>Related Party Transactions.</w:t>
      </w:r>
    </w:p>
    <w:p>
      <w:pPr>
        <w:spacing w:after="0" w:line="8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Contractual Arrangements with the VIE and its Shareholders</w:t>
      </w:r>
    </w:p>
    <w:p>
      <w:pPr>
        <w:spacing w:after="0" w:line="8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Please refer to “Item 4. Information on the Company—C. Organizational Structure.”</w:t>
      </w:r>
    </w:p>
    <w:p>
      <w:pPr>
        <w:spacing w:after="0" w:line="162" w:lineRule="exact"/>
        <w:rPr>
          <w:sz w:val="20"/>
          <w:szCs w:val="20"/>
          <w:color w:val="auto"/>
        </w:rPr>
      </w:pPr>
    </w:p>
    <w:p>
      <w:pPr>
        <w:ind w:left="1680" w:right="619" w:firstLine="317"/>
        <w:spacing w:after="0" w:line="259" w:lineRule="auto"/>
        <w:rPr>
          <w:sz w:val="20"/>
          <w:szCs w:val="20"/>
          <w:color w:val="auto"/>
        </w:rPr>
      </w:pPr>
      <w:r>
        <w:rPr>
          <w:rFonts w:ascii="Times New Roman" w:cs="Times New Roman" w:eastAsia="Times New Roman" w:hAnsi="Times New Roman"/>
          <w:sz w:val="13"/>
          <w:szCs w:val="13"/>
          <w:color w:val="auto"/>
        </w:rPr>
        <w:t>In October 2020, the VIE paid a guarantee deposit of RMB2.6 million (US$0.4 million) to a court in Guangzhou, China to lift a judicial freeze on certain equity interests of the VIE, which were then nominally held under the name of our founder and director, Mr. Huazhi Hu. The judicial freeze was placed in connection with an arbitration in which Mr. Hu was named as a party. As of December 31, 2021, the judicial freeze had been lifted and the VIE has collected the deposit.</w:t>
      </w:r>
    </w:p>
    <w:p>
      <w:pPr>
        <w:spacing w:after="0" w:line="133" w:lineRule="exact"/>
        <w:rPr>
          <w:sz w:val="20"/>
          <w:szCs w:val="20"/>
          <w:color w:val="auto"/>
        </w:rPr>
      </w:pPr>
    </w:p>
    <w:p>
      <w:pPr>
        <w:ind w:left="1680" w:right="819" w:firstLine="317"/>
        <w:spacing w:after="0" w:line="264" w:lineRule="auto"/>
        <w:rPr>
          <w:sz w:val="20"/>
          <w:szCs w:val="20"/>
          <w:color w:val="auto"/>
        </w:rPr>
      </w:pPr>
      <w:r>
        <w:rPr>
          <w:rFonts w:ascii="Times New Roman" w:cs="Times New Roman" w:eastAsia="Times New Roman" w:hAnsi="Times New Roman"/>
          <w:sz w:val="13"/>
          <w:szCs w:val="13"/>
          <w:color w:val="auto"/>
        </w:rPr>
        <w:t>As of December 31, 2021, we had amount due from a related party of RMB1.4 million (US$0.2 million). The amount represented receivables relating to sale of autonomous aerial vehicles owed by Guangzhou Yitong Zhihang Technology Co., Ltd., an equity investee over whom we have significant influence.</w:t>
      </w:r>
    </w:p>
    <w:p>
      <w:pPr>
        <w:spacing w:after="0" w:line="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135</w:t>
      </w:r>
    </w:p>
    <w:p>
      <w:pPr>
        <w:sectPr>
          <w:pgSz w:w="11900" w:h="16838" w:orient="portrait"/>
          <w:cols w:equalWidth="0" w:num="1">
            <w:col w:w="10159"/>
          </w:cols>
          <w:pgMar w:left="300" w:top="388" w:right="1440"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Shareholders Agreement and Registration Rights</w:t>
      </w:r>
    </w:p>
    <w:p>
      <w:pPr>
        <w:spacing w:after="0" w:line="8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Shareholders Agreement</w:t>
      </w:r>
    </w:p>
    <w:p>
      <w:pPr>
        <w:spacing w:after="0" w:line="88" w:lineRule="exact"/>
        <w:rPr>
          <w:sz w:val="20"/>
          <w:szCs w:val="20"/>
          <w:color w:val="auto"/>
        </w:rPr>
      </w:pPr>
    </w:p>
    <w:p>
      <w:pPr>
        <w:ind w:left="1680" w:right="939" w:firstLine="317"/>
        <w:spacing w:after="0" w:line="278" w:lineRule="auto"/>
        <w:rPr>
          <w:sz w:val="20"/>
          <w:szCs w:val="20"/>
          <w:color w:val="auto"/>
        </w:rPr>
      </w:pPr>
      <w:r>
        <w:rPr>
          <w:rFonts w:ascii="Times New Roman" w:cs="Times New Roman" w:eastAsia="Times New Roman" w:hAnsi="Times New Roman"/>
          <w:sz w:val="13"/>
          <w:szCs w:val="13"/>
          <w:color w:val="auto"/>
        </w:rPr>
        <w:t>We entered into our second amended and restated shareholders agreement on December 27, 2016 with our shareholders, which consisted of holders of ordinary shares and preferred shares.</w:t>
      </w:r>
    </w:p>
    <w:p>
      <w:pPr>
        <w:spacing w:after="0" w:line="121" w:lineRule="exact"/>
        <w:rPr>
          <w:sz w:val="20"/>
          <w:szCs w:val="20"/>
          <w:color w:val="auto"/>
        </w:rPr>
      </w:pPr>
    </w:p>
    <w:p>
      <w:pPr>
        <w:ind w:left="1680" w:right="679" w:firstLine="317"/>
        <w:spacing w:after="0" w:line="264" w:lineRule="auto"/>
        <w:rPr>
          <w:sz w:val="20"/>
          <w:szCs w:val="20"/>
          <w:color w:val="auto"/>
        </w:rPr>
      </w:pPr>
      <w:r>
        <w:rPr>
          <w:rFonts w:ascii="Times New Roman" w:cs="Times New Roman" w:eastAsia="Times New Roman" w:hAnsi="Times New Roman"/>
          <w:sz w:val="13"/>
          <w:szCs w:val="13"/>
          <w:color w:val="auto"/>
        </w:rPr>
        <w:t>The shareholders agreement and right of first refusal and co-sale agreement provide for certain special rights, including right of first refusal, co-sale rights, preemptive rights and contain provisions governing our board of directors and other corporate governance matters. Those special rights, as well as the corporate governance provisions, automatically terminated upon the completion of our initial public offering.</w:t>
      </w:r>
    </w:p>
    <w:p>
      <w:pPr>
        <w:spacing w:after="0" w:line="20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Registration Rights</w:t>
      </w:r>
    </w:p>
    <w:p>
      <w:pPr>
        <w:spacing w:after="0" w:line="88" w:lineRule="exact"/>
        <w:rPr>
          <w:sz w:val="20"/>
          <w:szCs w:val="20"/>
          <w:color w:val="auto"/>
        </w:rPr>
      </w:pPr>
    </w:p>
    <w:p>
      <w:pPr>
        <w:ind w:left="1680" w:right="619" w:firstLine="317"/>
        <w:spacing w:after="0" w:line="278" w:lineRule="auto"/>
        <w:rPr>
          <w:sz w:val="20"/>
          <w:szCs w:val="20"/>
          <w:color w:val="auto"/>
        </w:rPr>
      </w:pPr>
      <w:r>
        <w:rPr>
          <w:rFonts w:ascii="Times New Roman" w:cs="Times New Roman" w:eastAsia="Times New Roman" w:hAnsi="Times New Roman"/>
          <w:sz w:val="13"/>
          <w:szCs w:val="13"/>
          <w:color w:val="auto"/>
        </w:rPr>
        <w:t>Pursuant to our second amended and restated shareholders agreement dated December 27, 2016, we have granted certain registration rights to our shareholders. Set forth below is a description of the registration rights granted under the agreement.</w:t>
      </w:r>
    </w:p>
    <w:p>
      <w:pPr>
        <w:spacing w:after="0" w:line="119" w:lineRule="exact"/>
        <w:rPr>
          <w:sz w:val="20"/>
          <w:szCs w:val="20"/>
          <w:color w:val="auto"/>
        </w:rPr>
      </w:pPr>
    </w:p>
    <w:p>
      <w:pPr>
        <w:ind w:left="1680" w:right="619" w:firstLine="317"/>
        <w:spacing w:after="0" w:line="253" w:lineRule="auto"/>
        <w:rPr>
          <w:sz w:val="20"/>
          <w:szCs w:val="20"/>
          <w:color w:val="auto"/>
        </w:rPr>
      </w:pPr>
      <w:r>
        <w:rPr>
          <w:rFonts w:ascii="Times New Roman" w:cs="Times New Roman" w:eastAsia="Times New Roman" w:hAnsi="Times New Roman"/>
          <w:sz w:val="13"/>
          <w:szCs w:val="13"/>
          <w:i w:val="1"/>
          <w:iCs w:val="1"/>
          <w:color w:val="auto"/>
        </w:rPr>
        <w:t>Demand Registration Rights</w:t>
      </w:r>
      <w:r>
        <w:rPr>
          <w:rFonts w:ascii="Times New Roman" w:cs="Times New Roman" w:eastAsia="Times New Roman" w:hAnsi="Times New Roman"/>
          <w:sz w:val="13"/>
          <w:szCs w:val="13"/>
          <w:color w:val="auto"/>
        </w:rPr>
        <w:t>. At any time after the earlier of (i) the third (3rd) anniversary of the date of the agreement or (ii) six (6) months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following the effectiveness of a registration statement for a qualified initial public offering, holders of at least twenty-five percent (25%) of the registrable securities then outstanding have the right to demand that we file a registration statement covering all registrable securities that the holders request to be registered and included in such registration by written notice. Other than as required by the underwriters in connection with our initial public offering, at least fifty percent (50%) of the registrable securities requested by the holders to be included in such underwriting and registration shall be so included. We have the right to defer filing a registration statement for a period of not more than 90 days after the receipt of the request of the initiating holders if the board of directors determines in its good faith judgment that it would be materially detrimental to us and our shareholders for such registration statement to be filed at such time. We are not obligated to effect more than two demand registrations. We are obligated to effect no more than one (1) demand registrations, other than demand registration to be effected pursuant to registration statements on Form F-3, for which an unlimited number of demand registrations shall be permitted.</w:t>
      </w:r>
    </w:p>
    <w:p>
      <w:pPr>
        <w:spacing w:after="0" w:line="136" w:lineRule="exact"/>
        <w:rPr>
          <w:sz w:val="20"/>
          <w:szCs w:val="20"/>
          <w:color w:val="auto"/>
        </w:rPr>
      </w:pPr>
    </w:p>
    <w:p>
      <w:pPr>
        <w:jc w:val="both"/>
        <w:ind w:left="1680" w:right="619" w:firstLine="317"/>
        <w:spacing w:after="0" w:line="265" w:lineRule="auto"/>
        <w:rPr>
          <w:sz w:val="20"/>
          <w:szCs w:val="20"/>
          <w:color w:val="auto"/>
        </w:rPr>
      </w:pPr>
      <w:r>
        <w:rPr>
          <w:rFonts w:ascii="Times New Roman" w:cs="Times New Roman" w:eastAsia="Times New Roman" w:hAnsi="Times New Roman"/>
          <w:sz w:val="13"/>
          <w:szCs w:val="13"/>
          <w:i w:val="1"/>
          <w:iCs w:val="1"/>
          <w:color w:val="auto"/>
        </w:rPr>
        <w:t>Registration on Form F-3 or Form S-3</w:t>
      </w:r>
      <w:r>
        <w:rPr>
          <w:rFonts w:ascii="Times New Roman" w:cs="Times New Roman" w:eastAsia="Times New Roman" w:hAnsi="Times New Roman"/>
          <w:sz w:val="13"/>
          <w:szCs w:val="13"/>
          <w:color w:val="auto"/>
        </w:rPr>
        <w:t>. Any holder is entitled to request us to file a registration statement on Form F-3 or Form S-3 if we qualify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for registration on Form F-3 or Form S-3. The holders are entitled to an unlimited number of registrations on Form F-3 or Form S-3. We shall effect the registration of the securities on Form F-3 as soon as practicable, except in certain circumstances.</w:t>
      </w:r>
    </w:p>
    <w:p>
      <w:pPr>
        <w:spacing w:after="0" w:line="127" w:lineRule="exact"/>
        <w:rPr>
          <w:sz w:val="20"/>
          <w:szCs w:val="20"/>
          <w:color w:val="auto"/>
        </w:rPr>
      </w:pPr>
    </w:p>
    <w:p>
      <w:pPr>
        <w:ind w:left="1680" w:right="599" w:firstLine="317"/>
        <w:spacing w:after="0" w:line="256" w:lineRule="auto"/>
        <w:rPr>
          <w:sz w:val="20"/>
          <w:szCs w:val="20"/>
          <w:color w:val="auto"/>
        </w:rPr>
      </w:pPr>
      <w:r>
        <w:rPr>
          <w:rFonts w:ascii="Times New Roman" w:cs="Times New Roman" w:eastAsia="Times New Roman" w:hAnsi="Times New Roman"/>
          <w:sz w:val="13"/>
          <w:szCs w:val="13"/>
          <w:i w:val="1"/>
          <w:iCs w:val="1"/>
          <w:color w:val="auto"/>
        </w:rPr>
        <w:t>Piggyback Registration Rights</w:t>
      </w:r>
      <w:r>
        <w:rPr>
          <w:rFonts w:ascii="Times New Roman" w:cs="Times New Roman" w:eastAsia="Times New Roman" w:hAnsi="Times New Roman"/>
          <w:sz w:val="13"/>
          <w:szCs w:val="13"/>
          <w:color w:val="auto"/>
        </w:rPr>
        <w:t>. If we propose to file a registration statement for a public offering of our securities, we must offer shareholders an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opportunity to include in the registration all or any part of the registrable securities held by such holders. If the managing underwriter(s) of any underwritten offering determine(s) in good faith that marketing factors require a limitation of the number of shares to be underwritten, then the number of shares that may be included in the registration and the underwriting shall be allocated (i) first, to us, (ii) second, to each of the holders requesting inclusion of their registrable securities in such registration statement on a pro rata basis based on the total number of shares of registrable securities then held by each such holder, and (iii) third, to other holders of our securities.</w:t>
      </w:r>
    </w:p>
    <w:p>
      <w:pPr>
        <w:spacing w:after="0" w:line="13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i w:val="1"/>
          <w:iCs w:val="1"/>
          <w:color w:val="auto"/>
        </w:rPr>
        <w:t>Expenses of Registration</w:t>
      </w:r>
      <w:r>
        <w:rPr>
          <w:rFonts w:ascii="Times New Roman" w:cs="Times New Roman" w:eastAsia="Times New Roman" w:hAnsi="Times New Roman"/>
          <w:sz w:val="13"/>
          <w:szCs w:val="13"/>
          <w:color w:val="auto"/>
        </w:rPr>
        <w:t>. We will bear all registration expenses, other than underwriting discounts and selling commissions.</w:t>
      </w:r>
    </w:p>
    <w:p>
      <w:pPr>
        <w:spacing w:after="0" w:line="162" w:lineRule="exact"/>
        <w:rPr>
          <w:sz w:val="20"/>
          <w:szCs w:val="20"/>
          <w:color w:val="auto"/>
        </w:rPr>
      </w:pPr>
    </w:p>
    <w:p>
      <w:pPr>
        <w:ind w:left="1680" w:right="639" w:firstLine="317"/>
        <w:spacing w:after="0" w:line="298" w:lineRule="auto"/>
        <w:rPr>
          <w:sz w:val="20"/>
          <w:szCs w:val="20"/>
          <w:color w:val="auto"/>
        </w:rPr>
      </w:pPr>
      <w:r>
        <w:rPr>
          <w:rFonts w:ascii="Times New Roman" w:cs="Times New Roman" w:eastAsia="Times New Roman" w:hAnsi="Times New Roman"/>
          <w:sz w:val="12"/>
          <w:szCs w:val="12"/>
          <w:i w:val="1"/>
          <w:iCs w:val="1"/>
          <w:color w:val="auto"/>
        </w:rPr>
        <w:t>Termination of Registration Rights</w:t>
      </w:r>
      <w:r>
        <w:rPr>
          <w:rFonts w:ascii="Times New Roman" w:cs="Times New Roman" w:eastAsia="Times New Roman" w:hAnsi="Times New Roman"/>
          <w:sz w:val="12"/>
          <w:szCs w:val="12"/>
          <w:color w:val="auto"/>
        </w:rPr>
        <w:t>. Our shareholders’ registration rights will terminate upon the earlier of (i) the fifth (5th) anniversary of 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qualified initial public offering, (ii) as to any shareholder when the shareholder together with its affiliates can sell all of its shares subject to registration rights in reliance on Rule 144 without transfer restrictions, and (iii) after the consummation of any liquidation, dissolution or winding up of us.</w:t>
      </w:r>
    </w:p>
    <w:p>
      <w:pPr>
        <w:spacing w:after="0" w:line="6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136</w:t>
      </w:r>
    </w:p>
    <w:p>
      <w:pPr>
        <w:sectPr>
          <w:pgSz w:w="11900" w:h="16838" w:orient="portrait"/>
          <w:cols w:equalWidth="0" w:num="1">
            <w:col w:w="10159"/>
          </w:cols>
          <w:pgMar w:left="300" w:top="388" w:right="1440"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Employment Agreements and Indemnification Agreements</w:t>
      </w:r>
    </w:p>
    <w:p>
      <w:pPr>
        <w:spacing w:after="0" w:line="88" w:lineRule="exact"/>
        <w:rPr>
          <w:sz w:val="20"/>
          <w:szCs w:val="20"/>
          <w:color w:val="auto"/>
        </w:rPr>
      </w:pPr>
    </w:p>
    <w:p>
      <w:pPr>
        <w:ind w:left="1680" w:right="939" w:firstLine="317"/>
        <w:spacing w:after="0" w:line="278" w:lineRule="auto"/>
        <w:rPr>
          <w:sz w:val="20"/>
          <w:szCs w:val="20"/>
          <w:color w:val="auto"/>
        </w:rPr>
      </w:pPr>
      <w:r>
        <w:rPr>
          <w:rFonts w:ascii="Times New Roman" w:cs="Times New Roman" w:eastAsia="Times New Roman" w:hAnsi="Times New Roman"/>
          <w:sz w:val="13"/>
          <w:szCs w:val="13"/>
          <w:color w:val="auto"/>
        </w:rPr>
        <w:t>Please refer to “Item 6. Directors, Senior Management and Employees—B. Compensation—Employment Agreements and Indemnification Agreements.”</w:t>
      </w:r>
    </w:p>
    <w:p>
      <w:pPr>
        <w:spacing w:after="0" w:line="19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Share Incentive Plans</w:t>
      </w:r>
    </w:p>
    <w:p>
      <w:pPr>
        <w:spacing w:after="0" w:line="88" w:lineRule="exact"/>
        <w:rPr>
          <w:sz w:val="20"/>
          <w:szCs w:val="20"/>
          <w:color w:val="auto"/>
        </w:rPr>
      </w:pPr>
    </w:p>
    <w:p>
      <w:pPr>
        <w:ind w:left="1680" w:right="699" w:firstLine="317"/>
        <w:spacing w:after="0" w:line="278" w:lineRule="auto"/>
        <w:rPr>
          <w:sz w:val="20"/>
          <w:szCs w:val="20"/>
          <w:color w:val="auto"/>
        </w:rPr>
      </w:pPr>
      <w:r>
        <w:rPr>
          <w:rFonts w:ascii="Times New Roman" w:cs="Times New Roman" w:eastAsia="Times New Roman" w:hAnsi="Times New Roman"/>
          <w:sz w:val="13"/>
          <w:szCs w:val="13"/>
          <w:color w:val="auto"/>
        </w:rPr>
        <w:t>Please refer to “Item 6. Directors, Senior Management and Employees—B. Compensation—2015 Share Incentive Plan” and “Item 6. Directors, Senior Management and Employees—B. Compensation—2019 Share Incentive Plan.”</w:t>
      </w:r>
    </w:p>
    <w:p>
      <w:pPr>
        <w:spacing w:after="0" w:line="19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Transactions with Directors and Executive Officers</w:t>
      </w:r>
    </w:p>
    <w:p>
      <w:pPr>
        <w:spacing w:after="0" w:line="88" w:lineRule="exact"/>
        <w:rPr>
          <w:sz w:val="20"/>
          <w:szCs w:val="20"/>
          <w:color w:val="auto"/>
        </w:rPr>
      </w:pPr>
    </w:p>
    <w:p>
      <w:pPr>
        <w:ind w:left="1680" w:right="739" w:firstLine="317"/>
        <w:spacing w:after="0" w:line="278" w:lineRule="auto"/>
        <w:rPr>
          <w:sz w:val="20"/>
          <w:szCs w:val="20"/>
          <w:color w:val="auto"/>
        </w:rPr>
      </w:pPr>
      <w:r>
        <w:rPr>
          <w:rFonts w:ascii="Times New Roman" w:cs="Times New Roman" w:eastAsia="Times New Roman" w:hAnsi="Times New Roman"/>
          <w:sz w:val="13"/>
          <w:szCs w:val="13"/>
          <w:color w:val="auto"/>
        </w:rPr>
        <w:t>In March 2018, we provided a short-term loan in the amount of RMB425,000 to a company controlled by our founder and director, Mr. Huazhi Hu. The loan was repaid in January 2019.</w:t>
      </w:r>
    </w:p>
    <w:p>
      <w:pPr>
        <w:spacing w:after="0" w:line="12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In January 2019, we provided a short-term loan in the amount of RMB425,000 to Mr. Huazhi Hu. The loan was repaid in November 2019.</w:t>
      </w:r>
    </w:p>
    <w:p>
      <w:pPr>
        <w:spacing w:after="0" w:line="23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C. I</w:t>
      </w:r>
      <w:r>
        <w:rPr>
          <w:rFonts w:ascii="Times New Roman" w:cs="Times New Roman" w:eastAsia="Times New Roman" w:hAnsi="Times New Roman"/>
          <w:sz w:val="13"/>
          <w:szCs w:val="13"/>
          <w:b w:val="1"/>
          <w:bCs w:val="1"/>
          <w:u w:val="single" w:color="auto"/>
          <w:color w:val="auto"/>
        </w:rPr>
        <w:t>nterests of Experts and Counsel</w:t>
      </w:r>
      <w:r>
        <w:rPr>
          <w:rFonts w:ascii="Times New Roman" w:cs="Times New Roman" w:eastAsia="Times New Roman" w:hAnsi="Times New Roman"/>
          <w:sz w:val="13"/>
          <w:szCs w:val="13"/>
          <w:b w:val="1"/>
          <w:bCs w:val="1"/>
          <w:color w:val="auto"/>
        </w:rPr>
        <w:t>.</w:t>
      </w:r>
    </w:p>
    <w:p>
      <w:pPr>
        <w:spacing w:after="0" w:line="8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Not applicable.</w:t>
      </w:r>
    </w:p>
    <w:p>
      <w:pPr>
        <w:spacing w:after="0" w:line="267" w:lineRule="exact"/>
        <w:rPr>
          <w:sz w:val="20"/>
          <w:szCs w:val="20"/>
          <w:color w:val="auto"/>
        </w:rPr>
      </w:pPr>
    </w:p>
    <w:p>
      <w:pPr>
        <w:ind w:left="1680"/>
        <w:spacing w:after="0"/>
        <w:tabs>
          <w:tab w:leader="none" w:pos="2440" w:val="left"/>
        </w:tabs>
        <w:rPr>
          <w:sz w:val="20"/>
          <w:szCs w:val="20"/>
          <w:color w:val="auto"/>
        </w:rPr>
      </w:pPr>
      <w:r>
        <w:rPr>
          <w:rFonts w:ascii="Times New Roman" w:cs="Times New Roman" w:eastAsia="Times New Roman" w:hAnsi="Times New Roman"/>
          <w:sz w:val="13"/>
          <w:szCs w:val="13"/>
          <w:b w:val="1"/>
          <w:bCs w:val="1"/>
          <w:color w:val="auto"/>
        </w:rPr>
        <w:t>Item 8.</w:t>
      </w:r>
      <w:r>
        <w:rPr>
          <w:sz w:val="20"/>
          <w:szCs w:val="20"/>
          <w:color w:val="auto"/>
        </w:rPr>
        <w:tab/>
      </w:r>
      <w:r>
        <w:rPr>
          <w:rFonts w:ascii="Times New Roman" w:cs="Times New Roman" w:eastAsia="Times New Roman" w:hAnsi="Times New Roman"/>
          <w:sz w:val="13"/>
          <w:szCs w:val="13"/>
          <w:b w:val="1"/>
          <w:bCs w:val="1"/>
          <w:color w:val="auto"/>
        </w:rPr>
        <w:t>Financial Information</w:t>
      </w:r>
    </w:p>
    <w:p>
      <w:pPr>
        <w:spacing w:after="0" w:line="24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 xml:space="preserve">A. </w:t>
      </w:r>
      <w:r>
        <w:rPr>
          <w:rFonts w:ascii="Times New Roman" w:cs="Times New Roman" w:eastAsia="Times New Roman" w:hAnsi="Times New Roman"/>
          <w:sz w:val="13"/>
          <w:szCs w:val="13"/>
          <w:b w:val="1"/>
          <w:bCs w:val="1"/>
          <w:u w:val="single" w:color="auto"/>
          <w:color w:val="auto"/>
        </w:rPr>
        <w:t>Consolidated Statements and Other Financial Information.</w:t>
      </w:r>
    </w:p>
    <w:p>
      <w:pPr>
        <w:spacing w:after="0" w:line="8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Please refer to Item 18 “Financial Statements” for our audited consolidated financial statements filed as part of this annual report.</w:t>
      </w:r>
    </w:p>
    <w:p>
      <w:pPr>
        <w:spacing w:after="0" w:line="23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Legal Proceedings</w:t>
      </w:r>
    </w:p>
    <w:p>
      <w:pPr>
        <w:spacing w:after="0" w:line="88" w:lineRule="exact"/>
        <w:rPr>
          <w:sz w:val="20"/>
          <w:szCs w:val="20"/>
          <w:color w:val="auto"/>
        </w:rPr>
      </w:pPr>
    </w:p>
    <w:p>
      <w:pPr>
        <w:ind w:left="1680" w:right="579" w:firstLine="317"/>
        <w:spacing w:after="0" w:line="264" w:lineRule="auto"/>
        <w:rPr>
          <w:sz w:val="20"/>
          <w:szCs w:val="20"/>
          <w:color w:val="auto"/>
        </w:rPr>
      </w:pPr>
      <w:r>
        <w:rPr>
          <w:rFonts w:ascii="Times New Roman" w:cs="Times New Roman" w:eastAsia="Times New Roman" w:hAnsi="Times New Roman"/>
          <w:sz w:val="13"/>
          <w:szCs w:val="13"/>
          <w:color w:val="auto"/>
        </w:rPr>
        <w:t>From time to time, we may be involved in disputes and legal or administrative proceedings in the ordinary course of our business, including actions with respect to breach of contract, labor and employment claims, copyright, trademark, patent infringement, bankruptcy and other matters. Other than as described in this annual report, we are not a party to any material ongoing legal or administrative proceedings.</w:t>
      </w:r>
    </w:p>
    <w:p>
      <w:pPr>
        <w:spacing w:after="0" w:line="12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2"/>
          <w:szCs w:val="12"/>
          <w:color w:val="auto"/>
        </w:rPr>
        <w:t xml:space="preserve">Between February 17 and 26, 2021, three federal securities class action lawsuits (captioned </w:t>
      </w:r>
      <w:r>
        <w:rPr>
          <w:rFonts w:ascii="Times New Roman" w:cs="Times New Roman" w:eastAsia="Times New Roman" w:hAnsi="Times New Roman"/>
          <w:sz w:val="12"/>
          <w:szCs w:val="12"/>
          <w:i w:val="1"/>
          <w:iCs w:val="1"/>
          <w:color w:val="auto"/>
        </w:rPr>
        <w:t>Amberber v. EHang Holdings Limited, et al.</w:t>
      </w:r>
      <w:r>
        <w:rPr>
          <w:rFonts w:ascii="Times New Roman" w:cs="Times New Roman" w:eastAsia="Times New Roman" w:hAnsi="Times New Roman"/>
          <w:sz w:val="12"/>
          <w:szCs w:val="12"/>
          <w:color w:val="auto"/>
        </w:rPr>
        <w:t>, Case No.</w:t>
      </w:r>
    </w:p>
    <w:p>
      <w:pPr>
        <w:spacing w:after="0" w:line="3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2"/>
          <w:szCs w:val="12"/>
          <w:color w:val="auto"/>
        </w:rPr>
        <w:t xml:space="preserve">1:21-cv-01392-GBD (S.D.N.Y., filed Feb. 17, 2021), </w:t>
      </w:r>
      <w:r>
        <w:rPr>
          <w:rFonts w:ascii="Times New Roman" w:cs="Times New Roman" w:eastAsia="Times New Roman" w:hAnsi="Times New Roman"/>
          <w:sz w:val="12"/>
          <w:szCs w:val="12"/>
          <w:i w:val="1"/>
          <w:iCs w:val="1"/>
          <w:color w:val="auto"/>
        </w:rPr>
        <w:t>Chaumont v. EHang Holdings Limited, et al.</w:t>
      </w:r>
      <w:r>
        <w:rPr>
          <w:rFonts w:ascii="Times New Roman" w:cs="Times New Roman" w:eastAsia="Times New Roman" w:hAnsi="Times New Roman"/>
          <w:sz w:val="12"/>
          <w:szCs w:val="12"/>
          <w:color w:val="auto"/>
        </w:rPr>
        <w:t>, Case No. 1:21-cv-01526-GBD (S.D.N.Y., filed Feb.</w:t>
      </w:r>
    </w:p>
    <w:p>
      <w:pPr>
        <w:spacing w:after="0" w:line="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 xml:space="preserve">19, 2021), and </w:t>
      </w:r>
      <w:r>
        <w:rPr>
          <w:rFonts w:ascii="Times New Roman" w:cs="Times New Roman" w:eastAsia="Times New Roman" w:hAnsi="Times New Roman"/>
          <w:sz w:val="13"/>
          <w:szCs w:val="13"/>
          <w:i w:val="1"/>
          <w:iCs w:val="1"/>
          <w:color w:val="auto"/>
        </w:rPr>
        <w:t>Klein v. EHang Holdings Limited, et al.</w:t>
      </w:r>
      <w:r>
        <w:rPr>
          <w:rFonts w:ascii="Times New Roman" w:cs="Times New Roman" w:eastAsia="Times New Roman" w:hAnsi="Times New Roman"/>
          <w:sz w:val="13"/>
          <w:szCs w:val="13"/>
          <w:color w:val="auto"/>
        </w:rPr>
        <w:t>, Case No. 2:21-cv-01811-JFW-PVC (C.D. Cal., filed Feb. 26, 2021)) were filed by purported</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holders of our ADSs in federal court. The complaints asserted claims under Sections 10(b) and 20(a) of the Securities Exchange Act of 1934, as</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amended, and generally allege that our company and certain of our officers made false and misleading statements regarding the status of its urban air</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mobility business, its international and domestic regulatory approvals, its relationships with major customers, and its manufacturing facilities. The</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complaints name as defendants our company and certain of our officers. In addition to costs and attorneys’ fees, the complaints seek compensatory and</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punitive damages. We believe these claims are without merit and intend to vigorously defend against them. These lawsuits were consolidated into a</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single class action lawsuit under the caption In re EHang Holdings Ltd. Securities Litigation 1.21-CV-01392-GBD-GWG (S.D.N.Y., filed Feb. 19,</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2021), and a lead plaintiff and lead counsel were selected on February 10, 2022. The lead plaintiff filed an amended complaint on April 25, 2022,</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making similar allegations as those in the previous complaints. Defendants will file a motion to dismiss the amended complaint in June 2022. Given the</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uncertainty of litigation, the preliminary stage of the case, and the legal standards that must be met for, among other things, class certification and</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success on the merits, we cannot estimate the reasonably possible loss or range of loss that may result from this action.</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137</w:t>
      </w:r>
    </w:p>
    <w:p>
      <w:pPr>
        <w:sectPr>
          <w:pgSz w:w="11900" w:h="16838" w:orient="portrait"/>
          <w:cols w:equalWidth="0" w:num="1">
            <w:col w:w="10159"/>
          </w:cols>
          <w:pgMar w:left="300" w:top="388" w:right="1440"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jc w:val="both"/>
        <w:ind w:left="1680" w:right="639" w:firstLine="317"/>
        <w:spacing w:after="0" w:line="287" w:lineRule="auto"/>
        <w:rPr>
          <w:sz w:val="20"/>
          <w:szCs w:val="20"/>
          <w:color w:val="auto"/>
        </w:rPr>
      </w:pPr>
      <w:r>
        <w:rPr>
          <w:rFonts w:ascii="Times New Roman" w:cs="Times New Roman" w:eastAsia="Times New Roman" w:hAnsi="Times New Roman"/>
          <w:sz w:val="12"/>
          <w:szCs w:val="12"/>
          <w:color w:val="auto"/>
        </w:rPr>
        <w:t>Our former German subsidiary, EHang GmbH, filed for bankruptcy in July 2017 and our former U.S. subsidiary, EHang, Inc., filed a voluntary Chapter 7 bankruptcy petition in December 2017. These entities were initially established as sales offices, and were closed after we decided to exit the consumer drone market in these two countries. These two entities were deconsolidated in 2017. The bankruptcy proceedings for EHang, Inc. have been settled. The bankruptcy procedures of EHang GmbH are ongoing but we have no direct liability for the claims related to such bankruptcy procedures.</w:t>
      </w:r>
    </w:p>
    <w:p>
      <w:pPr>
        <w:spacing w:after="0" w:line="118" w:lineRule="exact"/>
        <w:rPr>
          <w:sz w:val="20"/>
          <w:szCs w:val="20"/>
          <w:color w:val="auto"/>
        </w:rPr>
      </w:pPr>
    </w:p>
    <w:p>
      <w:pPr>
        <w:jc w:val="both"/>
        <w:ind w:left="1680" w:right="679" w:firstLine="317"/>
        <w:spacing w:after="0" w:line="264" w:lineRule="auto"/>
        <w:rPr>
          <w:sz w:val="20"/>
          <w:szCs w:val="20"/>
          <w:color w:val="auto"/>
        </w:rPr>
      </w:pPr>
      <w:r>
        <w:rPr>
          <w:rFonts w:ascii="Times New Roman" w:cs="Times New Roman" w:eastAsia="Times New Roman" w:hAnsi="Times New Roman"/>
          <w:sz w:val="13"/>
          <w:szCs w:val="13"/>
          <w:color w:val="auto"/>
        </w:rPr>
        <w:t>A former employee of our former U.S. subsidiary, EHang, Inc., filed a civil lawsuit against EHang Holdings Limited and the VIE in the United States District Court for the Northern District of California. The plaintiff alleged that he was entitled to receive restricted share units from us. The case was set for a jury trial starting from April 1, 2022. As of the filing of this annual report, no judgment has been entered by the court.</w:t>
      </w:r>
    </w:p>
    <w:p>
      <w:pPr>
        <w:spacing w:after="0" w:line="20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Dividend Policy</w:t>
      </w:r>
    </w:p>
    <w:p>
      <w:pPr>
        <w:spacing w:after="0" w:line="88" w:lineRule="exact"/>
        <w:rPr>
          <w:sz w:val="20"/>
          <w:szCs w:val="20"/>
          <w:color w:val="auto"/>
        </w:rPr>
      </w:pPr>
    </w:p>
    <w:p>
      <w:pPr>
        <w:ind w:left="1680" w:right="579" w:firstLine="317"/>
        <w:spacing w:after="0" w:line="254" w:lineRule="auto"/>
        <w:rPr>
          <w:sz w:val="20"/>
          <w:szCs w:val="20"/>
          <w:color w:val="auto"/>
        </w:rPr>
      </w:pPr>
      <w:r>
        <w:rPr>
          <w:rFonts w:ascii="Times New Roman" w:cs="Times New Roman" w:eastAsia="Times New Roman" w:hAnsi="Times New Roman"/>
          <w:sz w:val="13"/>
          <w:szCs w:val="13"/>
          <w:color w:val="auto"/>
        </w:rPr>
        <w:t>Our board of directors has discretion on whether to distribute dividends, subject to certain requirements of Cayman Islands law. In addition, our shareholders may by ordinary resolution declare a dividend, but no dividend may exceed the amount recommended by our board of directors. In either case, all dividends are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Even if we decide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38" w:lineRule="exact"/>
        <w:rPr>
          <w:sz w:val="20"/>
          <w:szCs w:val="20"/>
          <w:color w:val="auto"/>
        </w:rPr>
      </w:pPr>
    </w:p>
    <w:p>
      <w:pPr>
        <w:ind w:left="1680" w:right="639" w:firstLine="317"/>
        <w:spacing w:after="0" w:line="278" w:lineRule="auto"/>
        <w:rPr>
          <w:sz w:val="20"/>
          <w:szCs w:val="20"/>
          <w:color w:val="auto"/>
        </w:rPr>
      </w:pPr>
      <w:r>
        <w:rPr>
          <w:rFonts w:ascii="Times New Roman" w:cs="Times New Roman" w:eastAsia="Times New Roman" w:hAnsi="Times New Roman"/>
          <w:sz w:val="13"/>
          <w:szCs w:val="13"/>
          <w:color w:val="auto"/>
        </w:rPr>
        <w:t>We do not have any present plan to pay any cash dividends on our ordinary shares in the foreseeable future. We currently intend to retain most, if not all, of our available funds and any future earnings to operate and expand our business.</w:t>
      </w:r>
    </w:p>
    <w:p>
      <w:pPr>
        <w:spacing w:after="0" w:line="121" w:lineRule="exact"/>
        <w:rPr>
          <w:sz w:val="20"/>
          <w:szCs w:val="20"/>
          <w:color w:val="auto"/>
        </w:rPr>
      </w:pPr>
    </w:p>
    <w:p>
      <w:pPr>
        <w:ind w:left="1680" w:right="579" w:firstLine="317"/>
        <w:spacing w:after="0" w:line="264" w:lineRule="auto"/>
        <w:rPr>
          <w:sz w:val="20"/>
          <w:szCs w:val="20"/>
          <w:color w:val="auto"/>
        </w:rPr>
      </w:pPr>
      <w:r>
        <w:rPr>
          <w:rFonts w:ascii="Times New Roman" w:cs="Times New Roman" w:eastAsia="Times New Roman" w:hAnsi="Times New Roman"/>
          <w:sz w:val="13"/>
          <w:szCs w:val="13"/>
          <w:color w:val="auto"/>
        </w:rPr>
        <w:t>We are a holding company incorporated in the Cayman Islands. We may rely on dividends from our subsidiaries in China for our cash requirements, including any payment of dividends to our shareholders. PRC regulations may restrict the ability of our PRC subsidiaries to pay dividends to us. See “Item 4. Information on the Company—B. Business Overview—PRC Regulation—Dividend Distribution.”</w:t>
      </w:r>
    </w:p>
    <w:p>
      <w:pPr>
        <w:spacing w:after="0" w:line="129" w:lineRule="exact"/>
        <w:rPr>
          <w:sz w:val="20"/>
          <w:szCs w:val="20"/>
          <w:color w:val="auto"/>
        </w:rPr>
      </w:pPr>
    </w:p>
    <w:p>
      <w:pPr>
        <w:ind w:left="1680" w:right="859" w:firstLine="317"/>
        <w:spacing w:after="0" w:line="259" w:lineRule="auto"/>
        <w:rPr>
          <w:sz w:val="20"/>
          <w:szCs w:val="20"/>
          <w:color w:val="auto"/>
        </w:rPr>
      </w:pPr>
      <w:r>
        <w:rPr>
          <w:rFonts w:ascii="Times New Roman" w:cs="Times New Roman" w:eastAsia="Times New Roman" w:hAnsi="Times New Roman"/>
          <w:sz w:val="13"/>
          <w:szCs w:val="13"/>
          <w:color w:val="auto"/>
        </w:rPr>
        <w:t>If we pay any dividends on our ordinary shares, we will pay those dividends which are payable in respect of the Class A ordinary shares underlying the ADSs to the depositary, as the registered holder of such ordinary shares, and the depositary then will pay such amounts to our ADS holders in proportion to the Class A ordinary shares underlying the ADSs held by such ADS holders, subject to the terms of the deposit agreement, including the fees and expenses payable thereunder. Cash dividends on our ordinary shares, if any, will be paid in U.S. dollars.</w:t>
      </w:r>
    </w:p>
    <w:p>
      <w:pPr>
        <w:spacing w:after="0" w:line="20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 xml:space="preserve">B. </w:t>
      </w:r>
      <w:r>
        <w:rPr>
          <w:rFonts w:ascii="Times New Roman" w:cs="Times New Roman" w:eastAsia="Times New Roman" w:hAnsi="Times New Roman"/>
          <w:sz w:val="13"/>
          <w:szCs w:val="13"/>
          <w:b w:val="1"/>
          <w:bCs w:val="1"/>
          <w:u w:val="single" w:color="auto"/>
          <w:color w:val="auto"/>
        </w:rPr>
        <w:t>Significant Changes</w:t>
      </w:r>
      <w:r>
        <w:rPr>
          <w:rFonts w:ascii="Times New Roman" w:cs="Times New Roman" w:eastAsia="Times New Roman" w:hAnsi="Times New Roman"/>
          <w:sz w:val="13"/>
          <w:szCs w:val="13"/>
          <w:b w:val="1"/>
          <w:bCs w:val="1"/>
          <w:color w:val="auto"/>
        </w:rPr>
        <w:t>.</w:t>
      </w:r>
    </w:p>
    <w:p>
      <w:pPr>
        <w:spacing w:after="0" w:line="86" w:lineRule="exact"/>
        <w:rPr>
          <w:sz w:val="20"/>
          <w:szCs w:val="20"/>
          <w:color w:val="auto"/>
        </w:rPr>
      </w:pPr>
    </w:p>
    <w:p>
      <w:pPr>
        <w:ind w:left="1680" w:right="739" w:firstLine="317"/>
        <w:spacing w:after="0" w:line="278" w:lineRule="auto"/>
        <w:rPr>
          <w:sz w:val="20"/>
          <w:szCs w:val="20"/>
          <w:color w:val="auto"/>
        </w:rPr>
      </w:pPr>
      <w:r>
        <w:rPr>
          <w:rFonts w:ascii="Times New Roman" w:cs="Times New Roman" w:eastAsia="Times New Roman" w:hAnsi="Times New Roman"/>
          <w:sz w:val="13"/>
          <w:szCs w:val="13"/>
          <w:color w:val="auto"/>
        </w:rPr>
        <w:t>Except as disclosed elsewhere in this annual report, we have not experienced any significant changes since the date of our audited consolidated financial statements included in this annual report.</w:t>
      </w:r>
    </w:p>
    <w:p>
      <w:pPr>
        <w:spacing w:after="0" w:line="226" w:lineRule="exact"/>
        <w:rPr>
          <w:sz w:val="20"/>
          <w:szCs w:val="20"/>
          <w:color w:val="auto"/>
        </w:rPr>
      </w:pPr>
    </w:p>
    <w:p>
      <w:pPr>
        <w:ind w:left="1680"/>
        <w:spacing w:after="0"/>
        <w:tabs>
          <w:tab w:leader="none" w:pos="2440" w:val="left"/>
        </w:tabs>
        <w:rPr>
          <w:sz w:val="20"/>
          <w:szCs w:val="20"/>
          <w:color w:val="auto"/>
        </w:rPr>
      </w:pPr>
      <w:r>
        <w:rPr>
          <w:rFonts w:ascii="Times New Roman" w:cs="Times New Roman" w:eastAsia="Times New Roman" w:hAnsi="Times New Roman"/>
          <w:sz w:val="13"/>
          <w:szCs w:val="13"/>
          <w:b w:val="1"/>
          <w:bCs w:val="1"/>
          <w:color w:val="auto"/>
        </w:rPr>
        <w:t>Item 9.</w:t>
      </w:r>
      <w:r>
        <w:rPr>
          <w:sz w:val="20"/>
          <w:szCs w:val="20"/>
          <w:color w:val="auto"/>
        </w:rPr>
        <w:tab/>
      </w:r>
      <w:r>
        <w:rPr>
          <w:rFonts w:ascii="Times New Roman" w:cs="Times New Roman" w:eastAsia="Times New Roman" w:hAnsi="Times New Roman"/>
          <w:sz w:val="12"/>
          <w:szCs w:val="12"/>
          <w:b w:val="1"/>
          <w:bCs w:val="1"/>
          <w:color w:val="auto"/>
        </w:rPr>
        <w:t>The Offer and Listing.</w:t>
      </w:r>
    </w:p>
    <w:p>
      <w:pPr>
        <w:spacing w:after="0" w:line="24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 xml:space="preserve">A. </w:t>
      </w:r>
      <w:r>
        <w:rPr>
          <w:rFonts w:ascii="Times New Roman" w:cs="Times New Roman" w:eastAsia="Times New Roman" w:hAnsi="Times New Roman"/>
          <w:sz w:val="13"/>
          <w:szCs w:val="13"/>
          <w:b w:val="1"/>
          <w:bCs w:val="1"/>
          <w:u w:val="single" w:color="auto"/>
          <w:color w:val="auto"/>
        </w:rPr>
        <w:t>Offer and Listing Details</w:t>
      </w:r>
      <w:r>
        <w:rPr>
          <w:rFonts w:ascii="Times New Roman" w:cs="Times New Roman" w:eastAsia="Times New Roman" w:hAnsi="Times New Roman"/>
          <w:sz w:val="13"/>
          <w:szCs w:val="13"/>
          <w:b w:val="1"/>
          <w:bCs w:val="1"/>
          <w:color w:val="auto"/>
        </w:rPr>
        <w:t>.</w:t>
      </w:r>
    </w:p>
    <w:p>
      <w:pPr>
        <w:spacing w:after="0" w:line="8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See “—C. Markets.”</w:t>
      </w:r>
    </w:p>
    <w:p>
      <w:pPr>
        <w:spacing w:after="0" w:line="23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 xml:space="preserve">B. </w:t>
      </w:r>
      <w:r>
        <w:rPr>
          <w:rFonts w:ascii="Times New Roman" w:cs="Times New Roman" w:eastAsia="Times New Roman" w:hAnsi="Times New Roman"/>
          <w:sz w:val="13"/>
          <w:szCs w:val="13"/>
          <w:b w:val="1"/>
          <w:bCs w:val="1"/>
          <w:u w:val="single" w:color="auto"/>
          <w:color w:val="auto"/>
        </w:rPr>
        <w:t>Plan of Distribution</w:t>
      </w:r>
      <w:r>
        <w:rPr>
          <w:rFonts w:ascii="Times New Roman" w:cs="Times New Roman" w:eastAsia="Times New Roman" w:hAnsi="Times New Roman"/>
          <w:sz w:val="13"/>
          <w:szCs w:val="13"/>
          <w:b w:val="1"/>
          <w:bCs w:val="1"/>
          <w:color w:val="auto"/>
        </w:rPr>
        <w:t>.</w:t>
      </w:r>
    </w:p>
    <w:p>
      <w:pPr>
        <w:spacing w:after="0" w:line="8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Not applicable.</w:t>
      </w:r>
    </w:p>
    <w:p>
      <w:pPr>
        <w:spacing w:after="0" w:line="238" w:lineRule="exact"/>
        <w:rPr>
          <w:sz w:val="20"/>
          <w:szCs w:val="20"/>
          <w:color w:val="auto"/>
        </w:rPr>
      </w:pPr>
    </w:p>
    <w:p>
      <w:pPr>
        <w:ind w:left="1840" w:hanging="164"/>
        <w:spacing w:after="0"/>
        <w:tabs>
          <w:tab w:leader="none" w:pos="1840" w:val="left"/>
        </w:tabs>
        <w:numPr>
          <w:ilvl w:val="0"/>
          <w:numId w:val="5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Markets</w:t>
      </w:r>
      <w:r>
        <w:rPr>
          <w:rFonts w:ascii="Times New Roman" w:cs="Times New Roman" w:eastAsia="Times New Roman" w:hAnsi="Times New Roman"/>
          <w:sz w:val="13"/>
          <w:szCs w:val="13"/>
          <w:b w:val="1"/>
          <w:bCs w:val="1"/>
          <w:color w:val="auto"/>
        </w:rPr>
        <w:t>.</w:t>
      </w:r>
    </w:p>
    <w:p>
      <w:pPr>
        <w:spacing w:after="0" w:line="86" w:lineRule="exact"/>
        <w:rPr>
          <w:sz w:val="20"/>
          <w:szCs w:val="20"/>
          <w:color w:val="auto"/>
        </w:rPr>
      </w:pPr>
    </w:p>
    <w:p>
      <w:pPr>
        <w:ind w:left="1680" w:right="899" w:firstLine="317"/>
        <w:spacing w:after="0" w:line="278" w:lineRule="auto"/>
        <w:rPr>
          <w:sz w:val="20"/>
          <w:szCs w:val="20"/>
          <w:color w:val="auto"/>
        </w:rPr>
      </w:pPr>
      <w:r>
        <w:rPr>
          <w:rFonts w:ascii="Times New Roman" w:cs="Times New Roman" w:eastAsia="Times New Roman" w:hAnsi="Times New Roman"/>
          <w:sz w:val="13"/>
          <w:szCs w:val="13"/>
          <w:color w:val="auto"/>
        </w:rPr>
        <w:t>Our ADSs, each represents two Class A ordinary shares, have been listed on the Nasdaq Global Market since December 12, 2019, under the symbol “EH.”</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138</w:t>
      </w:r>
    </w:p>
    <w:p>
      <w:pPr>
        <w:sectPr>
          <w:pgSz w:w="11900" w:h="16838" w:orient="portrait"/>
          <w:cols w:equalWidth="0" w:num="1">
            <w:col w:w="10159"/>
          </w:cols>
          <w:pgMar w:left="300" w:top="388" w:right="1440"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1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2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 xml:space="preserve">D. </w:t>
      </w:r>
      <w:r>
        <w:rPr>
          <w:rFonts w:ascii="Times New Roman" w:cs="Times New Roman" w:eastAsia="Times New Roman" w:hAnsi="Times New Roman"/>
          <w:sz w:val="13"/>
          <w:szCs w:val="13"/>
          <w:b w:val="1"/>
          <w:bCs w:val="1"/>
          <w:u w:val="single" w:color="auto"/>
          <w:color w:val="auto"/>
        </w:rPr>
        <w:t>Selling Shareholders</w:t>
      </w:r>
      <w:r>
        <w:rPr>
          <w:rFonts w:ascii="Times New Roman" w:cs="Times New Roman" w:eastAsia="Times New Roman" w:hAnsi="Times New Roman"/>
          <w:sz w:val="13"/>
          <w:szCs w:val="13"/>
          <w:b w:val="1"/>
          <w:bCs w:val="1"/>
          <w:color w:val="auto"/>
        </w:rPr>
        <w:t>.</w:t>
      </w:r>
    </w:p>
    <w:p>
      <w:pPr>
        <w:spacing w:after="0" w:line="8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Not applicable.</w:t>
      </w:r>
    </w:p>
    <w:p>
      <w:pPr>
        <w:spacing w:after="0" w:line="238" w:lineRule="exact"/>
        <w:rPr>
          <w:sz w:val="20"/>
          <w:szCs w:val="20"/>
          <w:color w:val="auto"/>
        </w:rPr>
      </w:pPr>
    </w:p>
    <w:p>
      <w:pPr>
        <w:ind w:left="1820" w:hanging="144"/>
        <w:spacing w:after="0"/>
        <w:tabs>
          <w:tab w:leader="none" w:pos="1820" w:val="left"/>
        </w:tabs>
        <w:numPr>
          <w:ilvl w:val="0"/>
          <w:numId w:val="6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Dilution</w:t>
      </w:r>
      <w:r>
        <w:rPr>
          <w:rFonts w:ascii="Times New Roman" w:cs="Times New Roman" w:eastAsia="Times New Roman" w:hAnsi="Times New Roman"/>
          <w:sz w:val="13"/>
          <w:szCs w:val="13"/>
          <w:b w:val="1"/>
          <w:bCs w:val="1"/>
          <w:color w:val="auto"/>
        </w:rPr>
        <w:t>.</w:t>
      </w:r>
    </w:p>
    <w:p>
      <w:pPr>
        <w:spacing w:after="0" w:line="8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Not applicable.</w:t>
      </w:r>
    </w:p>
    <w:p>
      <w:pPr>
        <w:spacing w:after="0" w:line="23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 xml:space="preserve">F. </w:t>
      </w:r>
      <w:r>
        <w:rPr>
          <w:rFonts w:ascii="Times New Roman" w:cs="Times New Roman" w:eastAsia="Times New Roman" w:hAnsi="Times New Roman"/>
          <w:sz w:val="13"/>
          <w:szCs w:val="13"/>
          <w:b w:val="1"/>
          <w:bCs w:val="1"/>
          <w:u w:val="single" w:color="auto"/>
          <w:color w:val="auto"/>
        </w:rPr>
        <w:t>Expenses of the Issue</w:t>
      </w:r>
      <w:r>
        <w:rPr>
          <w:rFonts w:ascii="Times New Roman" w:cs="Times New Roman" w:eastAsia="Times New Roman" w:hAnsi="Times New Roman"/>
          <w:sz w:val="13"/>
          <w:szCs w:val="13"/>
          <w:b w:val="1"/>
          <w:bCs w:val="1"/>
          <w:color w:val="auto"/>
        </w:rPr>
        <w:t>.</w:t>
      </w:r>
    </w:p>
    <w:p>
      <w:pPr>
        <w:spacing w:after="0" w:line="8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Not applicable.</w:t>
      </w:r>
    </w:p>
    <w:p>
      <w:pPr>
        <w:spacing w:after="0" w:line="267" w:lineRule="exact"/>
        <w:rPr>
          <w:sz w:val="20"/>
          <w:szCs w:val="20"/>
          <w:color w:val="auto"/>
        </w:rPr>
      </w:pPr>
    </w:p>
    <w:p>
      <w:pPr>
        <w:ind w:left="1680"/>
        <w:spacing w:after="0"/>
        <w:tabs>
          <w:tab w:leader="none" w:pos="2440" w:val="left"/>
        </w:tabs>
        <w:rPr>
          <w:sz w:val="20"/>
          <w:szCs w:val="20"/>
          <w:color w:val="auto"/>
        </w:rPr>
      </w:pPr>
      <w:r>
        <w:rPr>
          <w:rFonts w:ascii="Times New Roman" w:cs="Times New Roman" w:eastAsia="Times New Roman" w:hAnsi="Times New Roman"/>
          <w:sz w:val="13"/>
          <w:szCs w:val="13"/>
          <w:b w:val="1"/>
          <w:bCs w:val="1"/>
          <w:color w:val="auto"/>
        </w:rPr>
        <w:t>Item 10.</w:t>
      </w:r>
      <w:r>
        <w:rPr>
          <w:sz w:val="20"/>
          <w:szCs w:val="20"/>
          <w:color w:val="auto"/>
        </w:rPr>
        <w:tab/>
      </w:r>
      <w:r>
        <w:rPr>
          <w:rFonts w:ascii="Times New Roman" w:cs="Times New Roman" w:eastAsia="Times New Roman" w:hAnsi="Times New Roman"/>
          <w:sz w:val="13"/>
          <w:szCs w:val="13"/>
          <w:b w:val="1"/>
          <w:bCs w:val="1"/>
          <w:color w:val="auto"/>
        </w:rPr>
        <w:t>Additional Information.</w:t>
      </w:r>
    </w:p>
    <w:p>
      <w:pPr>
        <w:spacing w:after="0" w:line="24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 xml:space="preserve">A. </w:t>
      </w:r>
      <w:r>
        <w:rPr>
          <w:rFonts w:ascii="Times New Roman" w:cs="Times New Roman" w:eastAsia="Times New Roman" w:hAnsi="Times New Roman"/>
          <w:sz w:val="13"/>
          <w:szCs w:val="13"/>
          <w:b w:val="1"/>
          <w:bCs w:val="1"/>
          <w:u w:val="single" w:color="auto"/>
          <w:color w:val="auto"/>
        </w:rPr>
        <w:t>Share Capital</w:t>
      </w:r>
      <w:r>
        <w:rPr>
          <w:rFonts w:ascii="Times New Roman" w:cs="Times New Roman" w:eastAsia="Times New Roman" w:hAnsi="Times New Roman"/>
          <w:sz w:val="13"/>
          <w:szCs w:val="13"/>
          <w:b w:val="1"/>
          <w:bCs w:val="1"/>
          <w:color w:val="auto"/>
        </w:rPr>
        <w:t>.</w:t>
      </w:r>
    </w:p>
    <w:p>
      <w:pPr>
        <w:spacing w:after="0" w:line="8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Not applicable.</w:t>
      </w:r>
    </w:p>
    <w:p>
      <w:pPr>
        <w:spacing w:after="0" w:line="23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 xml:space="preserve">B. </w:t>
      </w:r>
      <w:r>
        <w:rPr>
          <w:rFonts w:ascii="Times New Roman" w:cs="Times New Roman" w:eastAsia="Times New Roman" w:hAnsi="Times New Roman"/>
          <w:sz w:val="13"/>
          <w:szCs w:val="13"/>
          <w:b w:val="1"/>
          <w:bCs w:val="1"/>
          <w:u w:val="single" w:color="auto"/>
          <w:color w:val="auto"/>
        </w:rPr>
        <w:t>Memorandum and Articles of Association</w:t>
      </w:r>
      <w:r>
        <w:rPr>
          <w:rFonts w:ascii="Times New Roman" w:cs="Times New Roman" w:eastAsia="Times New Roman" w:hAnsi="Times New Roman"/>
          <w:sz w:val="13"/>
          <w:szCs w:val="13"/>
          <w:b w:val="1"/>
          <w:bCs w:val="1"/>
          <w:color w:val="auto"/>
        </w:rPr>
        <w:t>.</w:t>
      </w:r>
    </w:p>
    <w:p>
      <w:pPr>
        <w:spacing w:after="0" w:line="86" w:lineRule="exact"/>
        <w:rPr>
          <w:sz w:val="20"/>
          <w:szCs w:val="20"/>
          <w:color w:val="auto"/>
        </w:rPr>
      </w:pPr>
    </w:p>
    <w:p>
      <w:pPr>
        <w:ind w:left="1680" w:right="579" w:firstLine="317"/>
        <w:spacing w:after="0" w:line="278" w:lineRule="auto"/>
        <w:rPr>
          <w:sz w:val="20"/>
          <w:szCs w:val="20"/>
          <w:color w:val="auto"/>
        </w:rPr>
      </w:pPr>
      <w:r>
        <w:rPr>
          <w:rFonts w:ascii="Times New Roman" w:cs="Times New Roman" w:eastAsia="Times New Roman" w:hAnsi="Times New Roman"/>
          <w:sz w:val="13"/>
          <w:szCs w:val="13"/>
          <w:color w:val="auto"/>
        </w:rPr>
        <w:t>The following are summaries of material provisions of our currently effective fifth amended and restated memorandum and articles of association, and of the Companies Act, insofar as they relate to the material terms of our ordinary shares.</w:t>
      </w:r>
    </w:p>
    <w:p>
      <w:pPr>
        <w:spacing w:after="0" w:line="119" w:lineRule="exact"/>
        <w:rPr>
          <w:sz w:val="20"/>
          <w:szCs w:val="20"/>
          <w:color w:val="auto"/>
        </w:rPr>
      </w:pPr>
    </w:p>
    <w:p>
      <w:pPr>
        <w:ind w:left="1680" w:right="759" w:firstLine="317"/>
        <w:spacing w:after="0" w:line="282" w:lineRule="auto"/>
        <w:rPr>
          <w:sz w:val="20"/>
          <w:szCs w:val="20"/>
          <w:color w:val="auto"/>
        </w:rPr>
      </w:pPr>
      <w:r>
        <w:rPr>
          <w:rFonts w:ascii="Times New Roman" w:cs="Times New Roman" w:eastAsia="Times New Roman" w:hAnsi="Times New Roman"/>
          <w:sz w:val="13"/>
          <w:szCs w:val="13"/>
          <w:i w:val="1"/>
          <w:iCs w:val="1"/>
          <w:color w:val="auto"/>
        </w:rPr>
        <w:t>Objects of Our Company</w:t>
      </w:r>
      <w:r>
        <w:rPr>
          <w:rFonts w:ascii="Times New Roman" w:cs="Times New Roman" w:eastAsia="Times New Roman" w:hAnsi="Times New Roman"/>
          <w:sz w:val="13"/>
          <w:szCs w:val="13"/>
          <w:color w:val="auto"/>
        </w:rPr>
        <w:t>. Under our memorandum and articles of association, the objects of our company are unrestricted and we have the full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power and authority to carry out any object not prohibited by the law of the Cayman Islands.</w:t>
      </w:r>
    </w:p>
    <w:p>
      <w:pPr>
        <w:spacing w:after="0" w:line="116" w:lineRule="exact"/>
        <w:rPr>
          <w:sz w:val="20"/>
          <w:szCs w:val="20"/>
          <w:color w:val="auto"/>
        </w:rPr>
      </w:pPr>
    </w:p>
    <w:p>
      <w:pPr>
        <w:ind w:left="1680" w:right="639" w:firstLine="317"/>
        <w:spacing w:after="0" w:line="284" w:lineRule="auto"/>
        <w:rPr>
          <w:sz w:val="20"/>
          <w:szCs w:val="20"/>
          <w:color w:val="auto"/>
        </w:rPr>
      </w:pPr>
      <w:r>
        <w:rPr>
          <w:rFonts w:ascii="Times New Roman" w:cs="Times New Roman" w:eastAsia="Times New Roman" w:hAnsi="Times New Roman"/>
          <w:sz w:val="12"/>
          <w:szCs w:val="12"/>
          <w:i w:val="1"/>
          <w:iCs w:val="1"/>
          <w:color w:val="auto"/>
        </w:rPr>
        <w:t>Ordinary Shares</w:t>
      </w:r>
      <w:r>
        <w:rPr>
          <w:rFonts w:ascii="Times New Roman" w:cs="Times New Roman" w:eastAsia="Times New Roman" w:hAnsi="Times New Roman"/>
          <w:sz w:val="12"/>
          <w:szCs w:val="12"/>
          <w:color w:val="auto"/>
        </w:rPr>
        <w:t>. Our ordinary shares are issued in registered form and are issued when registered in our register of shareholders. We may not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issue shares to bearer. Our shareholders who are nonresidents of the Cayman Islands may freely hold and vote their shares. Our ordinary shares are divided into Class A ordinary shares and Class B ordinary shares. Holders of our Class A ordinary shares and Class B ordinary shares have the same rights except for voting and conversion rights. Each Class A ordinary share shall entitle the holder thereof to one vote on all matters subject to vote at our general meetings, and each Class B ordinary share shall entitle the holder thereof to ten votes on all matters subject to vote at our general meetings.</w:t>
      </w:r>
    </w:p>
    <w:p>
      <w:pPr>
        <w:spacing w:after="0" w:line="117" w:lineRule="exact"/>
        <w:rPr>
          <w:sz w:val="20"/>
          <w:szCs w:val="20"/>
          <w:color w:val="auto"/>
        </w:rPr>
      </w:pPr>
    </w:p>
    <w:p>
      <w:pPr>
        <w:ind w:left="1680" w:right="599" w:firstLine="317"/>
        <w:spacing w:after="0" w:line="257" w:lineRule="auto"/>
        <w:rPr>
          <w:sz w:val="20"/>
          <w:szCs w:val="20"/>
          <w:color w:val="auto"/>
        </w:rPr>
      </w:pPr>
      <w:r>
        <w:rPr>
          <w:rFonts w:ascii="Times New Roman" w:cs="Times New Roman" w:eastAsia="Times New Roman" w:hAnsi="Times New Roman"/>
          <w:sz w:val="13"/>
          <w:szCs w:val="13"/>
          <w:i w:val="1"/>
          <w:iCs w:val="1"/>
          <w:color w:val="auto"/>
        </w:rPr>
        <w:t>Conversion</w:t>
      </w:r>
      <w:r>
        <w:rPr>
          <w:rFonts w:ascii="Times New Roman" w:cs="Times New Roman" w:eastAsia="Times New Roman" w:hAnsi="Times New Roman"/>
          <w:sz w:val="13"/>
          <w:szCs w:val="13"/>
          <w:color w:val="auto"/>
        </w:rPr>
        <w:t>. Each Class B ordinary share is convertible into one Class A ordinary share at any time at the option of the holder thereof. Class 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ordinary shares are not convertible into Class B ordinary shares in any event. Upon any sale, transfer, assignment or disposition of any Class B ordinary shares by their holder or upon a change of ultimate beneficial ownership of any Class B ordinary shares to any person other than our founder or an affiliate controlled by our founder, each such Class B ordinary share shall be automatically and immediately converted into one of Class A ordinary share.</w:t>
      </w:r>
    </w:p>
    <w:p>
      <w:pPr>
        <w:spacing w:after="0" w:line="133" w:lineRule="exact"/>
        <w:rPr>
          <w:sz w:val="20"/>
          <w:szCs w:val="20"/>
          <w:color w:val="auto"/>
        </w:rPr>
      </w:pPr>
    </w:p>
    <w:p>
      <w:pPr>
        <w:ind w:left="1680" w:right="599" w:firstLine="317"/>
        <w:spacing w:after="0" w:line="255" w:lineRule="auto"/>
        <w:rPr>
          <w:sz w:val="20"/>
          <w:szCs w:val="20"/>
          <w:color w:val="auto"/>
        </w:rPr>
      </w:pPr>
      <w:r>
        <w:rPr>
          <w:rFonts w:ascii="Times New Roman" w:cs="Times New Roman" w:eastAsia="Times New Roman" w:hAnsi="Times New Roman"/>
          <w:sz w:val="13"/>
          <w:szCs w:val="13"/>
          <w:i w:val="1"/>
          <w:iCs w:val="1"/>
          <w:color w:val="auto"/>
        </w:rPr>
        <w:t>Dividends</w:t>
      </w:r>
      <w:r>
        <w:rPr>
          <w:rFonts w:ascii="Times New Roman" w:cs="Times New Roman" w:eastAsia="Times New Roman" w:hAnsi="Times New Roman"/>
          <w:sz w:val="13"/>
          <w:szCs w:val="13"/>
          <w:color w:val="auto"/>
        </w:rPr>
        <w:t>. The holders of our ordinary shares are entitled to such dividends as may be declared by our board of directors. In addition, our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shareholders may declare dividends by ordinary resolution, but no dividend shall exceed the amount recommended by our directors. Our amended and restated memorandum and articles of association provide that the directors may, before recommending or declaring any dividend, set aside out of the funds legally available for distribution such sums as they think proper as a reserve or reserves which shall, in the absolute discretion of the directors, be applicable for meeting contingencies or for equalizing dividends or for any other purpose to which those funds may be properly applied.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139</w:t>
      </w:r>
    </w:p>
    <w:p>
      <w:pPr>
        <w:sectPr>
          <w:pgSz w:w="11900" w:h="16838" w:orient="portrait"/>
          <w:cols w:equalWidth="0" w:num="1">
            <w:col w:w="10159"/>
          </w:cols>
          <w:pgMar w:left="300" w:top="388" w:right="1440"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ind w:left="1680" w:right="659" w:firstLine="317"/>
        <w:spacing w:after="0" w:line="256" w:lineRule="auto"/>
        <w:rPr>
          <w:sz w:val="20"/>
          <w:szCs w:val="20"/>
          <w:color w:val="auto"/>
        </w:rPr>
      </w:pPr>
      <w:r>
        <w:rPr>
          <w:rFonts w:ascii="Times New Roman" w:cs="Times New Roman" w:eastAsia="Times New Roman" w:hAnsi="Times New Roman"/>
          <w:sz w:val="13"/>
          <w:szCs w:val="13"/>
          <w:i w:val="1"/>
          <w:iCs w:val="1"/>
          <w:color w:val="auto"/>
        </w:rPr>
        <w:t>Voting Rights</w:t>
      </w:r>
      <w:r>
        <w:rPr>
          <w:rFonts w:ascii="Times New Roman" w:cs="Times New Roman" w:eastAsia="Times New Roman" w:hAnsi="Times New Roman"/>
          <w:sz w:val="13"/>
          <w:szCs w:val="13"/>
          <w:color w:val="auto"/>
        </w:rPr>
        <w:t>. Holders of our Class A ordinary shares and our Class B ordinary shares shall, at all times, vote together as one class on all matters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submitted to a vote by our shareholders at any general meeting of our company. Each Class A ordinary share shall be entitled to one vote, and each Class B ordinary share shall be entitled to ten votes, on all matters subject to a vote on a poll at general meetings of our company. Voting at any shareholders’ meeting is by show of hands unless a poll is demanded (before or on the declaration of the result of the show of hands). A poll may be demanded by the chairman of such meeting or any one or more shareholders who together hold not less than 10% of the votes attaching to the total ordinary shares which are present in person or by proxy at the meeting.</w:t>
      </w:r>
    </w:p>
    <w:p>
      <w:pPr>
        <w:spacing w:after="0" w:line="135" w:lineRule="exact"/>
        <w:rPr>
          <w:sz w:val="20"/>
          <w:szCs w:val="20"/>
          <w:color w:val="auto"/>
        </w:rPr>
      </w:pPr>
    </w:p>
    <w:p>
      <w:pPr>
        <w:ind w:left="1680" w:right="559" w:firstLine="317"/>
        <w:spacing w:after="0" w:line="287" w:lineRule="auto"/>
        <w:rPr>
          <w:sz w:val="20"/>
          <w:szCs w:val="20"/>
          <w:color w:val="auto"/>
        </w:rPr>
      </w:pPr>
      <w:r>
        <w:rPr>
          <w:rFonts w:ascii="Times New Roman" w:cs="Times New Roman" w:eastAsia="Times New Roman" w:hAnsi="Times New Roman"/>
          <w:sz w:val="12"/>
          <w:szCs w:val="12"/>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outstanding ordinary shares at a meeting. A special resolution will be required for important matters such as a change of name or making changes to our memorandum and articles of association. Holders of the ordinary shares may, among other things, divide or combine their shares by ordinary resolution.</w:t>
      </w:r>
    </w:p>
    <w:p>
      <w:pPr>
        <w:spacing w:after="0" w:line="116" w:lineRule="exact"/>
        <w:rPr>
          <w:sz w:val="20"/>
          <w:szCs w:val="20"/>
          <w:color w:val="auto"/>
        </w:rPr>
      </w:pPr>
    </w:p>
    <w:p>
      <w:pPr>
        <w:ind w:left="1680" w:right="559" w:firstLine="317"/>
        <w:spacing w:after="0" w:line="260" w:lineRule="auto"/>
        <w:rPr>
          <w:sz w:val="20"/>
          <w:szCs w:val="20"/>
          <w:color w:val="auto"/>
        </w:rPr>
      </w:pPr>
      <w:r>
        <w:rPr>
          <w:rFonts w:ascii="Times New Roman" w:cs="Times New Roman" w:eastAsia="Times New Roman" w:hAnsi="Times New Roman"/>
          <w:sz w:val="13"/>
          <w:szCs w:val="13"/>
          <w:i w:val="1"/>
          <w:iCs w:val="1"/>
          <w:color w:val="auto"/>
        </w:rPr>
        <w:t>General Meetings of Shareholders</w:t>
      </w:r>
      <w:r>
        <w:rPr>
          <w:rFonts w:ascii="Times New Roman" w:cs="Times New Roman" w:eastAsia="Times New Roman" w:hAnsi="Times New Roman"/>
          <w:sz w:val="13"/>
          <w:szCs w:val="13"/>
          <w:color w:val="auto"/>
        </w:rPr>
        <w:t>. As a Cayman Islands exempted company, we are not obliged by the Companies Act to call shareholders’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annual general meetings. Our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32" w:lineRule="exact"/>
        <w:rPr>
          <w:sz w:val="20"/>
          <w:szCs w:val="20"/>
          <w:color w:val="auto"/>
        </w:rPr>
      </w:pPr>
    </w:p>
    <w:p>
      <w:pPr>
        <w:ind w:left="1680" w:right="639" w:firstLine="317"/>
        <w:spacing w:after="0" w:line="259" w:lineRule="auto"/>
        <w:rPr>
          <w:sz w:val="20"/>
          <w:szCs w:val="20"/>
          <w:color w:val="auto"/>
        </w:rPr>
      </w:pPr>
      <w:r>
        <w:rPr>
          <w:rFonts w:ascii="Times New Roman" w:cs="Times New Roman" w:eastAsia="Times New Roman" w:hAnsi="Times New Roman"/>
          <w:sz w:val="13"/>
          <w:szCs w:val="13"/>
          <w:color w:val="auto"/>
        </w:rPr>
        <w:t>Shareholders’ general meetings may be convened by a majority of our board of directors. Advance notice of at least ten calendar days is required for the convening of our annual general shareholders’ meeting (if any) and any other general meeting of our shareholders. A quorum required for any general meeting of shareholders consists of at least one shareholder present or by proxy, representing not less than one-third of all votes attaching to all of our shares in issue and entitled to vote.</w:t>
      </w:r>
    </w:p>
    <w:p>
      <w:pPr>
        <w:spacing w:after="0" w:line="133" w:lineRule="exact"/>
        <w:rPr>
          <w:sz w:val="20"/>
          <w:szCs w:val="20"/>
          <w:color w:val="auto"/>
        </w:rPr>
      </w:pPr>
    </w:p>
    <w:p>
      <w:pPr>
        <w:ind w:left="1680" w:right="579" w:firstLine="317"/>
        <w:spacing w:after="0" w:line="255" w:lineRule="auto"/>
        <w:rPr>
          <w:sz w:val="20"/>
          <w:szCs w:val="20"/>
          <w:color w:val="auto"/>
        </w:rPr>
      </w:pPr>
      <w:r>
        <w:rPr>
          <w:rFonts w:ascii="Times New Roman" w:cs="Times New Roman" w:eastAsia="Times New Roman" w:hAnsi="Times New Roman"/>
          <w:sz w:val="13"/>
          <w:szCs w:val="13"/>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provide that upon the requisition of shareholders representing in aggregate not less than one-third of the votes attaching to the issued and outstanding shares of our company entitled to vote at general meetings, our board will convene an extraordinary general meeting and put the resolutions so requisitioned to a vote at such meeting. However, our memorandum and articles of association do not provide our shareholders with any right to put any proposals before annual general meetings or extraordinary general meetings not called by such shareholders.</w:t>
      </w:r>
    </w:p>
    <w:p>
      <w:pPr>
        <w:spacing w:after="0" w:line="134" w:lineRule="exact"/>
        <w:rPr>
          <w:sz w:val="20"/>
          <w:szCs w:val="20"/>
          <w:color w:val="auto"/>
        </w:rPr>
      </w:pPr>
    </w:p>
    <w:p>
      <w:pPr>
        <w:ind w:left="1680" w:right="619" w:firstLine="317"/>
        <w:spacing w:after="0" w:line="282" w:lineRule="auto"/>
        <w:rPr>
          <w:sz w:val="20"/>
          <w:szCs w:val="20"/>
          <w:color w:val="auto"/>
        </w:rPr>
      </w:pPr>
      <w:r>
        <w:rPr>
          <w:rFonts w:ascii="Times New Roman" w:cs="Times New Roman" w:eastAsia="Times New Roman" w:hAnsi="Times New Roman"/>
          <w:sz w:val="13"/>
          <w:szCs w:val="13"/>
          <w:i w:val="1"/>
          <w:iCs w:val="1"/>
          <w:color w:val="auto"/>
        </w:rPr>
        <w:t>Transfer of Ordinary Shares</w:t>
      </w:r>
      <w:r>
        <w:rPr>
          <w:rFonts w:ascii="Times New Roman" w:cs="Times New Roman" w:eastAsia="Times New Roman" w:hAnsi="Times New Roman"/>
          <w:sz w:val="13"/>
          <w:szCs w:val="13"/>
          <w:color w:val="auto"/>
        </w:rPr>
        <w:t>. Subject to the restrictions set out below, any of our shareholders may transfer all or any of his or her ordinary shares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by an instrument of transfer in the usual or common form or any other form approved by our board of directors.</w:t>
      </w:r>
    </w:p>
    <w:p>
      <w:pPr>
        <w:spacing w:after="0" w:line="118" w:lineRule="exact"/>
        <w:rPr>
          <w:sz w:val="20"/>
          <w:szCs w:val="20"/>
          <w:color w:val="auto"/>
        </w:rPr>
      </w:pPr>
    </w:p>
    <w:p>
      <w:pPr>
        <w:ind w:left="1680" w:right="639" w:firstLine="317"/>
        <w:spacing w:after="0" w:line="278" w:lineRule="auto"/>
        <w:rPr>
          <w:sz w:val="20"/>
          <w:szCs w:val="20"/>
          <w:color w:val="auto"/>
        </w:rPr>
      </w:pPr>
      <w:r>
        <w:rPr>
          <w:rFonts w:ascii="Times New Roman" w:cs="Times New Roman" w:eastAsia="Times New Roman" w:hAnsi="Times New Roman"/>
          <w:sz w:val="13"/>
          <w:szCs w:val="13"/>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52" w:lineRule="exact"/>
        <w:rPr>
          <w:sz w:val="20"/>
          <w:szCs w:val="20"/>
          <w:color w:val="auto"/>
        </w:rPr>
      </w:pPr>
    </w:p>
    <w:p>
      <w:pPr>
        <w:ind w:left="2380" w:right="959" w:hanging="315"/>
        <w:spacing w:after="0" w:line="278" w:lineRule="auto"/>
        <w:tabs>
          <w:tab w:leader="none" w:pos="238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52"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instrument of transfer is in respect of only one class of ordinary shares;</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instrument of transfer is properly stamped, if required;</w:t>
      </w:r>
    </w:p>
    <w:p>
      <w:pPr>
        <w:spacing w:after="0" w:line="93" w:lineRule="exact"/>
        <w:rPr>
          <w:rFonts w:ascii="Times New Roman" w:cs="Times New Roman" w:eastAsia="Times New Roman" w:hAnsi="Times New Roman"/>
          <w:sz w:val="13"/>
          <w:szCs w:val="13"/>
          <w:color w:val="auto"/>
        </w:rPr>
      </w:pPr>
    </w:p>
    <w:p>
      <w:pPr>
        <w:ind w:left="2380" w:right="679" w:hanging="315"/>
        <w:spacing w:after="0" w:line="278" w:lineRule="auto"/>
        <w:tabs>
          <w:tab w:leader="none" w:pos="238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case of a transfer to joint holders, the number of joint holders to whom the ordinary share is to be transferred does not exceed four; and</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140</w:t>
      </w:r>
    </w:p>
    <w:p>
      <w:pPr>
        <w:sectPr>
          <w:pgSz w:w="11900" w:h="16838" w:orient="portrait"/>
          <w:cols w:equalWidth="0" w:num="1">
            <w:col w:w="10159"/>
          </w:cols>
          <w:pgMar w:left="300" w:top="388" w:right="1440"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2380" w:right="619" w:hanging="315"/>
        <w:spacing w:after="0" w:line="278" w:lineRule="auto"/>
        <w:tabs>
          <w:tab w:leader="none" w:pos="238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fee of such maximum sum as the Nasdaq Global Market may determine to be payable or such lesser sum as our directors may from time to time require is paid to us in respect thereof.</w:t>
      </w:r>
    </w:p>
    <w:p>
      <w:pPr>
        <w:spacing w:after="0" w:line="121" w:lineRule="exact"/>
        <w:rPr>
          <w:sz w:val="20"/>
          <w:szCs w:val="20"/>
          <w:color w:val="auto"/>
        </w:rPr>
      </w:pPr>
    </w:p>
    <w:p>
      <w:pPr>
        <w:ind w:left="1680" w:right="719" w:firstLine="317"/>
        <w:spacing w:after="0" w:line="278" w:lineRule="auto"/>
        <w:rPr>
          <w:sz w:val="20"/>
          <w:szCs w:val="20"/>
          <w:color w:val="auto"/>
        </w:rPr>
      </w:pPr>
      <w:r>
        <w:rPr>
          <w:rFonts w:ascii="Times New Roman" w:cs="Times New Roman" w:eastAsia="Times New Roman" w:hAnsi="Times New Roman"/>
          <w:sz w:val="13"/>
          <w:szCs w:val="13"/>
          <w:color w:val="auto"/>
        </w:rPr>
        <w:t>If our directors refuse to register a transfer they shall, within three months after the date on which the instrument of transfer was lodged, send to each of the transferor and the transferee notice of such refusal.</w:t>
      </w:r>
    </w:p>
    <w:p>
      <w:pPr>
        <w:spacing w:after="0" w:line="121" w:lineRule="exact"/>
        <w:rPr>
          <w:sz w:val="20"/>
          <w:szCs w:val="20"/>
          <w:color w:val="auto"/>
        </w:rPr>
      </w:pPr>
    </w:p>
    <w:p>
      <w:pPr>
        <w:jc w:val="both"/>
        <w:ind w:left="1680" w:right="599" w:firstLine="317"/>
        <w:spacing w:after="0" w:line="264" w:lineRule="auto"/>
        <w:rPr>
          <w:sz w:val="20"/>
          <w:szCs w:val="20"/>
          <w:color w:val="auto"/>
        </w:rPr>
      </w:pPr>
      <w:r>
        <w:rPr>
          <w:rFonts w:ascii="Times New Roman" w:cs="Times New Roman" w:eastAsia="Times New Roman" w:hAnsi="Times New Roman"/>
          <w:sz w:val="13"/>
          <w:szCs w:val="13"/>
          <w:color w:val="auto"/>
        </w:rPr>
        <w:t>The registration of transfers may, after compliance with any notice required of the Nasdaq Global Market, be suspended and the register closed at such times and for such periods as our board of directors may from time to time determine, provided, however, that the registration of transfers shall not be suspended nor the register closed for more than 30 days in any year.</w:t>
      </w:r>
    </w:p>
    <w:p>
      <w:pPr>
        <w:spacing w:after="0" w:line="127" w:lineRule="exact"/>
        <w:rPr>
          <w:sz w:val="20"/>
          <w:szCs w:val="20"/>
          <w:color w:val="auto"/>
        </w:rPr>
      </w:pPr>
    </w:p>
    <w:p>
      <w:pPr>
        <w:ind w:left="1680" w:right="639" w:firstLine="317"/>
        <w:spacing w:after="0" w:line="256" w:lineRule="auto"/>
        <w:rPr>
          <w:sz w:val="20"/>
          <w:szCs w:val="20"/>
          <w:color w:val="auto"/>
        </w:rPr>
      </w:pPr>
      <w:r>
        <w:rPr>
          <w:rFonts w:ascii="Times New Roman" w:cs="Times New Roman" w:eastAsia="Times New Roman" w:hAnsi="Times New Roman"/>
          <w:sz w:val="13"/>
          <w:szCs w:val="13"/>
          <w:i w:val="1"/>
          <w:iCs w:val="1"/>
          <w:color w:val="auto"/>
        </w:rPr>
        <w:t>Liquidation</w:t>
      </w:r>
      <w:r>
        <w:rPr>
          <w:rFonts w:ascii="Times New Roman" w:cs="Times New Roman" w:eastAsia="Times New Roman" w:hAnsi="Times New Roman"/>
          <w:sz w:val="13"/>
          <w:szCs w:val="13"/>
          <w:color w:val="auto"/>
        </w:rPr>
        <w:t>. On the winding up of our company, if the assets available for distribution amongst our shareholders shall be more than sufficient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the whole of the share capital, the assets will be distributed so that the losses are borne by our shareholders in proportion to the par value of the shares held by them.</w:t>
      </w:r>
    </w:p>
    <w:p>
      <w:pPr>
        <w:spacing w:after="0" w:line="133" w:lineRule="exact"/>
        <w:rPr>
          <w:sz w:val="20"/>
          <w:szCs w:val="20"/>
          <w:color w:val="auto"/>
        </w:rPr>
      </w:pPr>
    </w:p>
    <w:p>
      <w:pPr>
        <w:ind w:left="1680" w:right="639" w:firstLine="317"/>
        <w:spacing w:after="0" w:line="265" w:lineRule="auto"/>
        <w:rPr>
          <w:sz w:val="20"/>
          <w:szCs w:val="20"/>
          <w:color w:val="auto"/>
        </w:rPr>
      </w:pPr>
      <w:r>
        <w:rPr>
          <w:rFonts w:ascii="Times New Roman" w:cs="Times New Roman" w:eastAsia="Times New Roman" w:hAnsi="Times New Roman"/>
          <w:sz w:val="13"/>
          <w:szCs w:val="13"/>
          <w:i w:val="1"/>
          <w:iCs w:val="1"/>
          <w:color w:val="auto"/>
        </w:rPr>
        <w:t>Calls on Shares and Forfeiture of Shares</w:t>
      </w:r>
      <w:r>
        <w:rPr>
          <w:rFonts w:ascii="Times New Roman" w:cs="Times New Roman" w:eastAsia="Times New Roman" w:hAnsi="Times New Roman"/>
          <w:sz w:val="13"/>
          <w:szCs w:val="13"/>
          <w:color w:val="auto"/>
        </w:rPr>
        <w:t>. Our board of directors may from time to time make calls upon shareholders for any amounts unpaid 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their shares in a notice served to such shareholders at least 14 days prior to the specified time and place of payment. The shares that have been called upon and remain unpaid are subject to forfeiture.</w:t>
      </w:r>
    </w:p>
    <w:p>
      <w:pPr>
        <w:spacing w:after="0" w:line="127" w:lineRule="exact"/>
        <w:rPr>
          <w:sz w:val="20"/>
          <w:szCs w:val="20"/>
          <w:color w:val="auto"/>
        </w:rPr>
      </w:pPr>
    </w:p>
    <w:p>
      <w:pPr>
        <w:ind w:left="1680" w:right="559" w:firstLine="317"/>
        <w:spacing w:after="0" w:line="253" w:lineRule="auto"/>
        <w:rPr>
          <w:sz w:val="20"/>
          <w:szCs w:val="20"/>
          <w:color w:val="auto"/>
        </w:rPr>
      </w:pPr>
      <w:r>
        <w:rPr>
          <w:rFonts w:ascii="Times New Roman" w:cs="Times New Roman" w:eastAsia="Times New Roman" w:hAnsi="Times New Roman"/>
          <w:sz w:val="13"/>
          <w:szCs w:val="13"/>
          <w:i w:val="1"/>
          <w:iCs w:val="1"/>
          <w:color w:val="auto"/>
        </w:rPr>
        <w:t>Redemption, Repurchase and Surrender of Shares</w:t>
      </w:r>
      <w:r>
        <w:rPr>
          <w:rFonts w:ascii="Times New Roman" w:cs="Times New Roman" w:eastAsia="Times New Roman" w:hAnsi="Times New Roman"/>
          <w:sz w:val="13"/>
          <w:szCs w:val="13"/>
          <w:color w:val="auto"/>
        </w:rPr>
        <w:t>. We may issue shares on terms that such shares are subject to redemption, at our option or at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option of the holders of these shares, on such terms and in such manner as may be determined by our board of directors. Our Company may also repurchase any of our shares on such terms and in such manner as have been approved by our board of directors or by an ordinary resolution of our shareholders.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38" w:lineRule="exact"/>
        <w:rPr>
          <w:sz w:val="20"/>
          <w:szCs w:val="20"/>
          <w:color w:val="auto"/>
        </w:rPr>
      </w:pPr>
    </w:p>
    <w:p>
      <w:pPr>
        <w:ind w:left="1680" w:right="599" w:firstLine="317"/>
        <w:spacing w:after="0" w:line="254" w:lineRule="auto"/>
        <w:rPr>
          <w:sz w:val="20"/>
          <w:szCs w:val="20"/>
          <w:color w:val="auto"/>
        </w:rPr>
      </w:pPr>
      <w:r>
        <w:rPr>
          <w:rFonts w:ascii="Times New Roman" w:cs="Times New Roman" w:eastAsia="Times New Roman" w:hAnsi="Times New Roman"/>
          <w:sz w:val="13"/>
          <w:szCs w:val="13"/>
          <w:i w:val="1"/>
          <w:iCs w:val="1"/>
          <w:color w:val="auto"/>
        </w:rPr>
        <w:t>Variations of Rights of Shares</w:t>
      </w:r>
      <w:r>
        <w:rPr>
          <w:rFonts w:ascii="Times New Roman" w:cs="Times New Roman" w:eastAsia="Times New Roman" w:hAnsi="Times New Roman"/>
          <w:sz w:val="13"/>
          <w:szCs w:val="13"/>
          <w:color w:val="auto"/>
        </w:rPr>
        <w:t>. If at any time, our share capital is divided into different classes of shares, the rights attached to any class of shares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(unless otherwise subject to any rights or restrictions for the time being attached to any class), may only be materially adversely varied with the consent in writing of the holders of two-thirds of the issued shares of that class or with the sanction of a special resolution passed at a separate meeting of the holders of the shares of the class. The rights conferred upon the holders of the shares of any class issued with preferred or other rights shall not, subject to any rights or restrictions for the time being attached to the shares of that class, be deemed to be materially adversely varied by, </w:t>
      </w:r>
      <w:r>
        <w:rPr>
          <w:rFonts w:ascii="Times New Roman" w:cs="Times New Roman" w:eastAsia="Times New Roman" w:hAnsi="Times New Roman"/>
          <w:sz w:val="13"/>
          <w:szCs w:val="13"/>
          <w:i w:val="1"/>
          <w:iCs w:val="1"/>
          <w:color w:val="auto"/>
        </w:rPr>
        <w:t>inter alia</w:t>
      </w:r>
      <w:r>
        <w:rPr>
          <w:rFonts w:ascii="Times New Roman" w:cs="Times New Roman" w:eastAsia="Times New Roman" w:hAnsi="Times New Roman"/>
          <w:sz w:val="13"/>
          <w:szCs w:val="13"/>
          <w:color w:val="auto"/>
        </w:rPr>
        <w:t xml:space="preserve">, the creation or issue of further shares ranking </w:t>
      </w:r>
      <w:r>
        <w:rPr>
          <w:rFonts w:ascii="Times New Roman" w:cs="Times New Roman" w:eastAsia="Times New Roman" w:hAnsi="Times New Roman"/>
          <w:sz w:val="13"/>
          <w:szCs w:val="13"/>
          <w:i w:val="1"/>
          <w:iCs w:val="1"/>
          <w:color w:val="auto"/>
        </w:rPr>
        <w:t>pari passu</w:t>
      </w:r>
      <w:r>
        <w:rPr>
          <w:rFonts w:ascii="Times New Roman" w:cs="Times New Roman" w:eastAsia="Times New Roman" w:hAnsi="Times New Roman"/>
          <w:sz w:val="13"/>
          <w:szCs w:val="13"/>
          <w:color w:val="auto"/>
        </w:rPr>
        <w:t xml:space="preserve"> with or subsequent to such existing class of shares or the redemption or purchase of any shares of any class by our company. Further, the rights the holders of shares shall not be deemed to be materially adversely varied by the creation or issue of shares with preferred or other rights including, without limitation, the creation of shares with enhanced or weighted voting rights.</w:t>
      </w:r>
    </w:p>
    <w:p>
      <w:pPr>
        <w:spacing w:after="0" w:line="135" w:lineRule="exact"/>
        <w:rPr>
          <w:sz w:val="20"/>
          <w:szCs w:val="20"/>
          <w:color w:val="auto"/>
        </w:rPr>
      </w:pPr>
    </w:p>
    <w:p>
      <w:pPr>
        <w:ind w:left="1680" w:right="739" w:firstLine="317"/>
        <w:spacing w:after="0" w:line="282" w:lineRule="auto"/>
        <w:rPr>
          <w:sz w:val="20"/>
          <w:szCs w:val="20"/>
          <w:color w:val="auto"/>
        </w:rPr>
      </w:pPr>
      <w:r>
        <w:rPr>
          <w:rFonts w:ascii="Times New Roman" w:cs="Times New Roman" w:eastAsia="Times New Roman" w:hAnsi="Times New Roman"/>
          <w:sz w:val="13"/>
          <w:szCs w:val="13"/>
          <w:i w:val="1"/>
          <w:iCs w:val="1"/>
          <w:color w:val="auto"/>
        </w:rPr>
        <w:t>Issuance of Additional Shares</w:t>
      </w:r>
      <w:r>
        <w:rPr>
          <w:rFonts w:ascii="Times New Roman" w:cs="Times New Roman" w:eastAsia="Times New Roman" w:hAnsi="Times New Roman"/>
          <w:sz w:val="13"/>
          <w:szCs w:val="13"/>
          <w:color w:val="auto"/>
        </w:rPr>
        <w:t>. Our memorandum and articles of association authorize our board of directors to issue additional ordinary shares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from time to time as our board of directors shall determine, to the extent of available authorized but unissued shares.</w:t>
      </w:r>
    </w:p>
    <w:p>
      <w:pPr>
        <w:spacing w:after="0" w:line="118" w:lineRule="exact"/>
        <w:rPr>
          <w:sz w:val="20"/>
          <w:szCs w:val="20"/>
          <w:color w:val="auto"/>
        </w:rPr>
      </w:pPr>
    </w:p>
    <w:p>
      <w:pPr>
        <w:ind w:left="1680" w:right="659" w:firstLine="317"/>
        <w:spacing w:after="0" w:line="278" w:lineRule="auto"/>
        <w:rPr>
          <w:sz w:val="20"/>
          <w:szCs w:val="20"/>
          <w:color w:val="auto"/>
        </w:rPr>
      </w:pPr>
      <w:r>
        <w:rPr>
          <w:rFonts w:ascii="Times New Roman" w:cs="Times New Roman" w:eastAsia="Times New Roman" w:hAnsi="Times New Roman"/>
          <w:sz w:val="13"/>
          <w:szCs w:val="13"/>
          <w:color w:val="auto"/>
        </w:rPr>
        <w:t>Our memorandum and articles of association also authorize our board of directors to establish from time to time one or more series of preference shares and to determine, with respect to any series of preference shares, the terms and rights of that series, including:</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141</w:t>
      </w:r>
    </w:p>
    <w:p>
      <w:pPr>
        <w:sectPr>
          <w:pgSz w:w="11900" w:h="16838" w:orient="portrait"/>
          <w:cols w:equalWidth="0" w:num="1">
            <w:col w:w="10159"/>
          </w:cols>
          <w:pgMar w:left="300" w:top="388" w:right="1440"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2380" w:hanging="315"/>
        <w:spacing w:after="0"/>
        <w:tabs>
          <w:tab w:leader="none" w:pos="238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designation of the series;</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shares of the series;</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dividend rights, dividend rates, conversion rights, voting rights; and</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and terms of redemption and liquidation preferences.</w:t>
      </w:r>
    </w:p>
    <w:p>
      <w:pPr>
        <w:spacing w:after="0" w:line="162" w:lineRule="exact"/>
        <w:rPr>
          <w:sz w:val="20"/>
          <w:szCs w:val="20"/>
          <w:color w:val="auto"/>
        </w:rPr>
      </w:pPr>
    </w:p>
    <w:p>
      <w:pPr>
        <w:ind w:left="1680" w:right="799" w:firstLine="317"/>
        <w:spacing w:after="0" w:line="278" w:lineRule="auto"/>
        <w:rPr>
          <w:sz w:val="20"/>
          <w:szCs w:val="20"/>
          <w:color w:val="auto"/>
        </w:rPr>
      </w:pPr>
      <w:r>
        <w:rPr>
          <w:rFonts w:ascii="Times New Roman" w:cs="Times New Roman" w:eastAsia="Times New Roman" w:hAnsi="Times New Roman"/>
          <w:sz w:val="13"/>
          <w:szCs w:val="13"/>
          <w:color w:val="auto"/>
        </w:rPr>
        <w:t>Our board of directors may issue preference shares without action by our shareholders to the extent authorized but unissued. Issuance of these shares may dilute the voting power of holders of ordinary shares.</w:t>
      </w:r>
    </w:p>
    <w:p>
      <w:pPr>
        <w:spacing w:after="0" w:line="119" w:lineRule="exact"/>
        <w:rPr>
          <w:sz w:val="20"/>
          <w:szCs w:val="20"/>
          <w:color w:val="auto"/>
        </w:rPr>
      </w:pPr>
    </w:p>
    <w:p>
      <w:pPr>
        <w:ind w:left="1680" w:right="579" w:firstLine="317"/>
        <w:spacing w:after="0" w:line="260" w:lineRule="auto"/>
        <w:rPr>
          <w:sz w:val="20"/>
          <w:szCs w:val="20"/>
          <w:color w:val="auto"/>
        </w:rPr>
      </w:pPr>
      <w:r>
        <w:rPr>
          <w:rFonts w:ascii="Times New Roman" w:cs="Times New Roman" w:eastAsia="Times New Roman" w:hAnsi="Times New Roman"/>
          <w:sz w:val="13"/>
          <w:szCs w:val="13"/>
          <w:i w:val="1"/>
          <w:iCs w:val="1"/>
          <w:color w:val="auto"/>
        </w:rPr>
        <w:t>Inspection of Books and Records</w:t>
      </w:r>
      <w:r>
        <w:rPr>
          <w:rFonts w:ascii="Times New Roman" w:cs="Times New Roman" w:eastAsia="Times New Roman" w:hAnsi="Times New Roman"/>
          <w:sz w:val="13"/>
          <w:szCs w:val="13"/>
          <w:color w:val="auto"/>
        </w:rPr>
        <w:t>. Holders of our ordinary shares will have no general right under Cayman Islands law to inspect or obtain copies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 our list of shareholders or our corporate records (except for the memorandum and articles of association, our register of mortgages and charges and special resolutions of our shareholders). However, we will provide our shareholders with annual audited financial statements. See “Where You Can Find Additional Information.”</w:t>
      </w:r>
    </w:p>
    <w:p>
      <w:pPr>
        <w:spacing w:after="0" w:line="130" w:lineRule="exact"/>
        <w:rPr>
          <w:sz w:val="20"/>
          <w:szCs w:val="20"/>
          <w:color w:val="auto"/>
        </w:rPr>
      </w:pPr>
    </w:p>
    <w:p>
      <w:pPr>
        <w:ind w:left="1680" w:right="659" w:firstLine="317"/>
        <w:spacing w:after="0" w:line="282" w:lineRule="auto"/>
        <w:rPr>
          <w:sz w:val="20"/>
          <w:szCs w:val="20"/>
          <w:color w:val="auto"/>
        </w:rPr>
      </w:pPr>
      <w:r>
        <w:rPr>
          <w:rFonts w:ascii="Times New Roman" w:cs="Times New Roman" w:eastAsia="Times New Roman" w:hAnsi="Times New Roman"/>
          <w:sz w:val="13"/>
          <w:szCs w:val="13"/>
          <w:i w:val="1"/>
          <w:iCs w:val="1"/>
          <w:color w:val="auto"/>
        </w:rPr>
        <w:t>Anti-Takeover Provisions</w:t>
      </w:r>
      <w:r>
        <w:rPr>
          <w:rFonts w:ascii="Times New Roman" w:cs="Times New Roman" w:eastAsia="Times New Roman" w:hAnsi="Times New Roman"/>
          <w:sz w:val="13"/>
          <w:szCs w:val="13"/>
          <w:color w:val="auto"/>
        </w:rPr>
        <w:t>. Some provisions of our memorandum and articles of association may discourage, delay or prevent a change of control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 our company or management that shareholders may consider favorable, including provisions that:</w:t>
      </w:r>
    </w:p>
    <w:p>
      <w:pPr>
        <w:spacing w:after="0" w:line="49" w:lineRule="exact"/>
        <w:rPr>
          <w:sz w:val="20"/>
          <w:szCs w:val="20"/>
          <w:color w:val="auto"/>
        </w:rPr>
      </w:pPr>
    </w:p>
    <w:p>
      <w:pPr>
        <w:ind w:left="2380" w:right="699" w:hanging="315"/>
        <w:spacing w:after="0" w:line="278" w:lineRule="auto"/>
        <w:tabs>
          <w:tab w:leader="none" w:pos="238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52"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limit the ability of shareholders to requisition and convene general meetings of shareholders.</w:t>
      </w:r>
    </w:p>
    <w:p>
      <w:pPr>
        <w:spacing w:after="0" w:line="162" w:lineRule="exact"/>
        <w:rPr>
          <w:sz w:val="20"/>
          <w:szCs w:val="20"/>
          <w:color w:val="auto"/>
        </w:rPr>
      </w:pPr>
    </w:p>
    <w:p>
      <w:pPr>
        <w:ind w:left="1680" w:right="659" w:firstLine="317"/>
        <w:spacing w:after="0" w:line="278" w:lineRule="auto"/>
        <w:rPr>
          <w:sz w:val="20"/>
          <w:szCs w:val="20"/>
          <w:color w:val="auto"/>
        </w:rPr>
      </w:pPr>
      <w:r>
        <w:rPr>
          <w:rFonts w:ascii="Times New Roman" w:cs="Times New Roman" w:eastAsia="Times New Roman" w:hAnsi="Times New Roman"/>
          <w:sz w:val="13"/>
          <w:szCs w:val="13"/>
          <w:color w:val="auto"/>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spacing w:after="0" w:line="119" w:lineRule="exact"/>
        <w:rPr>
          <w:sz w:val="20"/>
          <w:szCs w:val="20"/>
          <w:color w:val="auto"/>
        </w:rPr>
      </w:pPr>
    </w:p>
    <w:p>
      <w:pPr>
        <w:ind w:left="1680" w:right="619" w:firstLine="317"/>
        <w:spacing w:after="0" w:line="260" w:lineRule="auto"/>
        <w:rPr>
          <w:sz w:val="20"/>
          <w:szCs w:val="20"/>
          <w:color w:val="auto"/>
        </w:rPr>
      </w:pPr>
      <w:r>
        <w:rPr>
          <w:rFonts w:ascii="Times New Roman" w:cs="Times New Roman" w:eastAsia="Times New Roman" w:hAnsi="Times New Roman"/>
          <w:sz w:val="13"/>
          <w:szCs w:val="13"/>
          <w:i w:val="1"/>
          <w:iCs w:val="1"/>
          <w:color w:val="auto"/>
        </w:rPr>
        <w:t>Exempted Company</w:t>
      </w:r>
      <w:r>
        <w:rPr>
          <w:rFonts w:ascii="Times New Roman" w:cs="Times New Roman" w:eastAsia="Times New Roman" w:hAnsi="Times New Roman"/>
          <w:sz w:val="13"/>
          <w:szCs w:val="13"/>
          <w:color w:val="auto"/>
        </w:rPr>
        <w:t>. We are an exempted company with limited liability under the Companies Act. The Companies Act distinguishes between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64" w:lineRule="exact"/>
        <w:rPr>
          <w:sz w:val="20"/>
          <w:szCs w:val="20"/>
          <w:color w:val="auto"/>
        </w:rPr>
      </w:pPr>
    </w:p>
    <w:p>
      <w:pPr>
        <w:ind w:left="2380" w:hanging="315"/>
        <w:spacing w:after="0"/>
        <w:tabs>
          <w:tab w:leader="none" w:pos="238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does not have to file an annual return of its shareholders with the Registrar of Companies;</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not required to open its register of members for inspection;</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does not have to hold an annual general meeting;</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may issue negotiable or bearer shares or shares with no par value;</w:t>
      </w:r>
    </w:p>
    <w:p>
      <w:pPr>
        <w:spacing w:after="0" w:line="93" w:lineRule="exact"/>
        <w:rPr>
          <w:rFonts w:ascii="Times New Roman" w:cs="Times New Roman" w:eastAsia="Times New Roman" w:hAnsi="Times New Roman"/>
          <w:sz w:val="13"/>
          <w:szCs w:val="13"/>
          <w:color w:val="auto"/>
        </w:rPr>
      </w:pPr>
    </w:p>
    <w:p>
      <w:pPr>
        <w:ind w:left="2380" w:right="919" w:hanging="315"/>
        <w:spacing w:after="0" w:line="278" w:lineRule="auto"/>
        <w:tabs>
          <w:tab w:leader="none" w:pos="238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may obtain an undertaking against the imposition of any future taxation (such undertakings are usually given for 20 years in the first instance);</w:t>
      </w:r>
    </w:p>
    <w:p>
      <w:pPr>
        <w:spacing w:after="0" w:line="52"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may register by way of continuation in another jurisdiction and be deregistered in the Cayman Islands;</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may register as a limited duration company; and</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may register as a segregated portfolio company.</w:t>
      </w:r>
    </w:p>
    <w:p>
      <w:pPr>
        <w:spacing w:after="0" w:line="11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142</w:t>
      </w:r>
    </w:p>
    <w:p>
      <w:pPr>
        <w:sectPr>
          <w:pgSz w:w="11900" w:h="16838" w:orient="portrait"/>
          <w:cols w:equalWidth="0" w:num="1">
            <w:col w:w="10159"/>
          </w:cols>
          <w:pgMar w:left="300" w:top="388" w:right="1440"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jc w:val="both"/>
        <w:ind w:left="1680" w:right="759" w:firstLine="317"/>
        <w:spacing w:after="0" w:line="264" w:lineRule="auto"/>
        <w:rPr>
          <w:sz w:val="20"/>
          <w:szCs w:val="20"/>
          <w:color w:val="auto"/>
        </w:rPr>
      </w:pPr>
      <w:r>
        <w:rPr>
          <w:rFonts w:ascii="Times New Roman" w:cs="Times New Roman" w:eastAsia="Times New Roman" w:hAnsi="Times New Roman"/>
          <w:sz w:val="13"/>
          <w:szCs w:val="13"/>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20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Differences in Corporate Law</w:t>
      </w:r>
    </w:p>
    <w:p>
      <w:pPr>
        <w:spacing w:after="0" w:line="88" w:lineRule="exact"/>
        <w:rPr>
          <w:sz w:val="20"/>
          <w:szCs w:val="20"/>
          <w:color w:val="auto"/>
        </w:rPr>
      </w:pPr>
    </w:p>
    <w:p>
      <w:pPr>
        <w:ind w:left="1680" w:right="639" w:firstLine="317"/>
        <w:spacing w:after="0" w:line="257" w:lineRule="auto"/>
        <w:rPr>
          <w:sz w:val="20"/>
          <w:szCs w:val="20"/>
          <w:color w:val="auto"/>
        </w:rPr>
      </w:pPr>
      <w:r>
        <w:rPr>
          <w:rFonts w:ascii="Times New Roman" w:cs="Times New Roman" w:eastAsia="Times New Roman" w:hAnsi="Times New Roman"/>
          <w:sz w:val="13"/>
          <w:szCs w:val="13"/>
          <w:color w:val="auto"/>
        </w:rPr>
        <w:t>The Companies Act is derived, to a large extent, from the older Companies Acts of England but does not follow recent English statutory enactments and accordingly there are significant differences between the Companies Act and the current Companies Act of England. In addition, the Companies Act differs from laws applicable to U.S. corporations and their shareholders. Set forth below is a summary of certain significant differences between the provisions of the Companies Act applicable to us and the laws applicable to companies incorporated in the United States and their shareholders.</w:t>
      </w:r>
    </w:p>
    <w:p>
      <w:pPr>
        <w:spacing w:after="0" w:line="131" w:lineRule="exact"/>
        <w:rPr>
          <w:sz w:val="20"/>
          <w:szCs w:val="20"/>
          <w:color w:val="auto"/>
        </w:rPr>
      </w:pPr>
    </w:p>
    <w:p>
      <w:pPr>
        <w:ind w:left="1680" w:right="559" w:firstLine="317"/>
        <w:spacing w:after="0" w:line="274" w:lineRule="auto"/>
        <w:rPr>
          <w:sz w:val="20"/>
          <w:szCs w:val="20"/>
          <w:color w:val="auto"/>
        </w:rPr>
      </w:pPr>
      <w:r>
        <w:rPr>
          <w:rFonts w:ascii="Times New Roman" w:cs="Times New Roman" w:eastAsia="Times New Roman" w:hAnsi="Times New Roman"/>
          <w:sz w:val="12"/>
          <w:szCs w:val="12"/>
          <w:i w:val="1"/>
          <w:iCs w:val="1"/>
          <w:color w:val="auto"/>
        </w:rPr>
        <w:t>Mergers and Similar Arrangements</w:t>
      </w:r>
      <w:r>
        <w:rPr>
          <w:rFonts w:ascii="Times New Roman" w:cs="Times New Roman" w:eastAsia="Times New Roman" w:hAnsi="Times New Roman"/>
          <w:sz w:val="12"/>
          <w:szCs w:val="12"/>
          <w:color w:val="auto"/>
        </w:rPr>
        <w:t>. The Companies Act permits mergers and consolidations between Cayman Islands companies and between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Cayman 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w:t>
      </w:r>
    </w:p>
    <w:p>
      <w:pPr>
        <w:spacing w:after="0" w:line="2" w:lineRule="exact"/>
        <w:rPr>
          <w:sz w:val="20"/>
          <w:szCs w:val="20"/>
          <w:color w:val="auto"/>
        </w:rPr>
      </w:pPr>
    </w:p>
    <w:p>
      <w:pPr>
        <w:ind w:left="1680" w:right="619" w:hanging="4"/>
        <w:spacing w:after="0" w:line="251" w:lineRule="auto"/>
        <w:tabs>
          <w:tab w:leader="none" w:pos="1864"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39" w:lineRule="exact"/>
        <w:rPr>
          <w:sz w:val="20"/>
          <w:szCs w:val="20"/>
          <w:color w:val="auto"/>
        </w:rPr>
      </w:pPr>
    </w:p>
    <w:p>
      <w:pPr>
        <w:ind w:left="1680" w:right="779" w:firstLine="317"/>
        <w:spacing w:after="0" w:line="259" w:lineRule="auto"/>
        <w:rPr>
          <w:sz w:val="20"/>
          <w:szCs w:val="20"/>
          <w:color w:val="auto"/>
        </w:rPr>
      </w:pPr>
      <w:r>
        <w:rPr>
          <w:rFonts w:ascii="Times New Roman" w:cs="Times New Roman" w:eastAsia="Times New Roman" w:hAnsi="Times New Roman"/>
          <w:sz w:val="13"/>
          <w:szCs w:val="13"/>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33" w:lineRule="exact"/>
        <w:rPr>
          <w:sz w:val="20"/>
          <w:szCs w:val="20"/>
          <w:color w:val="auto"/>
        </w:rPr>
      </w:pPr>
    </w:p>
    <w:p>
      <w:pPr>
        <w:ind w:left="1680" w:right="739" w:firstLine="317"/>
        <w:spacing w:after="0" w:line="278" w:lineRule="auto"/>
        <w:rPr>
          <w:sz w:val="20"/>
          <w:szCs w:val="20"/>
          <w:color w:val="auto"/>
        </w:rPr>
      </w:pPr>
      <w:r>
        <w:rPr>
          <w:rFonts w:ascii="Times New Roman" w:cs="Times New Roman" w:eastAsia="Times New Roman" w:hAnsi="Times New Roman"/>
          <w:sz w:val="13"/>
          <w:szCs w:val="13"/>
          <w:color w:val="auto"/>
        </w:rPr>
        <w:t>The consent of each holder of a fixed or floating security interest over a constituent company is required unless this requirement is waived by a court in the Cayman Islands.</w:t>
      </w:r>
    </w:p>
    <w:p>
      <w:pPr>
        <w:spacing w:after="0" w:line="121" w:lineRule="exact"/>
        <w:rPr>
          <w:sz w:val="20"/>
          <w:szCs w:val="20"/>
          <w:color w:val="auto"/>
        </w:rPr>
      </w:pPr>
    </w:p>
    <w:p>
      <w:pPr>
        <w:ind w:left="1680" w:right="559" w:firstLine="317"/>
        <w:spacing w:after="0" w:line="257" w:lineRule="auto"/>
        <w:rPr>
          <w:sz w:val="20"/>
          <w:szCs w:val="20"/>
          <w:color w:val="auto"/>
        </w:rPr>
      </w:pPr>
      <w:r>
        <w:rPr>
          <w:rFonts w:ascii="Times New Roman" w:cs="Times New Roman" w:eastAsia="Times New Roman" w:hAnsi="Times New Roman"/>
          <w:sz w:val="13"/>
          <w:szCs w:val="13"/>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that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33" w:lineRule="exact"/>
        <w:rPr>
          <w:sz w:val="20"/>
          <w:szCs w:val="20"/>
          <w:color w:val="auto"/>
        </w:rPr>
      </w:pPr>
    </w:p>
    <w:p>
      <w:pPr>
        <w:ind w:left="1680" w:right="619" w:firstLine="317"/>
        <w:spacing w:after="0" w:line="254" w:lineRule="auto"/>
        <w:rPr>
          <w:sz w:val="20"/>
          <w:szCs w:val="20"/>
          <w:color w:val="auto"/>
        </w:rPr>
      </w:pPr>
      <w:r>
        <w:rPr>
          <w:rFonts w:ascii="Times New Roman" w:cs="Times New Roman" w:eastAsia="Times New Roman" w:hAnsi="Times New Roman"/>
          <w:sz w:val="13"/>
          <w:szCs w:val="13"/>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143</w:t>
      </w:r>
    </w:p>
    <w:p>
      <w:pPr>
        <w:sectPr>
          <w:pgSz w:w="11900" w:h="16838" w:orient="portrait"/>
          <w:cols w:equalWidth="0" w:num="1">
            <w:col w:w="10159"/>
          </w:cols>
          <w:pgMar w:left="300" w:top="388" w:right="1440"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2380" w:hanging="315"/>
        <w:spacing w:after="0"/>
        <w:tabs>
          <w:tab w:leader="none" w:pos="238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statutory provisions as to the required majority vote have been met;</w:t>
      </w:r>
    </w:p>
    <w:p>
      <w:pPr>
        <w:spacing w:after="0" w:line="93" w:lineRule="exact"/>
        <w:rPr>
          <w:rFonts w:ascii="Times New Roman" w:cs="Times New Roman" w:eastAsia="Times New Roman" w:hAnsi="Times New Roman"/>
          <w:sz w:val="13"/>
          <w:szCs w:val="13"/>
          <w:color w:val="auto"/>
        </w:rPr>
      </w:pPr>
    </w:p>
    <w:p>
      <w:pPr>
        <w:ind w:left="2380" w:right="599" w:hanging="315"/>
        <w:spacing w:after="0" w:line="278" w:lineRule="auto"/>
        <w:tabs>
          <w:tab w:leader="none" w:pos="238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shareholders have been fairly represented at the meeting in question and the statutory majority are acting bona fide without coercion of the minority to promote interests adverse to those of the class;</w:t>
      </w:r>
    </w:p>
    <w:p>
      <w:pPr>
        <w:spacing w:after="0" w:line="52"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arrangement is such that may be reasonably approved by an intelligent and honest man of that class acting in respect of his interest; and</w:t>
      </w:r>
    </w:p>
    <w:p>
      <w:pPr>
        <w:spacing w:after="0" w:line="105" w:lineRule="exact"/>
        <w:rPr>
          <w:rFonts w:ascii="Times New Roman" w:cs="Times New Roman" w:eastAsia="Times New Roman" w:hAnsi="Times New Roman"/>
          <w:sz w:val="12"/>
          <w:szCs w:val="12"/>
          <w:color w:val="auto"/>
        </w:rPr>
      </w:pPr>
    </w:p>
    <w:p>
      <w:pPr>
        <w:ind w:left="2380" w:hanging="315"/>
        <w:spacing w:after="0"/>
        <w:tabs>
          <w:tab w:leader="none" w:pos="238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arrangement is not one that would more properly be sanctioned under some other provision of the Companies Act.</w:t>
      </w:r>
    </w:p>
    <w:p>
      <w:pPr>
        <w:spacing w:after="0" w:line="162" w:lineRule="exact"/>
        <w:rPr>
          <w:sz w:val="20"/>
          <w:szCs w:val="20"/>
          <w:color w:val="auto"/>
        </w:rPr>
      </w:pPr>
    </w:p>
    <w:p>
      <w:pPr>
        <w:ind w:left="1680" w:right="619" w:firstLine="317"/>
        <w:spacing w:after="0" w:line="257" w:lineRule="auto"/>
        <w:rPr>
          <w:sz w:val="20"/>
          <w:szCs w:val="20"/>
          <w:color w:val="auto"/>
        </w:rPr>
      </w:pPr>
      <w:r>
        <w:rPr>
          <w:rFonts w:ascii="Times New Roman" w:cs="Times New Roman" w:eastAsia="Times New Roman" w:hAnsi="Times New Roman"/>
          <w:sz w:val="13"/>
          <w:szCs w:val="13"/>
          <w:color w:val="auto"/>
        </w:rPr>
        <w:t>The Companies Act also contains a statutory power of compulsory acquisition which may facilitate the “squeeze out” of dissentient minority shareholder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33" w:lineRule="exact"/>
        <w:rPr>
          <w:sz w:val="20"/>
          <w:szCs w:val="20"/>
          <w:color w:val="auto"/>
        </w:rPr>
      </w:pPr>
    </w:p>
    <w:p>
      <w:pPr>
        <w:ind w:left="1680" w:right="579" w:firstLine="317"/>
        <w:spacing w:after="0" w:line="264" w:lineRule="auto"/>
        <w:rPr>
          <w:sz w:val="20"/>
          <w:szCs w:val="20"/>
          <w:color w:val="auto"/>
        </w:rPr>
      </w:pPr>
      <w:r>
        <w:rPr>
          <w:rFonts w:ascii="Times New Roman" w:cs="Times New Roman" w:eastAsia="Times New Roman" w:hAnsi="Times New Roman"/>
          <w:sz w:val="13"/>
          <w:szCs w:val="13"/>
          <w:color w:val="auto"/>
        </w:rPr>
        <w:t>If an arrangement and reconstruction by way of scheme of arrangement is thus approved and sanctioned,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27" w:lineRule="exact"/>
        <w:rPr>
          <w:sz w:val="20"/>
          <w:szCs w:val="20"/>
          <w:color w:val="auto"/>
        </w:rPr>
      </w:pPr>
    </w:p>
    <w:p>
      <w:pPr>
        <w:ind w:left="1680" w:right="599" w:firstLine="317"/>
        <w:spacing w:after="0" w:line="257" w:lineRule="auto"/>
        <w:rPr>
          <w:sz w:val="20"/>
          <w:szCs w:val="20"/>
          <w:color w:val="auto"/>
        </w:rPr>
      </w:pPr>
      <w:r>
        <w:rPr>
          <w:rFonts w:ascii="Times New Roman" w:cs="Times New Roman" w:eastAsia="Times New Roman" w:hAnsi="Times New Roman"/>
          <w:sz w:val="13"/>
          <w:szCs w:val="13"/>
          <w:i w:val="1"/>
          <w:iCs w:val="1"/>
          <w:color w:val="auto"/>
        </w:rPr>
        <w:t xml:space="preserve">Shareholders’ Suits. </w:t>
      </w:r>
      <w:r>
        <w:rPr>
          <w:rFonts w:ascii="Times New Roman" w:cs="Times New Roman" w:eastAsia="Times New Roman" w:hAnsi="Times New Roman"/>
          <w:sz w:val="13"/>
          <w:szCs w:val="13"/>
          <w:color w:val="auto"/>
        </w:rPr>
        <w:t>In principle, we will normally be the proper plaintiff to sue for a wrong done to us as a company, and as a general rule 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p>
      <w:pPr>
        <w:spacing w:after="0" w:line="67" w:lineRule="exact"/>
        <w:rPr>
          <w:sz w:val="20"/>
          <w:szCs w:val="20"/>
          <w:color w:val="auto"/>
        </w:rPr>
      </w:pPr>
    </w:p>
    <w:p>
      <w:pPr>
        <w:ind w:left="2380" w:hanging="315"/>
        <w:spacing w:after="0"/>
        <w:tabs>
          <w:tab w:leader="none" w:pos="238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company acts or proposes to act illegally or ultra vires;</w:t>
      </w:r>
    </w:p>
    <w:p>
      <w:pPr>
        <w:spacing w:after="0" w:line="93" w:lineRule="exact"/>
        <w:rPr>
          <w:rFonts w:ascii="Times New Roman" w:cs="Times New Roman" w:eastAsia="Times New Roman" w:hAnsi="Times New Roman"/>
          <w:sz w:val="13"/>
          <w:szCs w:val="13"/>
          <w:color w:val="auto"/>
        </w:rPr>
      </w:pPr>
    </w:p>
    <w:p>
      <w:pPr>
        <w:ind w:left="2380" w:right="679" w:hanging="315"/>
        <w:spacing w:after="0" w:line="278" w:lineRule="auto"/>
        <w:tabs>
          <w:tab w:leader="none" w:pos="238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act complained of, although not ultra vires, could only be effected duly if authorized by more than a simple majority vote that has not been obtained; and</w:t>
      </w:r>
    </w:p>
    <w:p>
      <w:pPr>
        <w:spacing w:after="0" w:line="52"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those who control the company are perpetrating a “fraud on the minority.”</w:t>
      </w:r>
    </w:p>
    <w:p>
      <w:pPr>
        <w:spacing w:after="0" w:line="160" w:lineRule="exact"/>
        <w:rPr>
          <w:sz w:val="20"/>
          <w:szCs w:val="20"/>
          <w:color w:val="auto"/>
        </w:rPr>
      </w:pPr>
    </w:p>
    <w:p>
      <w:pPr>
        <w:ind w:left="1680" w:right="559" w:firstLine="317"/>
        <w:spacing w:after="0" w:line="253" w:lineRule="auto"/>
        <w:rPr>
          <w:sz w:val="20"/>
          <w:szCs w:val="20"/>
          <w:color w:val="auto"/>
        </w:rPr>
      </w:pPr>
      <w:r>
        <w:rPr>
          <w:rFonts w:ascii="Times New Roman" w:cs="Times New Roman" w:eastAsia="Times New Roman" w:hAnsi="Times New Roman"/>
          <w:sz w:val="13"/>
          <w:szCs w:val="13"/>
          <w:i w:val="1"/>
          <w:iCs w:val="1"/>
          <w:color w:val="auto"/>
        </w:rPr>
        <w:t>Indemnification of Directors and Executive Officers and Limitation of Liability</w:t>
      </w:r>
      <w:r>
        <w:rPr>
          <w:rFonts w:ascii="Times New Roman" w:cs="Times New Roman" w:eastAsia="Times New Roman" w:hAnsi="Times New Roman"/>
          <w:sz w:val="13"/>
          <w:szCs w:val="13"/>
          <w:color w:val="auto"/>
        </w:rPr>
        <w:t>. Cayman Islands law does not limit the extent to which 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provide that we shall indemnify our officers and directors against all actions, proceedings, costs, charges, expenses, losses, damages or liabilities incurred or sustained by such directors or officer, other than by reason of such person’s dishonesty, wilful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38" w:lineRule="exact"/>
        <w:rPr>
          <w:sz w:val="20"/>
          <w:szCs w:val="20"/>
          <w:color w:val="auto"/>
        </w:rPr>
      </w:pPr>
    </w:p>
    <w:p>
      <w:pPr>
        <w:ind w:left="1680" w:right="679" w:firstLine="317"/>
        <w:spacing w:after="0" w:line="278" w:lineRule="auto"/>
        <w:rPr>
          <w:sz w:val="20"/>
          <w:szCs w:val="20"/>
          <w:color w:val="auto"/>
        </w:rPr>
      </w:pPr>
      <w:r>
        <w:rPr>
          <w:rFonts w:ascii="Times New Roman" w:cs="Times New Roman" w:eastAsia="Times New Roman" w:hAnsi="Times New Roman"/>
          <w:sz w:val="13"/>
          <w:szCs w:val="13"/>
          <w:color w:val="auto"/>
        </w:rPr>
        <w:t>In addition, we have entered into indemnification agreements with our directors and executive officers that provide such persons with additional indemnification beyond that provided in our memorandum and articles of association.</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144</w:t>
      </w:r>
    </w:p>
    <w:p>
      <w:pPr>
        <w:sectPr>
          <w:pgSz w:w="11900" w:h="16838" w:orient="portrait"/>
          <w:cols w:equalWidth="0" w:num="1">
            <w:col w:w="10159"/>
          </w:cols>
          <w:pgMar w:left="300" w:top="388" w:right="1440"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579" w:firstLine="317"/>
        <w:spacing w:after="0" w:line="264" w:lineRule="auto"/>
        <w:rPr>
          <w:sz w:val="20"/>
          <w:szCs w:val="20"/>
          <w:color w:val="auto"/>
        </w:rPr>
      </w:pPr>
      <w:r>
        <w:rPr>
          <w:rFonts w:ascii="Times New Roman" w:cs="Times New Roman" w:eastAsia="Times New Roman" w:hAnsi="Times New Roman"/>
          <w:sz w:val="13"/>
          <w:szCs w:val="13"/>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27" w:lineRule="exact"/>
        <w:rPr>
          <w:sz w:val="20"/>
          <w:szCs w:val="20"/>
          <w:color w:val="auto"/>
        </w:rPr>
      </w:pPr>
    </w:p>
    <w:p>
      <w:pPr>
        <w:ind w:left="1680" w:right="619" w:firstLine="317"/>
        <w:spacing w:after="0" w:line="276" w:lineRule="auto"/>
        <w:rPr>
          <w:sz w:val="20"/>
          <w:szCs w:val="20"/>
          <w:color w:val="auto"/>
        </w:rPr>
      </w:pPr>
      <w:r>
        <w:rPr>
          <w:rFonts w:ascii="Times New Roman" w:cs="Times New Roman" w:eastAsia="Times New Roman" w:hAnsi="Times New Roman"/>
          <w:sz w:val="12"/>
          <w:szCs w:val="12"/>
          <w:i w:val="1"/>
          <w:iCs w:val="1"/>
          <w:color w:val="auto"/>
        </w:rPr>
        <w:t>Directors’ Fiduciary Duties</w:t>
      </w:r>
      <w:r>
        <w:rPr>
          <w:rFonts w:ascii="Times New Roman" w:cs="Times New Roman" w:eastAsia="Times New Roman" w:hAnsi="Times New Roman"/>
          <w:sz w:val="12"/>
          <w:szCs w:val="12"/>
          <w:color w:val="auto"/>
        </w:rPr>
        <w:t>. Under Delaware corporate law, a director of a Delaware corporation has a fiduciary duty to the corporation and its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27" w:lineRule="exact"/>
        <w:rPr>
          <w:sz w:val="20"/>
          <w:szCs w:val="20"/>
          <w:color w:val="auto"/>
        </w:rPr>
      </w:pPr>
    </w:p>
    <w:p>
      <w:pPr>
        <w:ind w:left="1680" w:right="599" w:firstLine="317"/>
        <w:spacing w:after="0" w:line="253" w:lineRule="auto"/>
        <w:rPr>
          <w:sz w:val="20"/>
          <w:szCs w:val="20"/>
          <w:color w:val="auto"/>
        </w:rPr>
      </w:pPr>
      <w:r>
        <w:rPr>
          <w:rFonts w:ascii="Times New Roman" w:cs="Times New Roman" w:eastAsia="Times New Roman" w:hAnsi="Times New Roman"/>
          <w:sz w:val="13"/>
          <w:szCs w:val="13"/>
          <w:color w:val="auto"/>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38" w:lineRule="exact"/>
        <w:rPr>
          <w:sz w:val="20"/>
          <w:szCs w:val="20"/>
          <w:color w:val="auto"/>
        </w:rPr>
      </w:pPr>
    </w:p>
    <w:p>
      <w:pPr>
        <w:ind w:left="1680" w:right="579" w:firstLine="317"/>
        <w:spacing w:after="0" w:line="260" w:lineRule="auto"/>
        <w:rPr>
          <w:sz w:val="20"/>
          <w:szCs w:val="20"/>
          <w:color w:val="auto"/>
        </w:rPr>
      </w:pPr>
      <w:r>
        <w:rPr>
          <w:rFonts w:ascii="Times New Roman" w:cs="Times New Roman" w:eastAsia="Times New Roman" w:hAnsi="Times New Roman"/>
          <w:sz w:val="13"/>
          <w:szCs w:val="13"/>
          <w:i w:val="1"/>
          <w:iCs w:val="1"/>
          <w:color w:val="auto"/>
        </w:rPr>
        <w:t>Shareholder Action by Written Resolution</w:t>
      </w:r>
      <w:r>
        <w:rPr>
          <w:rFonts w:ascii="Times New Roman" w:cs="Times New Roman" w:eastAsia="Times New Roman" w:hAnsi="Times New Roman"/>
          <w:sz w:val="13"/>
          <w:szCs w:val="13"/>
          <w:color w:val="auto"/>
        </w:rPr>
        <w:t>. Under the Delaware General Corporation Law, a corporation may eliminate the right of shareholders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act by written consent by amendment to its certificate of incorporation. Cayman Islands law and our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130" w:lineRule="exact"/>
        <w:rPr>
          <w:sz w:val="20"/>
          <w:szCs w:val="20"/>
          <w:color w:val="auto"/>
        </w:rPr>
      </w:pPr>
    </w:p>
    <w:p>
      <w:pPr>
        <w:jc w:val="both"/>
        <w:ind w:left="1680" w:right="639" w:firstLine="317"/>
        <w:spacing w:after="0" w:line="265" w:lineRule="auto"/>
        <w:rPr>
          <w:sz w:val="20"/>
          <w:szCs w:val="20"/>
          <w:color w:val="auto"/>
        </w:rPr>
      </w:pPr>
      <w:r>
        <w:rPr>
          <w:rFonts w:ascii="Times New Roman" w:cs="Times New Roman" w:eastAsia="Times New Roman" w:hAnsi="Times New Roman"/>
          <w:sz w:val="13"/>
          <w:szCs w:val="13"/>
          <w:i w:val="1"/>
          <w:iCs w:val="1"/>
          <w:color w:val="auto"/>
        </w:rPr>
        <w:t>Shareholder Proposals</w:t>
      </w:r>
      <w:r>
        <w:rPr>
          <w:rFonts w:ascii="Times New Roman" w:cs="Times New Roman" w:eastAsia="Times New Roman" w:hAnsi="Times New Roman"/>
          <w:sz w:val="13"/>
          <w:szCs w:val="13"/>
          <w:color w:val="auto"/>
        </w:rPr>
        <w:t>. Under the Delaware General Corporation Law, a shareholder has the right to put any proposal before the annual meeting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29" w:lineRule="exact"/>
        <w:rPr>
          <w:sz w:val="20"/>
          <w:szCs w:val="20"/>
          <w:color w:val="auto"/>
        </w:rPr>
      </w:pPr>
    </w:p>
    <w:p>
      <w:pPr>
        <w:ind w:left="1680" w:right="579" w:firstLine="317"/>
        <w:spacing w:after="0" w:line="253" w:lineRule="auto"/>
        <w:rPr>
          <w:sz w:val="20"/>
          <w:szCs w:val="20"/>
          <w:color w:val="auto"/>
        </w:rPr>
      </w:pPr>
      <w:r>
        <w:rPr>
          <w:rFonts w:ascii="Times New Roman" w:cs="Times New Roman" w:eastAsia="Times New Roman" w:hAnsi="Times New Roman"/>
          <w:sz w:val="13"/>
          <w:szCs w:val="13"/>
          <w:color w:val="auto"/>
        </w:rPr>
        <w:t>The Companies Act provides shareholders with only limited rights to requisition a general meeting, and does not provide shareholders with any right to put any proposal before a general meeting. However, these rights may be provided in a company’s memorandum and articles of association. Our memorandum and articles of association allow our shareholders holding in aggregate not less than one-third of all votes attaching to the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memorandum and articles of association do not provide our shareholders with any other right to put proposals before annual general meetings or extraordinary general meetings. As an exempted Cayman Islands company, we may but are not obliged by law to call shareholders’ annual general meetings.</w:t>
      </w:r>
    </w:p>
    <w:p>
      <w:pPr>
        <w:spacing w:after="0" w:line="138" w:lineRule="exact"/>
        <w:rPr>
          <w:sz w:val="20"/>
          <w:szCs w:val="20"/>
          <w:color w:val="auto"/>
        </w:rPr>
      </w:pPr>
    </w:p>
    <w:p>
      <w:pPr>
        <w:ind w:left="1680" w:right="559" w:firstLine="317"/>
        <w:spacing w:after="0" w:line="256" w:lineRule="auto"/>
        <w:rPr>
          <w:sz w:val="20"/>
          <w:szCs w:val="20"/>
          <w:color w:val="auto"/>
        </w:rPr>
      </w:pPr>
      <w:r>
        <w:rPr>
          <w:rFonts w:ascii="Times New Roman" w:cs="Times New Roman" w:eastAsia="Times New Roman" w:hAnsi="Times New Roman"/>
          <w:sz w:val="13"/>
          <w:szCs w:val="13"/>
          <w:i w:val="1"/>
          <w:iCs w:val="1"/>
          <w:color w:val="auto"/>
        </w:rPr>
        <w:t>Cumulative Voting</w:t>
      </w:r>
      <w:r>
        <w:rPr>
          <w:rFonts w:ascii="Times New Roman" w:cs="Times New Roman" w:eastAsia="Times New Roman" w:hAnsi="Times New Roman"/>
          <w:sz w:val="13"/>
          <w:szCs w:val="13"/>
          <w:color w:val="auto"/>
        </w:rPr>
        <w:t>. Under the Delaware General Corporation Law, cumulative voting for elections of directors is not permitted unless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articles of association do not provide for cumulative voting. As a result, our shareholders are not afforded any less protections or rights on this issue than shareholders of a Delaware corporation.</w:t>
      </w:r>
    </w:p>
    <w:p>
      <w:pPr>
        <w:spacing w:after="0" w:line="26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145</w:t>
      </w:r>
    </w:p>
    <w:p>
      <w:pPr>
        <w:sectPr>
          <w:pgSz w:w="11900" w:h="16838" w:orient="portrait"/>
          <w:cols w:equalWidth="0" w:num="1">
            <w:col w:w="10159"/>
          </w:cols>
          <w:pgMar w:left="300" w:top="388" w:right="1440"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1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20" w:lineRule="exact"/>
        <w:rPr>
          <w:sz w:val="20"/>
          <w:szCs w:val="20"/>
          <w:color w:val="auto"/>
        </w:rPr>
      </w:pPr>
    </w:p>
    <w:p>
      <w:pPr>
        <w:ind w:left="1680" w:right="619" w:firstLine="317"/>
        <w:spacing w:after="0" w:line="255" w:lineRule="auto"/>
        <w:rPr>
          <w:sz w:val="20"/>
          <w:szCs w:val="20"/>
          <w:color w:val="auto"/>
        </w:rPr>
      </w:pPr>
      <w:r>
        <w:rPr>
          <w:rFonts w:ascii="Times New Roman" w:cs="Times New Roman" w:eastAsia="Times New Roman" w:hAnsi="Times New Roman"/>
          <w:sz w:val="13"/>
          <w:szCs w:val="13"/>
          <w:i w:val="1"/>
          <w:iCs w:val="1"/>
          <w:color w:val="auto"/>
        </w:rPr>
        <w:t>Removal of Directors</w:t>
      </w:r>
      <w:r>
        <w:rPr>
          <w:rFonts w:ascii="Times New Roman" w:cs="Times New Roman" w:eastAsia="Times New Roman" w:hAnsi="Times New Roman"/>
          <w:sz w:val="13"/>
          <w:szCs w:val="13"/>
          <w:color w:val="auto"/>
        </w:rPr>
        <w:t>. Under the Delaware General Corporation Law, a director of a corporation with a classified board may be removed only for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cause with the approval of a majority of the outstanding shares entitled to vote, unless the certificate of incorporation provides otherwise. Under our articles of association, directors may be removed with or without cause, by an ordinary resolution of our shareholders. In addition, a director’s office shall be vacated if the director (i) becomes bankrupt or makes any arrangement or composition with his creditors; (ii) is found to be or becomes of unsound mind or dies; (iii) resigns his office by notice in writing to the company; (iv) without special leave of absence from our board of directors, is absent from three consecutive meetings of the board and the board resolves that his office be vacated; or (v) is removed from office pursuant to any other provisions of our memorandum and articles of association.</w:t>
      </w:r>
    </w:p>
    <w:p>
      <w:pPr>
        <w:spacing w:after="0" w:line="133" w:lineRule="exact"/>
        <w:rPr>
          <w:sz w:val="20"/>
          <w:szCs w:val="20"/>
          <w:color w:val="auto"/>
        </w:rPr>
      </w:pPr>
    </w:p>
    <w:p>
      <w:pPr>
        <w:ind w:left="1680" w:right="579" w:firstLine="317"/>
        <w:spacing w:after="0" w:line="253" w:lineRule="auto"/>
        <w:rPr>
          <w:sz w:val="20"/>
          <w:szCs w:val="20"/>
          <w:color w:val="auto"/>
        </w:rPr>
      </w:pPr>
      <w:r>
        <w:rPr>
          <w:rFonts w:ascii="Times New Roman" w:cs="Times New Roman" w:eastAsia="Times New Roman" w:hAnsi="Times New Roman"/>
          <w:sz w:val="13"/>
          <w:szCs w:val="13"/>
          <w:i w:val="1"/>
          <w:iCs w:val="1"/>
          <w:color w:val="auto"/>
        </w:rPr>
        <w:t>Transactions with Interested Shareholders</w:t>
      </w:r>
      <w:r>
        <w:rPr>
          <w:rFonts w:ascii="Times New Roman" w:cs="Times New Roman" w:eastAsia="Times New Roman" w:hAnsi="Times New Roman"/>
          <w:sz w:val="13"/>
          <w:szCs w:val="13"/>
          <w:color w:val="auto"/>
        </w:rPr>
        <w:t>. The Delaware General Corporation Law contains a business combination statute applicable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40" w:lineRule="exact"/>
        <w:rPr>
          <w:sz w:val="20"/>
          <w:szCs w:val="20"/>
          <w:color w:val="auto"/>
        </w:rPr>
      </w:pPr>
    </w:p>
    <w:p>
      <w:pPr>
        <w:ind w:left="1680" w:right="559" w:firstLine="317"/>
        <w:spacing w:after="0" w:line="259" w:lineRule="auto"/>
        <w:rPr>
          <w:sz w:val="20"/>
          <w:szCs w:val="20"/>
          <w:color w:val="auto"/>
        </w:rPr>
      </w:pPr>
      <w:r>
        <w:rPr>
          <w:rFonts w:ascii="Times New Roman" w:cs="Times New Roman" w:eastAsia="Times New Roman" w:hAnsi="Times New Roman"/>
          <w:sz w:val="13"/>
          <w:szCs w:val="13"/>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131" w:lineRule="exact"/>
        <w:rPr>
          <w:sz w:val="20"/>
          <w:szCs w:val="20"/>
          <w:color w:val="auto"/>
        </w:rPr>
      </w:pPr>
    </w:p>
    <w:p>
      <w:pPr>
        <w:ind w:left="1680" w:right="579" w:firstLine="317"/>
        <w:spacing w:after="0" w:line="260" w:lineRule="auto"/>
        <w:rPr>
          <w:sz w:val="20"/>
          <w:szCs w:val="20"/>
          <w:color w:val="auto"/>
        </w:rPr>
      </w:pPr>
      <w:r>
        <w:rPr>
          <w:rFonts w:ascii="Times New Roman" w:cs="Times New Roman" w:eastAsia="Times New Roman" w:hAnsi="Times New Roman"/>
          <w:sz w:val="13"/>
          <w:szCs w:val="13"/>
          <w:i w:val="1"/>
          <w:iCs w:val="1"/>
          <w:color w:val="auto"/>
        </w:rPr>
        <w:t>Dissolution; Winding up</w:t>
      </w:r>
      <w:r>
        <w:rPr>
          <w:rFonts w:ascii="Times New Roman" w:cs="Times New Roman" w:eastAsia="Times New Roman" w:hAnsi="Times New Roman"/>
          <w:sz w:val="13"/>
          <w:szCs w:val="13"/>
          <w:color w:val="auto"/>
        </w:rPr>
        <w:t>. Under the Delaware General Corporation Law, unless the board of directors approves the proposal to dissolve,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32" w:lineRule="exact"/>
        <w:rPr>
          <w:sz w:val="20"/>
          <w:szCs w:val="20"/>
          <w:color w:val="auto"/>
        </w:rPr>
      </w:pPr>
    </w:p>
    <w:p>
      <w:pPr>
        <w:ind w:left="1680" w:right="559" w:firstLine="317"/>
        <w:spacing w:after="0" w:line="259" w:lineRule="auto"/>
        <w:rPr>
          <w:sz w:val="20"/>
          <w:szCs w:val="20"/>
          <w:color w:val="auto"/>
        </w:rPr>
      </w:pPr>
      <w:r>
        <w:rPr>
          <w:rFonts w:ascii="Times New Roman" w:cs="Times New Roman" w:eastAsia="Times New Roman" w:hAnsi="Times New Roman"/>
          <w:sz w:val="13"/>
          <w:szCs w:val="13"/>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and our articles of association, our company may be dissolved, liquidated or wound up by a special resolution of our shareholders.</w:t>
      </w:r>
    </w:p>
    <w:p>
      <w:pPr>
        <w:spacing w:after="0" w:line="131" w:lineRule="exact"/>
        <w:rPr>
          <w:sz w:val="20"/>
          <w:szCs w:val="20"/>
          <w:color w:val="auto"/>
        </w:rPr>
      </w:pPr>
    </w:p>
    <w:p>
      <w:pPr>
        <w:ind w:left="1680" w:right="579" w:firstLine="317"/>
        <w:spacing w:after="0" w:line="257" w:lineRule="auto"/>
        <w:rPr>
          <w:sz w:val="20"/>
          <w:szCs w:val="20"/>
          <w:color w:val="auto"/>
        </w:rPr>
      </w:pPr>
      <w:r>
        <w:rPr>
          <w:rFonts w:ascii="Times New Roman" w:cs="Times New Roman" w:eastAsia="Times New Roman" w:hAnsi="Times New Roman"/>
          <w:sz w:val="13"/>
          <w:szCs w:val="13"/>
          <w:i w:val="1"/>
          <w:iCs w:val="1"/>
          <w:color w:val="auto"/>
        </w:rPr>
        <w:t>Variation of Rights of Shares</w:t>
      </w:r>
      <w:r>
        <w:rPr>
          <w:rFonts w:ascii="Times New Roman" w:cs="Times New Roman" w:eastAsia="Times New Roman" w:hAnsi="Times New Roman"/>
          <w:sz w:val="13"/>
          <w:szCs w:val="13"/>
          <w:color w:val="auto"/>
        </w:rPr>
        <w:t>. Under the Delaware General Corporation Law, a corporation may vary the rights of a class of shares with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approval of a majority of the outstanding shares of such class, unless the certificate of incorporation provides otherwise. Under Cayman Islands law and our articles of association, if our share capital is divided into more than one class of shares, we may vary the rights attached to any class with the written consent of the holders of two-thirds of the issued shares of that class or with the sanction of a special resolution passed at a general meeting of the holders of the shares of that class.</w:t>
      </w:r>
    </w:p>
    <w:p>
      <w:pPr>
        <w:spacing w:after="0" w:line="133" w:lineRule="exact"/>
        <w:rPr>
          <w:sz w:val="20"/>
          <w:szCs w:val="20"/>
          <w:color w:val="auto"/>
        </w:rPr>
      </w:pPr>
    </w:p>
    <w:p>
      <w:pPr>
        <w:ind w:left="1680" w:right="579" w:firstLine="317"/>
        <w:spacing w:after="0" w:line="260" w:lineRule="auto"/>
        <w:rPr>
          <w:sz w:val="20"/>
          <w:szCs w:val="20"/>
          <w:color w:val="auto"/>
        </w:rPr>
      </w:pPr>
      <w:r>
        <w:rPr>
          <w:rFonts w:ascii="Times New Roman" w:cs="Times New Roman" w:eastAsia="Times New Roman" w:hAnsi="Times New Roman"/>
          <w:sz w:val="13"/>
          <w:szCs w:val="13"/>
          <w:i w:val="1"/>
          <w:iCs w:val="1"/>
          <w:color w:val="auto"/>
        </w:rPr>
        <w:t>Amendment of Governing Documents</w:t>
      </w:r>
      <w:r>
        <w:rPr>
          <w:rFonts w:ascii="Times New Roman" w:cs="Times New Roman" w:eastAsia="Times New Roman" w:hAnsi="Times New Roman"/>
          <w:sz w:val="13"/>
          <w:szCs w:val="13"/>
          <w:color w:val="auto"/>
        </w:rPr>
        <w:t>. Under the Delaware General Corporation Law, a corporation’s governing documents may be amended with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approval of a majority of the outstanding shares entitled to vote, unless the certificate of incorporation provides otherwise. Under the Companies Act and our memorandum and articles of association, our memorandum and articles of association may only be amended by a special resolution of our shareholders.</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146</w:t>
      </w:r>
    </w:p>
    <w:p>
      <w:pPr>
        <w:sectPr>
          <w:pgSz w:w="11900" w:h="16838" w:orient="portrait"/>
          <w:cols w:equalWidth="0" w:num="1">
            <w:col w:w="10159"/>
          </w:cols>
          <w:pgMar w:left="300" w:top="388" w:right="1440"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both"/>
        <w:ind w:left="1680" w:right="599" w:firstLine="317"/>
        <w:spacing w:after="0" w:line="265" w:lineRule="auto"/>
        <w:rPr>
          <w:sz w:val="20"/>
          <w:szCs w:val="20"/>
          <w:color w:val="auto"/>
        </w:rPr>
      </w:pPr>
      <w:r>
        <w:rPr>
          <w:rFonts w:ascii="Times New Roman" w:cs="Times New Roman" w:eastAsia="Times New Roman" w:hAnsi="Times New Roman"/>
          <w:sz w:val="13"/>
          <w:szCs w:val="13"/>
          <w:i w:val="1"/>
          <w:iCs w:val="1"/>
          <w:color w:val="auto"/>
        </w:rPr>
        <w:t>Rights of Non-resident or Foreign Shareholders</w:t>
      </w:r>
      <w:r>
        <w:rPr>
          <w:rFonts w:ascii="Times New Roman" w:cs="Times New Roman" w:eastAsia="Times New Roman" w:hAnsi="Times New Roman"/>
          <w:sz w:val="13"/>
          <w:szCs w:val="13"/>
          <w:color w:val="auto"/>
        </w:rPr>
        <w:t>. There are no limitations imposed by our memorandum and articles of association on the rights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non-resident or foreign shareholders to hold or exercise voting rights on our shares. In addition, there are no provisions in our memorandum and articles of association that require our company to disclose shareholder ownership above any particular ownership threshold.</w:t>
      </w:r>
    </w:p>
    <w:p>
      <w:pPr>
        <w:spacing w:after="0" w:line="20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 xml:space="preserve">C. </w:t>
      </w:r>
      <w:r>
        <w:rPr>
          <w:rFonts w:ascii="Times New Roman" w:cs="Times New Roman" w:eastAsia="Times New Roman" w:hAnsi="Times New Roman"/>
          <w:sz w:val="13"/>
          <w:szCs w:val="13"/>
          <w:b w:val="1"/>
          <w:bCs w:val="1"/>
          <w:u w:val="single" w:color="auto"/>
          <w:color w:val="auto"/>
        </w:rPr>
        <w:t>Material Contracts</w:t>
      </w:r>
      <w:r>
        <w:rPr>
          <w:rFonts w:ascii="Times New Roman" w:cs="Times New Roman" w:eastAsia="Times New Roman" w:hAnsi="Times New Roman"/>
          <w:sz w:val="13"/>
          <w:szCs w:val="13"/>
          <w:b w:val="1"/>
          <w:bCs w:val="1"/>
          <w:color w:val="auto"/>
        </w:rPr>
        <w:t>.</w:t>
      </w:r>
    </w:p>
    <w:p>
      <w:pPr>
        <w:spacing w:after="0" w:line="86" w:lineRule="exact"/>
        <w:rPr>
          <w:sz w:val="20"/>
          <w:szCs w:val="20"/>
          <w:color w:val="auto"/>
        </w:rPr>
      </w:pPr>
    </w:p>
    <w:p>
      <w:pPr>
        <w:ind w:left="1680" w:right="659" w:firstLine="317"/>
        <w:spacing w:after="0" w:line="264" w:lineRule="auto"/>
        <w:rPr>
          <w:sz w:val="20"/>
          <w:szCs w:val="20"/>
          <w:color w:val="auto"/>
        </w:rPr>
      </w:pPr>
      <w:r>
        <w:rPr>
          <w:rFonts w:ascii="Times New Roman" w:cs="Times New Roman" w:eastAsia="Times New Roman" w:hAnsi="Times New Roman"/>
          <w:sz w:val="13"/>
          <w:szCs w:val="13"/>
          <w:color w:val="auto"/>
        </w:rPr>
        <w:t>Other than in the ordinary course of business and other than those described in “Item 4. Information on the Company” or “Item 7. Major Shareholders and Related Party Transactions—B. Related Party Transactions” or elsewhere in this annual report, we have not entered into any material contract during the two years immediately preceding the date of this annual report.</w:t>
      </w:r>
    </w:p>
    <w:p>
      <w:pPr>
        <w:spacing w:after="0" w:line="20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 xml:space="preserve">D. </w:t>
      </w:r>
      <w:r>
        <w:rPr>
          <w:rFonts w:ascii="Times New Roman" w:cs="Times New Roman" w:eastAsia="Times New Roman" w:hAnsi="Times New Roman"/>
          <w:sz w:val="13"/>
          <w:szCs w:val="13"/>
          <w:b w:val="1"/>
          <w:bCs w:val="1"/>
          <w:u w:val="single" w:color="auto"/>
          <w:color w:val="auto"/>
        </w:rPr>
        <w:t>Exchange Controls</w:t>
      </w:r>
      <w:r>
        <w:rPr>
          <w:rFonts w:ascii="Times New Roman" w:cs="Times New Roman" w:eastAsia="Times New Roman" w:hAnsi="Times New Roman"/>
          <w:sz w:val="13"/>
          <w:szCs w:val="13"/>
          <w:b w:val="1"/>
          <w:bCs w:val="1"/>
          <w:color w:val="auto"/>
        </w:rPr>
        <w:t>.</w:t>
      </w:r>
    </w:p>
    <w:p>
      <w:pPr>
        <w:spacing w:after="0" w:line="8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See “Item 4. Information on the Company—B. Business Overview—PRC Regulation—Foreign Exchange.”</w:t>
      </w:r>
    </w:p>
    <w:p>
      <w:pPr>
        <w:spacing w:after="0" w:line="238" w:lineRule="exact"/>
        <w:rPr>
          <w:sz w:val="20"/>
          <w:szCs w:val="20"/>
          <w:color w:val="auto"/>
        </w:rPr>
      </w:pPr>
    </w:p>
    <w:p>
      <w:pPr>
        <w:ind w:left="1820" w:hanging="144"/>
        <w:spacing w:after="0"/>
        <w:tabs>
          <w:tab w:leader="none" w:pos="1820" w:val="left"/>
        </w:tabs>
        <w:numPr>
          <w:ilvl w:val="0"/>
          <w:numId w:val="6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Taxation</w:t>
      </w:r>
      <w:r>
        <w:rPr>
          <w:rFonts w:ascii="Times New Roman" w:cs="Times New Roman" w:eastAsia="Times New Roman" w:hAnsi="Times New Roman"/>
          <w:sz w:val="13"/>
          <w:szCs w:val="13"/>
          <w:b w:val="1"/>
          <w:bCs w:val="1"/>
          <w:color w:val="auto"/>
        </w:rPr>
        <w:t>.</w:t>
      </w:r>
    </w:p>
    <w:p>
      <w:pPr>
        <w:spacing w:after="0" w:line="84" w:lineRule="exact"/>
        <w:rPr>
          <w:sz w:val="20"/>
          <w:szCs w:val="20"/>
          <w:color w:val="auto"/>
        </w:rPr>
      </w:pPr>
    </w:p>
    <w:p>
      <w:pPr>
        <w:ind w:left="1680" w:right="659" w:firstLine="317"/>
        <w:spacing w:after="0" w:line="257" w:lineRule="auto"/>
        <w:rPr>
          <w:sz w:val="20"/>
          <w:szCs w:val="20"/>
          <w:color w:val="auto"/>
        </w:rPr>
      </w:pPr>
      <w:r>
        <w:rPr>
          <w:rFonts w:ascii="Times New Roman" w:cs="Times New Roman" w:eastAsia="Times New Roman" w:hAnsi="Times New Roman"/>
          <w:sz w:val="13"/>
          <w:szCs w:val="13"/>
          <w:i w:val="1"/>
          <w:iCs w:val="1"/>
          <w:color w:val="auto"/>
        </w:rPr>
        <w:t xml:space="preserve">The following summary of the material Cayman Islands, PRC and U.S. federal income tax consequences of an investment in the ADSs or our Class A ordinary shares is based upon laws and relevant interpretations thereof in effect as of the date </w:t>
      </w:r>
      <w:r>
        <w:rPr>
          <w:rFonts w:ascii="Times New Roman" w:cs="Times New Roman" w:eastAsia="Times New Roman" w:hAnsi="Times New Roman"/>
          <w:sz w:val="13"/>
          <w:szCs w:val="13"/>
          <w:color w:val="auto"/>
        </w:rPr>
        <w:t>of</w:t>
      </w:r>
      <w:r>
        <w:rPr>
          <w:rFonts w:ascii="Times New Roman" w:cs="Times New Roman" w:eastAsia="Times New Roman" w:hAnsi="Times New Roman"/>
          <w:sz w:val="13"/>
          <w:szCs w:val="13"/>
          <w:i w:val="1"/>
          <w:iCs w:val="1"/>
          <w:color w:val="auto"/>
        </w:rPr>
        <w:t xml:space="preserve"> this annual report, all of which are subject to change. This summary does not deal with all possible tax consequences relating to an investment in the ADSs or our Class A ordinary shares, such as the tax consequences under U.S. state and local tax laws or under the tax laws of jurisdictions other than the Cayman Islands, China and the United States.</w:t>
      </w:r>
    </w:p>
    <w:p>
      <w:pPr>
        <w:spacing w:after="0" w:line="20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Cayman Islands Taxation</w:t>
      </w:r>
    </w:p>
    <w:p>
      <w:pPr>
        <w:spacing w:after="0" w:line="88" w:lineRule="exact"/>
        <w:rPr>
          <w:sz w:val="20"/>
          <w:szCs w:val="20"/>
          <w:color w:val="auto"/>
        </w:rPr>
      </w:pPr>
    </w:p>
    <w:p>
      <w:pPr>
        <w:ind w:left="1680" w:right="679" w:firstLine="317"/>
        <w:spacing w:after="0" w:line="257" w:lineRule="auto"/>
        <w:rPr>
          <w:sz w:val="20"/>
          <w:szCs w:val="20"/>
          <w:color w:val="auto"/>
        </w:rPr>
      </w:pPr>
      <w:r>
        <w:rPr>
          <w:rFonts w:ascii="Times New Roman" w:cs="Times New Roman" w:eastAsia="Times New Roman" w:hAnsi="Times New Roman"/>
          <w:sz w:val="13"/>
          <w:szCs w:val="13"/>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33" w:lineRule="exact"/>
        <w:rPr>
          <w:sz w:val="20"/>
          <w:szCs w:val="20"/>
          <w:color w:val="auto"/>
        </w:rPr>
      </w:pPr>
    </w:p>
    <w:p>
      <w:pPr>
        <w:jc w:val="both"/>
        <w:ind w:left="1680" w:right="639" w:firstLine="317"/>
        <w:spacing w:after="0" w:line="264" w:lineRule="auto"/>
        <w:rPr>
          <w:sz w:val="20"/>
          <w:szCs w:val="20"/>
          <w:color w:val="auto"/>
        </w:rPr>
      </w:pPr>
      <w:r>
        <w:rPr>
          <w:rFonts w:ascii="Times New Roman" w:cs="Times New Roman" w:eastAsia="Times New Roman" w:hAnsi="Times New Roman"/>
          <w:sz w:val="13"/>
          <w:szCs w:val="13"/>
          <w:color w:val="auto"/>
        </w:rPr>
        <w:t>Payments of dividends and capital in respect of our ordinary shares will not be subject to taxation in the Cayman Islands and no withholding will be required on the payment of a dividend or capital to any holder of our ordinary shares, nor will gains derived from the disposal of our ordinary shares be subject to Cayman Islands income or corporation tax.</w:t>
      </w:r>
    </w:p>
    <w:p>
      <w:pPr>
        <w:spacing w:after="0" w:line="20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PRC Taxation</w:t>
      </w:r>
    </w:p>
    <w:p>
      <w:pPr>
        <w:spacing w:after="0" w:line="88" w:lineRule="exact"/>
        <w:rPr>
          <w:sz w:val="20"/>
          <w:szCs w:val="20"/>
          <w:color w:val="auto"/>
        </w:rPr>
      </w:pPr>
    </w:p>
    <w:p>
      <w:pPr>
        <w:ind w:left="1680" w:right="559" w:firstLine="317"/>
        <w:spacing w:after="0" w:line="252" w:lineRule="auto"/>
        <w:rPr>
          <w:sz w:val="20"/>
          <w:szCs w:val="20"/>
          <w:color w:val="auto"/>
        </w:rPr>
      </w:pPr>
      <w:r>
        <w:rPr>
          <w:rFonts w:ascii="Times New Roman" w:cs="Times New Roman" w:eastAsia="Times New Roman" w:hAnsi="Times New Roman"/>
          <w:sz w:val="13"/>
          <w:szCs w:val="13"/>
          <w:color w:val="auto"/>
        </w:rPr>
        <w:t>Under the PRC Enterprise Income Tax Law and its implementation rules, an enterprise established outside of the PRC with a “de facto management body” within the PRC is considered a resident enterprise and will be subject to the enterprise income tax at the rate of 25% on its global income. The implementation rules define the term “de facto management body” as the body that exercises full and substantial control over and overall management of the business, productions, personnel, accounts and properties of an enterprise. In April 2009, the State Administration of Taxation issued a circular, known as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State Administration of Taxation’s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2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147</w:t>
      </w:r>
    </w:p>
    <w:p>
      <w:pPr>
        <w:sectPr>
          <w:pgSz w:w="11900" w:h="16838" w:orient="portrait"/>
          <w:cols w:equalWidth="0" w:num="1">
            <w:col w:w="10159"/>
          </w:cols>
          <w:pgMar w:left="300" w:top="388" w:right="1440"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559" w:firstLine="317"/>
        <w:spacing w:after="0" w:line="254" w:lineRule="auto"/>
        <w:rPr>
          <w:sz w:val="20"/>
          <w:szCs w:val="20"/>
          <w:color w:val="auto"/>
        </w:rPr>
      </w:pPr>
      <w:r>
        <w:rPr>
          <w:rFonts w:ascii="Times New Roman" w:cs="Times New Roman" w:eastAsia="Times New Roman" w:hAnsi="Times New Roman"/>
          <w:sz w:val="13"/>
          <w:szCs w:val="13"/>
          <w:color w:val="auto"/>
        </w:rPr>
        <w:t>We believe that EHang is not a PRC resident enterprise for PRC tax purposes. EHang is not controlled by a PRC enterprise or PRC enterprise group and we do not believe that EHang meets all of the conditions above. EHang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For the same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w:t>
      </w:r>
    </w:p>
    <w:p>
      <w:pPr>
        <w:spacing w:after="0" w:line="138" w:lineRule="exact"/>
        <w:rPr>
          <w:sz w:val="20"/>
          <w:szCs w:val="20"/>
          <w:color w:val="auto"/>
        </w:rPr>
      </w:pPr>
    </w:p>
    <w:p>
      <w:pPr>
        <w:ind w:left="1680" w:right="559" w:firstLine="317"/>
        <w:spacing w:after="0" w:line="273" w:lineRule="auto"/>
        <w:rPr>
          <w:sz w:val="20"/>
          <w:szCs w:val="20"/>
          <w:color w:val="auto"/>
        </w:rPr>
      </w:pPr>
      <w:r>
        <w:rPr>
          <w:rFonts w:ascii="Times New Roman" w:cs="Times New Roman" w:eastAsia="Times New Roman" w:hAnsi="Times New Roman"/>
          <w:sz w:val="12"/>
          <w:szCs w:val="12"/>
          <w:color w:val="auto"/>
        </w:rPr>
        <w:t>If the PRC tax authorities determine that EHang is a PRC resident enterprise for enterprise income tax purposes, we may be required to withhold a 10% withholding tax from dividends we pay to our shareholders that are non-resident enterprises, including the holders of the ADSs. In addition, non-resident enterprise shareholders (including our ADS holders) may be subject to a 10% PRC tax on gains realized on the sale or other disposition of ADSs or ordinary shares, if such income is treated as sourced from within the PRC. It is unclear whether our non-PRC individual shareholders (including our ADS holders) would be subject to any PRC tax on dividends or gains obtained by such non-PRC individual shareholders in the event we are determined to be a PRC resident enterprise. If any PRC tax were to apply to such dividends or gains, it would generally apply at a rate of 20% unless a reduced rate is available under an applicable tax treaty. It is also unclear whether non-PRC shareholders of EHang would be able to claim the benefits of any tax treaties between their country of tax residence and the PRC in the event that EHang is treated as a PRC resident enterprise. Pursuant to the EIT Law and its implementation rules, if a non-resident enterprise has not set up an organization or establishment in China, or has set up an organization or establishment but the income derived has no actual connection with such organization or establishment, it will be subject to a withholding tax on its PRC-sourced income at a rate of 10%. Pursuant to the Arrangement between Mainland China and the Hong Kong Special Administrative Region for the Avoidance of Double Taxation and Tax Evasion on Income, the tax rate in respect to dividends paid by a PRC enterprise to a Hong Kong enterprise is reduced to 5% from a standard rate of 10% if the Hong Kong enterprise directly holds at least 25% of the PRC enterprise. Pursuant to the Notice of the State Administration of Taxation on the Issues concerning the Application of the Dividend Clauses of Tax Agreements, or SAT Circular 81, a Hong Kong resident enterprise must meet the following conditions, among others, in order to enjoy the reduced tax rate: (i) it must directly own the required percentage of equity interests and voting rights in the PRC resident enterprise; and (ii) it must have directly owned such percentage in the PRC resident enterprise throughout the 12 months prior to receiving the dividends. Furthermore, the Administrative Measures for Non-Resident Enterprises to Enjoy Treatments under Tax Treaties (For Trial Implementation), which became effective in October 2009, require that non-resident enterprises must obtain approval from the relevant tax authority in order to enjoy the reduced tax rate. There are also other conditions for enjoying the reduced tax rate according to other relevant tax rules and regulations. Accordingly, our subsidiary may be able to enjoy the 5% tax rate for the dividends it receives from its PRC incorporated subsidiaries if they satisfy the conditions prescribed under SAT Circular 81 and other relevant tax rules and regulations and obtain the approvals as required. However, according to SAT Circular 81, if the relevant tax authorities determine our transactions or arrangements are for the primary purpose of enjoying a favorable tax treatment, the relevant tax authorities may adjust the favorable tax rate on dividends in the future.</w:t>
      </w:r>
    </w:p>
    <w:p>
      <w:pPr>
        <w:spacing w:after="0" w:line="282" w:lineRule="exact"/>
        <w:rPr>
          <w:sz w:val="20"/>
          <w:szCs w:val="20"/>
          <w:color w:val="auto"/>
        </w:rPr>
      </w:pPr>
    </w:p>
    <w:p>
      <w:pPr>
        <w:ind w:left="1680" w:right="579" w:firstLine="317"/>
        <w:spacing w:after="0" w:line="253" w:lineRule="auto"/>
        <w:rPr>
          <w:sz w:val="20"/>
          <w:szCs w:val="20"/>
          <w:color w:val="auto"/>
        </w:rPr>
      </w:pPr>
      <w:r>
        <w:rPr>
          <w:rFonts w:ascii="Times New Roman" w:cs="Times New Roman" w:eastAsia="Times New Roman" w:hAnsi="Times New Roman"/>
          <w:sz w:val="13"/>
          <w:szCs w:val="13"/>
          <w:color w:val="auto"/>
        </w:rPr>
        <w:t>Provided that our Cayman Islands holding company, EHang, is not deemed to be a PRC resident enterprise, holders of the ADSs and ordinary shares who are not PRC residents will not be subject to PRC income tax on dividends distributed by us or gains realized from the sale or other disposition of our shares or ADSs. SAT Public Notice 7 further clarifies that, if a non-resident enterprise derives income by acquiring and selling shares in an offshore listed enterprise in the public market, such income will not be subject to PRC tax. However, there is uncertainty as to the application of SAT Bulletin 37 and SAT Public Notice 7, we and our non-PRC resident investors may be at risk of being required to file a return and being taxed under SAT Bulletin 37 and SAT Public Notice 7 and we may be required to expend valuable resources to comply with SAT Bulletin 37 and SAT Public Notice 7 or to establish that we should not be taxed under SAT Bulletin 37 and SAT Public Notice 7. See “Item 3. Key Information—D. Risk Factors—Risks Relating to Doing Business in China—We face uncertainty with respect to indirect transfers of equity interests in PRC resident enterprises by their non-PRC holding companies.”</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148</w:t>
      </w:r>
    </w:p>
    <w:p>
      <w:pPr>
        <w:sectPr>
          <w:pgSz w:w="11900" w:h="16838" w:orient="portrait"/>
          <w:cols w:equalWidth="0" w:num="1">
            <w:col w:w="10159"/>
          </w:cols>
          <w:pgMar w:left="300" w:top="388" w:right="1440"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U.S. Federal Income Taxation</w:t>
      </w:r>
    </w:p>
    <w:p>
      <w:pPr>
        <w:spacing w:after="0" w:line="88" w:lineRule="exact"/>
        <w:rPr>
          <w:sz w:val="20"/>
          <w:szCs w:val="20"/>
          <w:color w:val="auto"/>
        </w:rPr>
      </w:pPr>
    </w:p>
    <w:p>
      <w:pPr>
        <w:ind w:left="1680" w:right="639" w:firstLine="317"/>
        <w:spacing w:after="0" w:line="253" w:lineRule="auto"/>
        <w:rPr>
          <w:sz w:val="20"/>
          <w:szCs w:val="20"/>
          <w:color w:val="auto"/>
        </w:rPr>
      </w:pPr>
      <w:r>
        <w:rPr>
          <w:rFonts w:ascii="Times New Roman" w:cs="Times New Roman" w:eastAsia="Times New Roman" w:hAnsi="Times New Roman"/>
          <w:sz w:val="13"/>
          <w:szCs w:val="13"/>
          <w:color w:val="auto"/>
        </w:rPr>
        <w:t>The following discussion is a summary of certain material U.S. federal income tax considerations generally applicable to the ownership and disposition of our ADSs or ordinary shares by a U.S. Holder (as defined below) that holds our ADSs or ordinary shares as “capital assets” (generally, property held for investment) under the U.S. Internal Revenue Code of 1986, as amended, or the Code. This discussion is based upon existing U.S. federal income tax law, which is subject to differing interpretations or change, possibly with retroactive effect. No ruling has been sought from the Internal Revenue Service, the IRS, with respect to any U.S. federal income tax consequences described below, and there can be no assurance that the IRS or a court will not take a contrary position. This discussion, moreover, does not address the U.S. federal estate, gift, Medicare, and alternative minimum tax considerations, any election to apply Section 1400Z-2 of the Code to gains recognized with respect to sales or other dispositions of our ADSs or ordinary shares, special accounting rules under Section 451(b) of the Code, or any state, local or non-U.S. tax considerations, relating to the ownership or disposition of our ADSs or ordinary shares. The following summary also does not address all aspects of U.S. federal income taxation that may be important to particular investors in light of their individual circumstances or to persons in special tax situations such as:</w:t>
      </w:r>
    </w:p>
    <w:p>
      <w:pPr>
        <w:spacing w:after="0" w:line="68" w:lineRule="exact"/>
        <w:rPr>
          <w:sz w:val="20"/>
          <w:szCs w:val="20"/>
          <w:color w:val="auto"/>
        </w:rPr>
      </w:pPr>
    </w:p>
    <w:p>
      <w:pPr>
        <w:ind w:left="2380" w:hanging="315"/>
        <w:spacing w:after="0"/>
        <w:tabs>
          <w:tab w:leader="none" w:pos="238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banks and other financial institutions;</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insurance companies;</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pension plans;</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cooperatives;</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regulated investment companies;</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real estate investment trusts;</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broker-dealers;</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dealers or traders that elect to use a mark-to-market method of accounting;</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former U.S. citizens or long-term residents;</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tax-exempt entities (including private foundations);</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governmental organizations;</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investors who acquire their ADSs or ordinary shares pursuant to any employee share option or otherwise as compensation;</w:t>
      </w:r>
    </w:p>
    <w:p>
      <w:pPr>
        <w:spacing w:after="0" w:line="93" w:lineRule="exact"/>
        <w:rPr>
          <w:rFonts w:ascii="Times New Roman" w:cs="Times New Roman" w:eastAsia="Times New Roman" w:hAnsi="Times New Roman"/>
          <w:sz w:val="13"/>
          <w:szCs w:val="13"/>
          <w:color w:val="auto"/>
        </w:rPr>
      </w:pPr>
    </w:p>
    <w:p>
      <w:pPr>
        <w:ind w:left="2380" w:right="1039" w:hanging="315"/>
        <w:spacing w:after="0" w:line="278" w:lineRule="auto"/>
        <w:tabs>
          <w:tab w:leader="none" w:pos="238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investors that will hold their ADSs or ordinary shares as part of a straddle, hedge, conversion, constructive sale or other integrated transaction for U.S. federal income tax purposes;</w:t>
      </w:r>
    </w:p>
    <w:p>
      <w:pPr>
        <w:spacing w:after="0" w:line="52"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investors that have a functional currency other than the U.S. dollar;</w:t>
      </w:r>
    </w:p>
    <w:p>
      <w:pPr>
        <w:spacing w:after="0" w:line="93"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investors that actually or constructively own 10% or more of our stock (by vote or value); or</w:t>
      </w:r>
    </w:p>
    <w:p>
      <w:pPr>
        <w:spacing w:after="0" w:line="11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149</w:t>
      </w:r>
    </w:p>
    <w:p>
      <w:pPr>
        <w:sectPr>
          <w:pgSz w:w="11900" w:h="16838" w:orient="portrait"/>
          <w:cols w:equalWidth="0" w:num="1">
            <w:col w:w="10159"/>
          </w:cols>
          <w:pgMar w:left="300" w:top="388" w:right="1440"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2380" w:right="819" w:hanging="315"/>
        <w:spacing w:after="0" w:line="278" w:lineRule="auto"/>
        <w:tabs>
          <w:tab w:leader="none" w:pos="238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partnerships or other entities taxable as partnerships for U.S. federal income tax purposes, or persons holding ADSs or ordinary shares through such entities,</w:t>
      </w:r>
    </w:p>
    <w:p>
      <w:pPr>
        <w:spacing w:after="0" w:line="52"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of whom may be subject to tax rules that differ significantly from those discussed below.</w:t>
      </w:r>
    </w:p>
    <w:p>
      <w:pPr>
        <w:spacing w:after="0" w:line="162" w:lineRule="exact"/>
        <w:rPr>
          <w:sz w:val="20"/>
          <w:szCs w:val="20"/>
          <w:color w:val="auto"/>
        </w:rPr>
      </w:pPr>
    </w:p>
    <w:p>
      <w:pPr>
        <w:ind w:left="1680" w:right="859" w:firstLine="317"/>
        <w:spacing w:after="0" w:line="278" w:lineRule="auto"/>
        <w:rPr>
          <w:sz w:val="20"/>
          <w:szCs w:val="20"/>
          <w:color w:val="auto"/>
        </w:rPr>
      </w:pPr>
      <w:r>
        <w:rPr>
          <w:rFonts w:ascii="Times New Roman" w:cs="Times New Roman" w:eastAsia="Times New Roman" w:hAnsi="Times New Roman"/>
          <w:sz w:val="13"/>
          <w:szCs w:val="13"/>
          <w:color w:val="auto"/>
        </w:rPr>
        <w:t>Each U.S. Holder is urged to consult its tax advisor regarding the U.S. federal, state and local and non-U.S. tax considerations of owning and disposing of our ADSs or ordinary shares in its particular circumstances.</w:t>
      </w:r>
    </w:p>
    <w:p>
      <w:pPr>
        <w:spacing w:after="0" w:line="19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General</w:t>
      </w:r>
    </w:p>
    <w:p>
      <w:pPr>
        <w:spacing w:after="0" w:line="88" w:lineRule="exact"/>
        <w:rPr>
          <w:sz w:val="20"/>
          <w:szCs w:val="20"/>
          <w:color w:val="auto"/>
        </w:rPr>
      </w:pPr>
    </w:p>
    <w:p>
      <w:pPr>
        <w:jc w:val="right"/>
        <w:ind w:right="559"/>
        <w:spacing w:after="0"/>
        <w:rPr>
          <w:sz w:val="20"/>
          <w:szCs w:val="20"/>
          <w:color w:val="auto"/>
        </w:rPr>
      </w:pPr>
      <w:r>
        <w:rPr>
          <w:rFonts w:ascii="Times New Roman" w:cs="Times New Roman" w:eastAsia="Times New Roman" w:hAnsi="Times New Roman"/>
          <w:sz w:val="13"/>
          <w:szCs w:val="13"/>
          <w:color w:val="auto"/>
        </w:rPr>
        <w:t>For purposes of this discussion, a “U.S. Holder” is a beneficial owner of our ADSs or ordinary shares that is, for U.S. federal income tax purposes:</w:t>
      </w:r>
    </w:p>
    <w:p>
      <w:pPr>
        <w:spacing w:after="0" w:line="94" w:lineRule="exact"/>
        <w:rPr>
          <w:sz w:val="20"/>
          <w:szCs w:val="20"/>
          <w:color w:val="auto"/>
        </w:rPr>
      </w:pPr>
    </w:p>
    <w:p>
      <w:pPr>
        <w:ind w:left="2380" w:hanging="315"/>
        <w:spacing w:after="0"/>
        <w:tabs>
          <w:tab w:leader="none" w:pos="238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individual who is a citizen or resident of the United States;</w:t>
      </w:r>
    </w:p>
    <w:p>
      <w:pPr>
        <w:spacing w:after="0" w:line="93" w:lineRule="exact"/>
        <w:rPr>
          <w:rFonts w:ascii="Times New Roman" w:cs="Times New Roman" w:eastAsia="Times New Roman" w:hAnsi="Times New Roman"/>
          <w:sz w:val="13"/>
          <w:szCs w:val="13"/>
          <w:color w:val="auto"/>
        </w:rPr>
      </w:pPr>
    </w:p>
    <w:p>
      <w:pPr>
        <w:ind w:left="2380" w:right="779" w:hanging="315"/>
        <w:spacing w:after="0" w:line="278" w:lineRule="auto"/>
        <w:tabs>
          <w:tab w:leader="none" w:pos="238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corporation (or other entity treated as a corporation for U.S. federal income tax purposes) created in or organized under the law of the United States or any state thereof or the District of Columbia;</w:t>
      </w:r>
    </w:p>
    <w:p>
      <w:pPr>
        <w:spacing w:after="0" w:line="52" w:lineRule="exact"/>
        <w:rPr>
          <w:rFonts w:ascii="Times New Roman" w:cs="Times New Roman" w:eastAsia="Times New Roman" w:hAnsi="Times New Roman"/>
          <w:sz w:val="13"/>
          <w:szCs w:val="13"/>
          <w:color w:val="auto"/>
        </w:rPr>
      </w:pPr>
    </w:p>
    <w:p>
      <w:pPr>
        <w:ind w:left="2380" w:hanging="315"/>
        <w:spacing w:after="0"/>
        <w:tabs>
          <w:tab w:leader="none" w:pos="238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estate the income of which is includible in gross income for U.S. federal income tax purposes regardless of its source; or</w:t>
      </w:r>
    </w:p>
    <w:p>
      <w:pPr>
        <w:spacing w:after="0" w:line="93" w:lineRule="exact"/>
        <w:rPr>
          <w:rFonts w:ascii="Times New Roman" w:cs="Times New Roman" w:eastAsia="Times New Roman" w:hAnsi="Times New Roman"/>
          <w:sz w:val="13"/>
          <w:szCs w:val="13"/>
          <w:color w:val="auto"/>
        </w:rPr>
      </w:pPr>
    </w:p>
    <w:p>
      <w:pPr>
        <w:ind w:left="2380" w:right="699" w:hanging="315"/>
        <w:spacing w:after="0" w:line="264" w:lineRule="auto"/>
        <w:tabs>
          <w:tab w:leader="none" w:pos="238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trust (A) the administration of which is subject to the primary supervision of a U.S. court and which has one or more U.S. persons who have the authority to control all substantial decisions of the trust or (B) that has otherwise validly elected to be treated as a U.S. person under the Code.</w:t>
      </w:r>
    </w:p>
    <w:p>
      <w:pPr>
        <w:spacing w:after="0" w:line="129" w:lineRule="exact"/>
        <w:rPr>
          <w:sz w:val="20"/>
          <w:szCs w:val="20"/>
          <w:color w:val="auto"/>
        </w:rPr>
      </w:pPr>
    </w:p>
    <w:p>
      <w:pPr>
        <w:ind w:left="1680" w:right="579" w:firstLine="317"/>
        <w:spacing w:after="0" w:line="264" w:lineRule="auto"/>
        <w:rPr>
          <w:sz w:val="20"/>
          <w:szCs w:val="20"/>
          <w:color w:val="auto"/>
        </w:rPr>
      </w:pPr>
      <w:r>
        <w:rPr>
          <w:rFonts w:ascii="Times New Roman" w:cs="Times New Roman" w:eastAsia="Times New Roman" w:hAnsi="Times New Roman"/>
          <w:sz w:val="13"/>
          <w:szCs w:val="13"/>
          <w:color w:val="auto"/>
        </w:rPr>
        <w:t>If a partnership (or other entity treated as a partnership for U.S. federal income tax purposes) is a beneficial owner of ADSs or ordinary shares, the tax treatment of a partner in the partnership will generally depend upon the status of the partner and the activities of the partnership. Partnerships holding our ADSs or ordinary shares and their partners are urged to consult their tax advisors regarding an investment in our ADSs or ordinary shares.</w:t>
      </w:r>
    </w:p>
    <w:p>
      <w:pPr>
        <w:spacing w:after="0" w:line="129" w:lineRule="exact"/>
        <w:rPr>
          <w:sz w:val="20"/>
          <w:szCs w:val="20"/>
          <w:color w:val="auto"/>
        </w:rPr>
      </w:pPr>
    </w:p>
    <w:p>
      <w:pPr>
        <w:ind w:left="1680" w:right="579" w:firstLine="317"/>
        <w:spacing w:after="0" w:line="280" w:lineRule="auto"/>
        <w:rPr>
          <w:sz w:val="20"/>
          <w:szCs w:val="20"/>
          <w:color w:val="auto"/>
        </w:rPr>
      </w:pPr>
      <w:r>
        <w:rPr>
          <w:rFonts w:ascii="Times New Roman" w:cs="Times New Roman" w:eastAsia="Times New Roman" w:hAnsi="Times New Roman"/>
          <w:sz w:val="12"/>
          <w:szCs w:val="12"/>
          <w:color w:val="auto"/>
        </w:rPr>
        <w:t>For U.S. federal income tax purposes, it is generally expected that a U.S. Holder of ADSs will be treated as the beneficial owner of the underlying shares represented by the ADSs. The remainder of this discussion assumes that a U.S. Holder of the ADSs will be treated in this manner. Accordingly, deposits or withdrawals of ordinary shares for ADSs will generally not be subject to U.S. federal income tax. The U.S. Treasury has expressed concerns that intermediaries in the chain of ownership between a U.S. Holder of an ADS and the issuer of the underlying share may be taking actions inconsistent with the beneficial ownership of the underlying share. Accordingly, the creditability of foreign taxes, if any, could be affected by actions taken by such intermediaries if, as a result of such actions, the U.S. Holder of the ADS is not properly treated as the beneficial owner of the underlying share.</w:t>
      </w:r>
    </w:p>
    <w:p>
      <w:pPr>
        <w:spacing w:after="0" w:line="19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Dividends</w:t>
      </w:r>
    </w:p>
    <w:p>
      <w:pPr>
        <w:spacing w:after="0" w:line="88" w:lineRule="exact"/>
        <w:rPr>
          <w:sz w:val="20"/>
          <w:szCs w:val="20"/>
          <w:color w:val="auto"/>
        </w:rPr>
      </w:pPr>
    </w:p>
    <w:p>
      <w:pPr>
        <w:ind w:left="1680" w:right="579" w:firstLine="317"/>
        <w:spacing w:after="0" w:line="252" w:lineRule="auto"/>
        <w:rPr>
          <w:sz w:val="20"/>
          <w:szCs w:val="20"/>
          <w:color w:val="auto"/>
        </w:rPr>
      </w:pPr>
      <w:r>
        <w:rPr>
          <w:rFonts w:ascii="Times New Roman" w:cs="Times New Roman" w:eastAsia="Times New Roman" w:hAnsi="Times New Roman"/>
          <w:sz w:val="13"/>
          <w:szCs w:val="13"/>
          <w:color w:val="auto"/>
        </w:rPr>
        <w:t>Subject to the discussion below under “—Passive Foreign Investment Company Rules,” distributions paid on our ADSs or ordinary shares out of our current or accumulated earnings and profits, as determined under U.S. federal income tax principles, will generally be includible in the gross income of a U.S. Holder as dividend income on the day actually or constructively received by the U.S. Holder, in the case of ordinary shares, or by the depositary, in the case of ADSs. Because we do not intend to determine our earnings and profits on the basis of U.S. federal income tax principles, any distribution we pay will generally be treated as a “dividend” for U.S. federal income tax purposes. Dividends received on our ADSs or ordinary shares will not be eligible for the dividends received deduction allowed to corporations in respect of dividends received from U.S. corporations. The amount of any dividend income paid in foreign currency will be the U.S. dollar amount calculated by reference to the spot rate in effect on the date of receipt, regardless of whether the payment is in fact converted into U.S. dollars on such date. If the dividend is converted into U.S. dollars on the date of receipt, a U.S. Holder generally should not be required to recognize foreign currency gain or loss in respect of the amount received. A U.S. Holder may have foreign currency gain or loss if the dividend is converted into U.S. dollars after the date of receipt. Subject to applicable limitations, dividends paid to certain non-corporate U.S. Holders may be taxable at reduced rates. Non-corporate U.S. Holders should consult their tax advisers regarding the availability of these reduced tax rates in their particular circumstances.</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150</w:t>
      </w:r>
    </w:p>
    <w:p>
      <w:pPr>
        <w:sectPr>
          <w:pgSz w:w="11900" w:h="16838" w:orient="portrait"/>
          <w:cols w:equalWidth="0" w:num="1">
            <w:col w:w="10159"/>
          </w:cols>
          <w:pgMar w:left="300" w:top="388" w:right="1440"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559" w:firstLine="317"/>
        <w:spacing w:after="0" w:line="257" w:lineRule="auto"/>
        <w:rPr>
          <w:sz w:val="20"/>
          <w:szCs w:val="20"/>
          <w:color w:val="auto"/>
        </w:rPr>
      </w:pPr>
      <w:r>
        <w:rPr>
          <w:rFonts w:ascii="Times New Roman" w:cs="Times New Roman" w:eastAsia="Times New Roman" w:hAnsi="Times New Roman"/>
          <w:sz w:val="13"/>
          <w:szCs w:val="13"/>
          <w:color w:val="auto"/>
        </w:rPr>
        <w:t>Dividends will generally be treated as income from foreign sources for United States foreign tax credit purposes and will generally constitute passive category income. In the event that we are deemed to be a PRC resident enterprise under the PRC Enterprise Income Tax Law, a U.S. Holder may be subject to PRC withholding taxes on dividends paid on our ADSs or ordinary shares (see “Item 10. Additional Information—E. Taxation—PRC Taxation”). For U.S. federal income tax purposes, the amount of the dividend income will include amounts withheld in respect of PRC withholding tax, if any.</w:t>
      </w:r>
    </w:p>
    <w:p>
      <w:pPr>
        <w:spacing w:after="0" w:line="133" w:lineRule="exact"/>
        <w:rPr>
          <w:sz w:val="20"/>
          <w:szCs w:val="20"/>
          <w:color w:val="auto"/>
        </w:rPr>
      </w:pPr>
    </w:p>
    <w:p>
      <w:pPr>
        <w:ind w:left="1680" w:right="559" w:firstLine="317"/>
        <w:spacing w:after="0" w:line="254" w:lineRule="auto"/>
        <w:rPr>
          <w:sz w:val="20"/>
          <w:szCs w:val="20"/>
          <w:color w:val="auto"/>
        </w:rPr>
      </w:pPr>
      <w:r>
        <w:rPr>
          <w:rFonts w:ascii="Times New Roman" w:cs="Times New Roman" w:eastAsia="Times New Roman" w:hAnsi="Times New Roman"/>
          <w:sz w:val="13"/>
          <w:szCs w:val="13"/>
          <w:color w:val="auto"/>
        </w:rPr>
        <w:t>Depending on the U.S. Holder’s individual facts and circumstances, a U.S. Holder may be eligible, subject to a number of complex limitations, to claim a foreign tax credit not in excess of any applicable treaty rate in respect of any foreign withholding taxes imposed on dividends received on our ADSs or ordinary shares. A U.S. Holder who does not elect to claim a foreign tax credit for foreign tax withheld may instead claim a deduction, for U.S. federal income tax purposes, in respect of such withholding, but only for a year in which such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spacing w:after="0" w:line="21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Sale or Other Disposition</w:t>
      </w:r>
    </w:p>
    <w:p>
      <w:pPr>
        <w:spacing w:after="0" w:line="88" w:lineRule="exact"/>
        <w:rPr>
          <w:sz w:val="20"/>
          <w:szCs w:val="20"/>
          <w:color w:val="auto"/>
        </w:rPr>
      </w:pPr>
    </w:p>
    <w:p>
      <w:pPr>
        <w:jc w:val="both"/>
        <w:ind w:left="1680" w:right="639" w:firstLine="317"/>
        <w:spacing w:after="0" w:line="287" w:lineRule="auto"/>
        <w:rPr>
          <w:sz w:val="20"/>
          <w:szCs w:val="20"/>
          <w:color w:val="auto"/>
        </w:rPr>
      </w:pPr>
      <w:r>
        <w:rPr>
          <w:rFonts w:ascii="Times New Roman" w:cs="Times New Roman" w:eastAsia="Times New Roman" w:hAnsi="Times New Roman"/>
          <w:sz w:val="12"/>
          <w:szCs w:val="12"/>
          <w:color w:val="auto"/>
        </w:rPr>
        <w:t>Subject to the discussion below under “—Passive Foreign Investment Company Rules,” a U.S. Holder will generally recognize gain or loss upon the sale or other disposition of our ADSs or ordinary shares in an amount equal to the difference between the amount realized upon the disposition and such holder’s adjusted tax basis in such ADSs or ordinary shares. The gain or loss will generally be capital gain or loss. Any capital gain or loss will be long-term if the ADSs or ordinary shares have been held for more than one year. The deductibility of a capital loss is subject to limitations.</w:t>
      </w:r>
    </w:p>
    <w:p>
      <w:pPr>
        <w:spacing w:after="0" w:line="118" w:lineRule="exact"/>
        <w:rPr>
          <w:sz w:val="20"/>
          <w:szCs w:val="20"/>
          <w:color w:val="auto"/>
        </w:rPr>
      </w:pPr>
    </w:p>
    <w:p>
      <w:pPr>
        <w:ind w:left="1680" w:right="579" w:firstLine="317"/>
        <w:spacing w:after="0" w:line="253" w:lineRule="auto"/>
        <w:rPr>
          <w:sz w:val="20"/>
          <w:szCs w:val="20"/>
          <w:color w:val="auto"/>
        </w:rPr>
      </w:pPr>
      <w:r>
        <w:rPr>
          <w:rFonts w:ascii="Times New Roman" w:cs="Times New Roman" w:eastAsia="Times New Roman" w:hAnsi="Times New Roman"/>
          <w:sz w:val="13"/>
          <w:szCs w:val="13"/>
          <w:color w:val="auto"/>
        </w:rPr>
        <w:t>Any such gain or loss that the U.S. Holder recognizes will generally be treated as U.S.-source income or loss for foreign tax credit limitation purposes, which will generally limit the availability of foreign tax credits. However, in the event we are deemed to be a PRC resident enterprise under the PRC Enterprise Income Tax Law, we may be eligible for the benefits of the United States-PRC income tax treaty. In such event, if PRC tax were to be imposed on any gain from the disposition of the ADSs or ordinary shares, a U.S. Holder that is eligible for the benefits of the United States-PRC income tax treaty may elect to treat such gain as PRC source income. If a U.S. Holder is not eligible for the benefits of the United States-PRC income tax treaty or fails to make the election to treat any gain as foreign source, then such U.S. Holder may not be able to use the foreign tax credit arising from any PRC tax imposed on the disposition of the ADSs or ordinary shares unless such credit can be applied (subject to applicable limitations) against U.S. federal income tax due on other income derived from foreign sources in the same income category (generally, the passive category). Each U.S. Holder is advised to consult its tax advisors regarding the tax consequences if a foreign tax is imposed on a disposition of our ADSs or ordinary shares, including the availability of the foreign tax credit under its particular circumstances.</w:t>
      </w:r>
    </w:p>
    <w:p>
      <w:pPr>
        <w:spacing w:after="0" w:line="21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Passive Foreign Investment Company Rules</w:t>
      </w:r>
    </w:p>
    <w:p>
      <w:pPr>
        <w:spacing w:after="0" w:line="88" w:lineRule="exact"/>
        <w:rPr>
          <w:sz w:val="20"/>
          <w:szCs w:val="20"/>
          <w:color w:val="auto"/>
        </w:rPr>
      </w:pPr>
    </w:p>
    <w:p>
      <w:pPr>
        <w:ind w:left="1680" w:right="579" w:firstLine="317"/>
        <w:spacing w:after="0" w:line="253" w:lineRule="auto"/>
        <w:rPr>
          <w:sz w:val="20"/>
          <w:szCs w:val="20"/>
          <w:color w:val="auto"/>
        </w:rPr>
      </w:pPr>
      <w:r>
        <w:rPr>
          <w:rFonts w:ascii="Times New Roman" w:cs="Times New Roman" w:eastAsia="Times New Roman" w:hAnsi="Times New Roman"/>
          <w:sz w:val="13"/>
          <w:szCs w:val="13"/>
          <w:color w:val="auto"/>
        </w:rPr>
        <w:t>A non-U.S. corporation, such as our company, will be classified as a PFIC if, in the case of any particular taxable year, either (i) 75% or more of its gross income for such year consists of certain types of “passive” income or (ii) 50% or more of the value of its assets (determined on the basis of a quarterly average) during such year is attributable to assets that produce or are held for the production of passive income. For this purpose, cash and assets readily convertible into cash are generally categorized as passive assets and the company’s goodwill and other unbooked intangibles associated with active business activities may generally be classified as active assets. Passive income generally includes, among other things, dividends, interest, rents, royalties, and gains from the disposition of passive assets. For purposes of these rules, we will be treated as owning a proportionate share of the assets and earning a proportionate share of the income of any other corporation in which we own, directly or indirectly, more than 25% (by value) of the stock. Although the law in this regard is unclear, we intend to treat the VIE and its subsidiaries as being owned by us for U.S. federal income tax purposes, not only because we exercise effective control over the operations of such entities but also because we are entitled to substantially all of their economic benefits and, as a result, we consolidate their results of operations in our consolidated financial statements.</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151</w:t>
      </w:r>
    </w:p>
    <w:p>
      <w:pPr>
        <w:sectPr>
          <w:pgSz w:w="11900" w:h="16838" w:orient="portrait"/>
          <w:cols w:equalWidth="0" w:num="1">
            <w:col w:w="10159"/>
          </w:cols>
          <w:pgMar w:left="300" w:top="388" w:right="1440"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559" w:firstLine="317"/>
        <w:spacing w:after="0" w:line="253" w:lineRule="auto"/>
        <w:rPr>
          <w:sz w:val="20"/>
          <w:szCs w:val="20"/>
          <w:color w:val="auto"/>
        </w:rPr>
      </w:pPr>
      <w:r>
        <w:rPr>
          <w:rFonts w:ascii="Times New Roman" w:cs="Times New Roman" w:eastAsia="Times New Roman" w:hAnsi="Times New Roman"/>
          <w:sz w:val="13"/>
          <w:szCs w:val="13"/>
          <w:color w:val="auto"/>
        </w:rPr>
        <w:t>Assuming that we are treated as the owner of the VIE (and its subsidiaries) for U.S. federal income tax purposes, and based upon the nature of our business, the composition of our income and assets and the value of our assets, including goodwill (which is based on the market price of our ADSs), we do not believe we were a PFIC for U.S. federal income tax purposes for the taxable year ended December 31, 2021. However, our PFIC status for any taxable year is a factual determination that can be made only after the end of such year, and will depend on the composition of our income and assets and the value of our assets for such year. Moreover, because we hold, and may continue to hold, a significant amount of cash, our PFIC status for any taxable year may depend on the value of our goodwill which may be determined, in part, by reference to the market price of our ADSs, which may change from time to time. In addition, it is not entirely clear how the contractual arrangements between us and the VIE will be treated for purposes of the PFIC rules. If it were determined that we are not the owner of the stock of the VIE for U.S. federal income tax purposes, we could be treated as a PFIC. In light of the foregoing, there can be no assurance that we were not, or will not be, a PFIC for any taxable year. Our U.S. counsel expresses no opinion with respect to our PFIC status for any taxable year.</w:t>
      </w:r>
    </w:p>
    <w:p>
      <w:pPr>
        <w:spacing w:after="0" w:line="136" w:lineRule="exact"/>
        <w:rPr>
          <w:sz w:val="20"/>
          <w:szCs w:val="20"/>
          <w:color w:val="auto"/>
        </w:rPr>
      </w:pPr>
    </w:p>
    <w:p>
      <w:pPr>
        <w:ind w:left="1680" w:right="579" w:firstLine="317"/>
        <w:spacing w:after="0" w:line="255" w:lineRule="auto"/>
        <w:rPr>
          <w:sz w:val="20"/>
          <w:szCs w:val="20"/>
          <w:color w:val="auto"/>
        </w:rPr>
      </w:pPr>
      <w:r>
        <w:rPr>
          <w:rFonts w:ascii="Times New Roman" w:cs="Times New Roman" w:eastAsia="Times New Roman" w:hAnsi="Times New Roman"/>
          <w:sz w:val="13"/>
          <w:szCs w:val="13"/>
          <w:color w:val="auto"/>
        </w:rPr>
        <w:t>If we are a PFIC for any taxable year during which a U.S. Holder holds our ADSs or ordinary shares, and unless the U.S. Holder makes a mark-to-market election (as described below), the U.S. Holder will generally be subject to special tax rules that have a penalizing effect, regardless of whether we remain a PFIC,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ADSs or ordinary shares), and (ii) any gain realized on the sale or other disposition of our ADSs or ordinary shares. Under the PFIC rules:</w:t>
      </w:r>
    </w:p>
    <w:p>
      <w:pPr>
        <w:spacing w:after="0" w:line="68" w:lineRule="exact"/>
        <w:rPr>
          <w:sz w:val="20"/>
          <w:szCs w:val="20"/>
          <w:color w:val="auto"/>
        </w:rPr>
      </w:pPr>
    </w:p>
    <w:p>
      <w:pPr>
        <w:ind w:left="2380" w:hanging="315"/>
        <w:spacing w:after="0"/>
        <w:tabs>
          <w:tab w:leader="none" w:pos="238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excess distribution or gain will be allocated ratably over the U.S. Holder’s holding period for the ADSs or ordinary shares;</w:t>
      </w:r>
    </w:p>
    <w:p>
      <w:pPr>
        <w:spacing w:after="0" w:line="93" w:lineRule="exact"/>
        <w:rPr>
          <w:rFonts w:ascii="Times New Roman" w:cs="Times New Roman" w:eastAsia="Times New Roman" w:hAnsi="Times New Roman"/>
          <w:sz w:val="13"/>
          <w:szCs w:val="13"/>
          <w:color w:val="auto"/>
        </w:rPr>
      </w:pPr>
    </w:p>
    <w:p>
      <w:pPr>
        <w:ind w:left="2380" w:right="659" w:hanging="315"/>
        <w:spacing w:after="0" w:line="278" w:lineRule="auto"/>
        <w:tabs>
          <w:tab w:leader="none" w:pos="238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allocated to the current taxable year and any taxable years in the U.S. Holder’s holding period prior to the first taxable year in which we are classified as a PFIC (each, a “pre-PFIC year”) will be taxable as ordinary income;</w:t>
      </w:r>
    </w:p>
    <w:p>
      <w:pPr>
        <w:spacing w:after="0" w:line="52" w:lineRule="exact"/>
        <w:rPr>
          <w:rFonts w:ascii="Times New Roman" w:cs="Times New Roman" w:eastAsia="Times New Roman" w:hAnsi="Times New Roman"/>
          <w:sz w:val="13"/>
          <w:szCs w:val="13"/>
          <w:color w:val="auto"/>
        </w:rPr>
      </w:pPr>
    </w:p>
    <w:p>
      <w:pPr>
        <w:ind w:left="2380" w:right="979" w:hanging="315"/>
        <w:spacing w:after="0" w:line="278" w:lineRule="auto"/>
        <w:tabs>
          <w:tab w:leader="none" w:pos="238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allocated to each prior taxable year, other than a pre-PFIC year, will be subject to tax at the highest tax rate in effect for individuals or corporations, as appropriate, for that year; and</w:t>
      </w:r>
    </w:p>
    <w:p>
      <w:pPr>
        <w:spacing w:after="0" w:line="52" w:lineRule="exact"/>
        <w:rPr>
          <w:rFonts w:ascii="Times New Roman" w:cs="Times New Roman" w:eastAsia="Times New Roman" w:hAnsi="Times New Roman"/>
          <w:sz w:val="13"/>
          <w:szCs w:val="13"/>
          <w:color w:val="auto"/>
        </w:rPr>
      </w:pPr>
    </w:p>
    <w:p>
      <w:pPr>
        <w:ind w:left="2380" w:right="759" w:hanging="315"/>
        <w:spacing w:after="0" w:line="278" w:lineRule="auto"/>
        <w:tabs>
          <w:tab w:leader="none" w:pos="238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interest charge generally applicable to underpayments of tax will be imposed on the tax attributable to each prior taxable year, other than a pre-PFIC year.</w:t>
      </w:r>
    </w:p>
    <w:p>
      <w:pPr>
        <w:spacing w:after="0" w:line="121" w:lineRule="exact"/>
        <w:rPr>
          <w:sz w:val="20"/>
          <w:szCs w:val="20"/>
          <w:color w:val="auto"/>
        </w:rPr>
      </w:pPr>
    </w:p>
    <w:p>
      <w:pPr>
        <w:jc w:val="both"/>
        <w:ind w:left="1680" w:right="539" w:firstLine="317"/>
        <w:spacing w:after="0" w:line="259" w:lineRule="auto"/>
        <w:rPr>
          <w:sz w:val="20"/>
          <w:szCs w:val="20"/>
          <w:color w:val="auto"/>
        </w:rPr>
      </w:pPr>
      <w:r>
        <w:rPr>
          <w:rFonts w:ascii="Times New Roman" w:cs="Times New Roman" w:eastAsia="Times New Roman" w:hAnsi="Times New Roman"/>
          <w:sz w:val="13"/>
          <w:szCs w:val="13"/>
          <w:color w:val="auto"/>
        </w:rPr>
        <w:t>If we are a PFIC for any taxable year during which a U.S. Holder holds our ADSs or ordinary shares and any of our subsidiaries, the VIE or any of the subsidiaries of the VIE is also a PFIC, such U.S. Holder would be treated as owning a proportionate amount (by value) of the shares of the lower-tier PFIC for purposes of the application of these rules. U.S. Holders are urged to consult their tax advisors regarding the application of the PFIC rules to any of our subsidiaries, the VIE or any of the subsidiaries of the VIE.</w:t>
      </w:r>
    </w:p>
    <w:p>
      <w:pPr>
        <w:spacing w:after="0" w:line="133" w:lineRule="exact"/>
        <w:rPr>
          <w:sz w:val="20"/>
          <w:szCs w:val="20"/>
          <w:color w:val="auto"/>
        </w:rPr>
      </w:pPr>
    </w:p>
    <w:p>
      <w:pPr>
        <w:ind w:left="1680" w:right="559" w:firstLine="317"/>
        <w:spacing w:after="0" w:line="252" w:lineRule="auto"/>
        <w:rPr>
          <w:sz w:val="20"/>
          <w:szCs w:val="20"/>
          <w:color w:val="auto"/>
        </w:rPr>
      </w:pPr>
      <w:r>
        <w:rPr>
          <w:rFonts w:ascii="Times New Roman" w:cs="Times New Roman" w:eastAsia="Times New Roman" w:hAnsi="Times New Roman"/>
          <w:sz w:val="13"/>
          <w:szCs w:val="13"/>
          <w:color w:val="auto"/>
        </w:rPr>
        <w:t>As an alternative to the foregoing rules, a U.S. Holder of “marketable stock” (as defined below) in a PFIC may make a mark-to-market election with respect to such stock. If we are a PFIC and a U.S. Holder makes this election with respect to our ADSs, the holder will generally (i) include as ordinary income for each taxable year that we are a PFIC the excess, if any, of the fair market value of the ADSs held at the end of the taxable year over the adjusted tax basis of such ADSs and (ii) deduct as an ordinary loss in each such taxable year the excess, if any, of the adjusted tax basis of the ADSs over the fair market value of such ADSs held at the end of the taxable year, but such deduction will only be allowed to the extent of the amount previously included in income as a result of the mark-to-market election. The U.S. Holder’s adjusted tax basis in the ADSs would be adjusted to reflect any income or loss resulting from the mark-to-market election. If a U.S. Holder makes a mark-to-market election in respect of our ADSs and we cease to be classified as a PFIC, the holder will not be required to take into account the gain or loss described above during any period that we are not classified as a PFIC. If a U.S. Holder makes a mark-to-market election, any gain such U.S. Holder recognizes upon the sale or other disposition of our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152</w:t>
      </w:r>
    </w:p>
    <w:p>
      <w:pPr>
        <w:sectPr>
          <w:pgSz w:w="11900" w:h="16838" w:orient="portrait"/>
          <w:cols w:equalWidth="0" w:num="1">
            <w:col w:w="10159"/>
          </w:cols>
          <w:pgMar w:left="300" w:top="388" w:right="1440"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559" w:firstLine="317"/>
        <w:spacing w:after="0" w:line="259" w:lineRule="auto"/>
        <w:rPr>
          <w:sz w:val="20"/>
          <w:szCs w:val="20"/>
          <w:color w:val="auto"/>
        </w:rPr>
      </w:pPr>
      <w:r>
        <w:rPr>
          <w:rFonts w:ascii="Times New Roman" w:cs="Times New Roman" w:eastAsia="Times New Roman" w:hAnsi="Times New Roman"/>
          <w:sz w:val="13"/>
          <w:szCs w:val="13"/>
          <w:color w:val="auto"/>
        </w:rPr>
        <w:t xml:space="preserve">The mark-to-market election is available only for “marketable stock,” which is stock that is regularly traded on a qualified exchange or other market as defined in applicable U.S. Treasury Regulations. The ADSs will be treated as “regularly traded” for any calendar year in which more than a </w:t>
      </w:r>
      <w:r>
        <w:rPr>
          <w:rFonts w:ascii="Times New Roman" w:cs="Times New Roman" w:eastAsia="Times New Roman" w:hAnsi="Times New Roman"/>
          <w:sz w:val="13"/>
          <w:szCs w:val="13"/>
          <w:i w:val="1"/>
          <w:iCs w:val="1"/>
          <w:color w:val="auto"/>
        </w:rPr>
        <w:t>de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minimis </w:t>
      </w:r>
      <w:r>
        <w:rPr>
          <w:rFonts w:ascii="Times New Roman" w:cs="Times New Roman" w:eastAsia="Times New Roman" w:hAnsi="Times New Roman"/>
          <w:sz w:val="13"/>
          <w:szCs w:val="13"/>
          <w:color w:val="auto"/>
        </w:rPr>
        <w:t>quantity of the ADSs are traded on a qualified exchange for at least 15 days during each calendar quarter. The Nasdaq Global Market, where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our ADSs are listed, is a qualified exchange for this purpose.</w:t>
      </w:r>
    </w:p>
    <w:p>
      <w:pPr>
        <w:spacing w:after="0" w:line="133" w:lineRule="exact"/>
        <w:rPr>
          <w:sz w:val="20"/>
          <w:szCs w:val="20"/>
          <w:color w:val="auto"/>
        </w:rPr>
      </w:pPr>
    </w:p>
    <w:p>
      <w:pPr>
        <w:ind w:left="1680" w:right="759" w:firstLine="317"/>
        <w:spacing w:after="0" w:line="264" w:lineRule="auto"/>
        <w:rPr>
          <w:sz w:val="20"/>
          <w:szCs w:val="20"/>
          <w:color w:val="auto"/>
        </w:rPr>
      </w:pPr>
      <w:r>
        <w:rPr>
          <w:rFonts w:ascii="Times New Roman" w:cs="Times New Roman" w:eastAsia="Times New Roman" w:hAnsi="Times New Roman"/>
          <w:sz w:val="13"/>
          <w:szCs w:val="13"/>
          <w:color w:val="auto"/>
        </w:rPr>
        <w:t>Because a mark-to-market election cannot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spacing w:after="0" w:line="129" w:lineRule="exact"/>
        <w:rPr>
          <w:sz w:val="20"/>
          <w:szCs w:val="20"/>
          <w:color w:val="auto"/>
        </w:rPr>
      </w:pPr>
    </w:p>
    <w:p>
      <w:pPr>
        <w:jc w:val="both"/>
        <w:ind w:left="1680" w:right="659" w:firstLine="317"/>
        <w:spacing w:after="0" w:line="278" w:lineRule="auto"/>
        <w:rPr>
          <w:sz w:val="20"/>
          <w:szCs w:val="20"/>
          <w:color w:val="auto"/>
        </w:rPr>
      </w:pPr>
      <w:r>
        <w:rPr>
          <w:rFonts w:ascii="Times New Roman" w:cs="Times New Roman" w:eastAsia="Times New Roman" w:hAnsi="Times New Roman"/>
          <w:sz w:val="13"/>
          <w:szCs w:val="13"/>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12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If a U.S. Holder owns our ADSs or ordinary shares during any taxable year that we are a PFIC, the holder must generally file an annual IRS Form</w:t>
      </w:r>
    </w:p>
    <w:p>
      <w:pPr>
        <w:spacing w:after="0" w:line="18" w:lineRule="exact"/>
        <w:rPr>
          <w:sz w:val="20"/>
          <w:szCs w:val="20"/>
          <w:color w:val="auto"/>
        </w:rPr>
      </w:pPr>
    </w:p>
    <w:p>
      <w:pPr>
        <w:ind w:left="1680" w:right="719"/>
        <w:spacing w:after="0" w:line="259" w:lineRule="auto"/>
        <w:rPr>
          <w:sz w:val="20"/>
          <w:szCs w:val="20"/>
          <w:color w:val="auto"/>
        </w:rPr>
      </w:pPr>
      <w:r>
        <w:rPr>
          <w:rFonts w:ascii="Times New Roman" w:cs="Times New Roman" w:eastAsia="Times New Roman" w:hAnsi="Times New Roman"/>
          <w:sz w:val="13"/>
          <w:szCs w:val="13"/>
          <w:color w:val="auto"/>
        </w:rPr>
        <w:t>8621 or such other form as is required by the U.S. Treasury Department. Each U.S. Holder is advised to consult its tax advisor regarding the potential tax consequences to such holder if we were, are or become a PFIC, including the possibility of making a mark-to-market election.</w:t>
      </w:r>
    </w:p>
    <w:p>
      <w:pPr>
        <w:spacing w:after="0" w:line="20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Information Reporting and Backup Withholding</w:t>
      </w:r>
    </w:p>
    <w:p>
      <w:pPr>
        <w:spacing w:after="0" w:line="88" w:lineRule="exact"/>
        <w:rPr>
          <w:sz w:val="20"/>
          <w:szCs w:val="20"/>
          <w:color w:val="auto"/>
        </w:rPr>
      </w:pPr>
    </w:p>
    <w:p>
      <w:pPr>
        <w:jc w:val="both"/>
        <w:ind w:left="1680" w:right="679" w:firstLine="317"/>
        <w:spacing w:after="0" w:line="264" w:lineRule="auto"/>
        <w:rPr>
          <w:sz w:val="20"/>
          <w:szCs w:val="20"/>
          <w:color w:val="auto"/>
        </w:rPr>
      </w:pPr>
      <w:r>
        <w:rPr>
          <w:rFonts w:ascii="Times New Roman" w:cs="Times New Roman" w:eastAsia="Times New Roman" w:hAnsi="Times New Roman"/>
          <w:sz w:val="13"/>
          <w:szCs w:val="13"/>
          <w:color w:val="auto"/>
        </w:rPr>
        <w:t>Payments of dividends and sales proceeds that are made within the United States or through certain U.S.-related financial intermediaries may be subject to information reporting and backup withholding, unless (i) the U.S. Holder is a corporation or other “exempt recipient” and (ii) in the case of backup withholding, the U.S. Holder provides a correct taxpayer identification number and certifies that it is not subject to backup withholding.</w:t>
      </w:r>
    </w:p>
    <w:p>
      <w:pPr>
        <w:spacing w:after="0" w:line="129" w:lineRule="exact"/>
        <w:rPr>
          <w:sz w:val="20"/>
          <w:szCs w:val="20"/>
          <w:color w:val="auto"/>
        </w:rPr>
      </w:pPr>
    </w:p>
    <w:p>
      <w:pPr>
        <w:ind w:left="1680" w:right="599" w:firstLine="317"/>
        <w:spacing w:after="0" w:line="257" w:lineRule="auto"/>
        <w:rPr>
          <w:sz w:val="20"/>
          <w:szCs w:val="20"/>
          <w:color w:val="auto"/>
        </w:rPr>
      </w:pPr>
      <w:r>
        <w:rPr>
          <w:rFonts w:ascii="Times New Roman" w:cs="Times New Roman" w:eastAsia="Times New Roman" w:hAnsi="Times New Roman"/>
          <w:sz w:val="13"/>
          <w:szCs w:val="13"/>
          <w:color w:val="auto"/>
        </w:rPr>
        <w:t>The amount of any backup withholding from a payment to a U.S. Holder will be allowed as a credit against the U.S. Holder’s U.S. federal income tax liability and may entitle it to a refund, provided that the required information is timely furnished to the IRS. Certain U.S. Holders who are individuals (or certain specified entities) may be required to report information relating to their ownership of our ADSs or ordinary shares, unless the ADSs or ordinary shares are held in accounts at financial institutions (in which case the accounts may be reportable if maintained by non-U.S. financial institutions). U.S. Holders should consult their tax advisers regarding their reporting obligations with respect to our ADSs or ordinary shares.</w:t>
      </w:r>
    </w:p>
    <w:p>
      <w:pPr>
        <w:spacing w:after="0" w:line="20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 xml:space="preserve">F. </w:t>
      </w:r>
      <w:r>
        <w:rPr>
          <w:rFonts w:ascii="Times New Roman" w:cs="Times New Roman" w:eastAsia="Times New Roman" w:hAnsi="Times New Roman"/>
          <w:sz w:val="13"/>
          <w:szCs w:val="13"/>
          <w:b w:val="1"/>
          <w:bCs w:val="1"/>
          <w:u w:val="single" w:color="auto"/>
          <w:color w:val="auto"/>
        </w:rPr>
        <w:t>Dividends and Paying Agents</w:t>
      </w:r>
      <w:r>
        <w:rPr>
          <w:rFonts w:ascii="Times New Roman" w:cs="Times New Roman" w:eastAsia="Times New Roman" w:hAnsi="Times New Roman"/>
          <w:sz w:val="13"/>
          <w:szCs w:val="13"/>
          <w:b w:val="1"/>
          <w:bCs w:val="1"/>
          <w:color w:val="auto"/>
        </w:rPr>
        <w:t>.</w:t>
      </w:r>
    </w:p>
    <w:p>
      <w:pPr>
        <w:spacing w:after="0" w:line="8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Not applicable.</w:t>
      </w:r>
    </w:p>
    <w:p>
      <w:pPr>
        <w:spacing w:after="0" w:line="23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 xml:space="preserve">G. </w:t>
      </w:r>
      <w:r>
        <w:rPr>
          <w:rFonts w:ascii="Times New Roman" w:cs="Times New Roman" w:eastAsia="Times New Roman" w:hAnsi="Times New Roman"/>
          <w:sz w:val="13"/>
          <w:szCs w:val="13"/>
          <w:b w:val="1"/>
          <w:bCs w:val="1"/>
          <w:u w:val="single" w:color="auto"/>
          <w:color w:val="auto"/>
        </w:rPr>
        <w:t>Statement by Experts.</w:t>
      </w:r>
    </w:p>
    <w:p>
      <w:pPr>
        <w:spacing w:after="0" w:line="8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Not applicable.</w:t>
      </w:r>
    </w:p>
    <w:p>
      <w:pPr>
        <w:spacing w:after="0" w:line="23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 xml:space="preserve">H. </w:t>
      </w:r>
      <w:r>
        <w:rPr>
          <w:rFonts w:ascii="Times New Roman" w:cs="Times New Roman" w:eastAsia="Times New Roman" w:hAnsi="Times New Roman"/>
          <w:sz w:val="13"/>
          <w:szCs w:val="13"/>
          <w:b w:val="1"/>
          <w:bCs w:val="1"/>
          <w:u w:val="single" w:color="auto"/>
          <w:color w:val="auto"/>
        </w:rPr>
        <w:t>Documents on Display</w:t>
      </w:r>
      <w:r>
        <w:rPr>
          <w:rFonts w:ascii="Times New Roman" w:cs="Times New Roman" w:eastAsia="Times New Roman" w:hAnsi="Times New Roman"/>
          <w:sz w:val="13"/>
          <w:szCs w:val="13"/>
          <w:b w:val="1"/>
          <w:bCs w:val="1"/>
          <w:color w:val="auto"/>
        </w:rPr>
        <w:t>.</w:t>
      </w:r>
    </w:p>
    <w:p>
      <w:pPr>
        <w:spacing w:after="0" w:line="86" w:lineRule="exact"/>
        <w:rPr>
          <w:sz w:val="20"/>
          <w:szCs w:val="20"/>
          <w:color w:val="auto"/>
        </w:rPr>
      </w:pPr>
    </w:p>
    <w:p>
      <w:pPr>
        <w:ind w:left="1680" w:right="619" w:firstLine="317"/>
        <w:spacing w:after="0" w:line="257" w:lineRule="auto"/>
        <w:rPr>
          <w:sz w:val="20"/>
          <w:szCs w:val="20"/>
          <w:color w:val="auto"/>
        </w:rPr>
      </w:pPr>
      <w:r>
        <w:rPr>
          <w:rFonts w:ascii="Times New Roman" w:cs="Times New Roman" w:eastAsia="Times New Roman" w:hAnsi="Times New Roman"/>
          <w:sz w:val="13"/>
          <w:szCs w:val="13"/>
          <w:color w:val="auto"/>
        </w:rPr>
        <w:t>We are subject to periodic reporting and other informational requirements of the Exchange Act as applicable to foreign private issuers. Accordingly, we are required to file reports, including annual reports on Form 20-F, and other information with the SEC. As a foreign private issuer, we are exempt from the rules of the Exchange Act prescribing the furnishing and content of proxy statements to shareholders, and our executive officers, directors and principal shareholders are not subject to the insider short-swing profit disclosure and recovery provisions of Section 16 of the Exchange Act.</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153</w:t>
      </w:r>
    </w:p>
    <w:p>
      <w:pPr>
        <w:sectPr>
          <w:pgSz w:w="11900" w:h="16838" w:orient="portrait"/>
          <w:cols w:equalWidth="0" w:num="1">
            <w:col w:w="10159"/>
          </w:cols>
          <w:pgMar w:left="300" w:top="388" w:right="1440"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659" w:firstLine="317"/>
        <w:spacing w:after="0" w:line="259" w:lineRule="auto"/>
        <w:rPr>
          <w:sz w:val="20"/>
          <w:szCs w:val="20"/>
          <w:color w:val="auto"/>
        </w:rPr>
      </w:pPr>
      <w:r>
        <w:rPr>
          <w:rFonts w:ascii="Times New Roman" w:cs="Times New Roman" w:eastAsia="Times New Roman" w:hAnsi="Times New Roman"/>
          <w:sz w:val="13"/>
          <w:szCs w:val="13"/>
          <w:color w:val="auto"/>
        </w:rPr>
        <w:t>All information that we have filed with the SEC can be accessed through the SEC’s website at www.sec.gov. This information can also be inspected and copied at the public reference facilities maintained by the SEC at 100 F Street, N.E., Washington, D.C. 20549. You can request copies of these documents, upon payment of a duplicating fee, by writing to the SEC. Please call the SEC at 1-800-SEC-0330 for further information on the operation of the public reference rooms.</w:t>
      </w:r>
    </w:p>
    <w:p>
      <w:pPr>
        <w:spacing w:after="0" w:line="133" w:lineRule="exact"/>
        <w:rPr>
          <w:sz w:val="20"/>
          <w:szCs w:val="20"/>
          <w:color w:val="auto"/>
        </w:rPr>
      </w:pPr>
    </w:p>
    <w:p>
      <w:pPr>
        <w:ind w:left="1680" w:right="579" w:firstLine="317"/>
        <w:spacing w:after="0" w:line="257" w:lineRule="auto"/>
        <w:rPr>
          <w:sz w:val="20"/>
          <w:szCs w:val="20"/>
          <w:color w:val="auto"/>
        </w:rPr>
      </w:pPr>
      <w:r>
        <w:rPr>
          <w:rFonts w:ascii="Times New Roman" w:cs="Times New Roman" w:eastAsia="Times New Roman" w:hAnsi="Times New Roman"/>
          <w:sz w:val="13"/>
          <w:szCs w:val="13"/>
          <w:color w:val="auto"/>
        </w:rPr>
        <w:t>We will furnish The Bank of New York Mellon, the depositary of the ADSs, with our annual reports, which will include a review of operations and annual audited consolidated financial statements prepared in conformity with U.S. GAAP, and all notices of shareholders’ meeting and other reports and communications that are made generally available to our shareholders. The depositary will make such notices, reports and communications available to holders of ADSs and, upon our written request, will mail to all record holders of ADSs the information contained in any notice of a shareholders’ meeting received by the depositary from us.</w:t>
      </w:r>
    </w:p>
    <w:p>
      <w:pPr>
        <w:spacing w:after="0" w:line="133" w:lineRule="exact"/>
        <w:rPr>
          <w:sz w:val="20"/>
          <w:szCs w:val="20"/>
          <w:color w:val="auto"/>
        </w:rPr>
      </w:pPr>
    </w:p>
    <w:p>
      <w:pPr>
        <w:ind w:left="1680" w:right="619" w:firstLine="317"/>
        <w:spacing w:after="0" w:line="278" w:lineRule="auto"/>
        <w:rPr>
          <w:sz w:val="20"/>
          <w:szCs w:val="20"/>
          <w:color w:val="auto"/>
        </w:rPr>
      </w:pPr>
      <w:r>
        <w:rPr>
          <w:rFonts w:ascii="Times New Roman" w:cs="Times New Roman" w:eastAsia="Times New Roman" w:hAnsi="Times New Roman"/>
          <w:sz w:val="13"/>
          <w:szCs w:val="13"/>
          <w:color w:val="auto"/>
        </w:rPr>
        <w:t>In accordance with Nasdaq Stock Market Rule 5250(d), we will post this annual report on Form 20-F on our website at ir.ehang.com. In addition, we will provide hard copies of our annual report free of charge to shareholders and ADS holders upon request.</w:t>
      </w:r>
    </w:p>
    <w:p>
      <w:pPr>
        <w:spacing w:after="0" w:line="196" w:lineRule="exact"/>
        <w:rPr>
          <w:sz w:val="20"/>
          <w:szCs w:val="20"/>
          <w:color w:val="auto"/>
        </w:rPr>
      </w:pPr>
    </w:p>
    <w:p>
      <w:pPr>
        <w:jc w:val="center"/>
        <w:ind w:right="5359"/>
        <w:spacing w:after="0"/>
        <w:rPr>
          <w:sz w:val="20"/>
          <w:szCs w:val="20"/>
          <w:color w:val="auto"/>
        </w:rPr>
      </w:pPr>
      <w:r>
        <w:rPr>
          <w:rFonts w:ascii="Times New Roman" w:cs="Times New Roman" w:eastAsia="Times New Roman" w:hAnsi="Times New Roman"/>
          <w:sz w:val="13"/>
          <w:szCs w:val="13"/>
          <w:b w:val="1"/>
          <w:bCs w:val="1"/>
          <w:color w:val="auto"/>
        </w:rPr>
        <w:t xml:space="preserve">I. </w:t>
      </w:r>
      <w:r>
        <w:rPr>
          <w:rFonts w:ascii="Times New Roman" w:cs="Times New Roman" w:eastAsia="Times New Roman" w:hAnsi="Times New Roman"/>
          <w:sz w:val="13"/>
          <w:szCs w:val="13"/>
          <w:b w:val="1"/>
          <w:bCs w:val="1"/>
          <w:u w:val="single" w:color="auto"/>
          <w:color w:val="auto"/>
        </w:rPr>
        <w:t>Subsidiary Information</w:t>
      </w:r>
      <w:r>
        <w:rPr>
          <w:rFonts w:ascii="Times New Roman" w:cs="Times New Roman" w:eastAsia="Times New Roman" w:hAnsi="Times New Roman"/>
          <w:sz w:val="13"/>
          <w:szCs w:val="13"/>
          <w:b w:val="1"/>
          <w:bCs w:val="1"/>
          <w:color w:val="auto"/>
        </w:rPr>
        <w:t>.</w:t>
      </w:r>
    </w:p>
    <w:p>
      <w:pPr>
        <w:spacing w:after="0" w:line="86" w:lineRule="exact"/>
        <w:rPr>
          <w:sz w:val="20"/>
          <w:szCs w:val="20"/>
          <w:color w:val="auto"/>
        </w:rPr>
      </w:pPr>
    </w:p>
    <w:p>
      <w:pPr>
        <w:jc w:val="center"/>
        <w:ind w:right="5379"/>
        <w:spacing w:after="0"/>
        <w:rPr>
          <w:sz w:val="20"/>
          <w:szCs w:val="20"/>
          <w:color w:val="auto"/>
        </w:rPr>
      </w:pPr>
      <w:r>
        <w:rPr>
          <w:rFonts w:ascii="Times New Roman" w:cs="Times New Roman" w:eastAsia="Times New Roman" w:hAnsi="Times New Roman"/>
          <w:sz w:val="13"/>
          <w:szCs w:val="13"/>
          <w:color w:val="auto"/>
        </w:rPr>
        <w:t>Not applicable.</w:t>
      </w:r>
    </w:p>
    <w:p>
      <w:pPr>
        <w:spacing w:after="0" w:line="267" w:lineRule="exact"/>
        <w:rPr>
          <w:sz w:val="20"/>
          <w:szCs w:val="20"/>
          <w:color w:val="auto"/>
        </w:rPr>
      </w:pPr>
    </w:p>
    <w:p>
      <w:pPr>
        <w:ind w:left="1680"/>
        <w:spacing w:after="0"/>
        <w:tabs>
          <w:tab w:leader="none" w:pos="2440" w:val="left"/>
        </w:tabs>
        <w:rPr>
          <w:sz w:val="20"/>
          <w:szCs w:val="20"/>
          <w:color w:val="auto"/>
        </w:rPr>
      </w:pPr>
      <w:r>
        <w:rPr>
          <w:rFonts w:ascii="Times New Roman" w:cs="Times New Roman" w:eastAsia="Times New Roman" w:hAnsi="Times New Roman"/>
          <w:sz w:val="13"/>
          <w:szCs w:val="13"/>
          <w:b w:val="1"/>
          <w:bCs w:val="1"/>
          <w:color w:val="auto"/>
        </w:rPr>
        <w:t>Item 11.</w:t>
      </w:r>
      <w:r>
        <w:rPr>
          <w:sz w:val="20"/>
          <w:szCs w:val="20"/>
          <w:color w:val="auto"/>
        </w:rPr>
        <w:tab/>
      </w:r>
      <w:r>
        <w:rPr>
          <w:rFonts w:ascii="Times New Roman" w:cs="Times New Roman" w:eastAsia="Times New Roman" w:hAnsi="Times New Roman"/>
          <w:sz w:val="12"/>
          <w:szCs w:val="12"/>
          <w:b w:val="1"/>
          <w:bCs w:val="1"/>
          <w:color w:val="auto"/>
        </w:rPr>
        <w:t>Quantitative and Qualitative Disclosures about Market Risk.</w:t>
      </w:r>
    </w:p>
    <w:p>
      <w:pPr>
        <w:spacing w:after="0" w:line="8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Foreign Currency Exchange Rate Risk</w:t>
      </w:r>
    </w:p>
    <w:p>
      <w:pPr>
        <w:spacing w:after="0" w:line="86" w:lineRule="exact"/>
        <w:rPr>
          <w:sz w:val="20"/>
          <w:szCs w:val="20"/>
          <w:color w:val="auto"/>
        </w:rPr>
      </w:pPr>
    </w:p>
    <w:p>
      <w:pPr>
        <w:ind w:left="1680" w:right="559" w:firstLine="317"/>
        <w:spacing w:after="0" w:line="257" w:lineRule="auto"/>
        <w:rPr>
          <w:sz w:val="20"/>
          <w:szCs w:val="20"/>
          <w:color w:val="auto"/>
        </w:rPr>
      </w:pPr>
      <w:r>
        <w:rPr>
          <w:rFonts w:ascii="Times New Roman" w:cs="Times New Roman" w:eastAsia="Times New Roman" w:hAnsi="Times New Roman"/>
          <w:sz w:val="13"/>
          <w:szCs w:val="13"/>
          <w:color w:val="auto"/>
        </w:rPr>
        <w:t>As of December 31, 2021, a majority of our revenues and expenses were denominated in RMB. We expect that in the future a substantial portion of our revenues will be denominated in foreign currencies as our business and operations expand in overseas markets. As a result, we are exposed to increased foreign exchange risks for U.S. dollar and other currencies. In addition, the value of your investment in the ADSs will be affected by the exchange rate between U.S. dollar and Renminbi because the value of our business is effectively denominated in RMB, while the ADSs will be traded in U.S. dollars.</w:t>
      </w:r>
    </w:p>
    <w:p>
      <w:pPr>
        <w:spacing w:after="0" w:line="133" w:lineRule="exact"/>
        <w:rPr>
          <w:sz w:val="20"/>
          <w:szCs w:val="20"/>
          <w:color w:val="auto"/>
        </w:rPr>
      </w:pPr>
    </w:p>
    <w:p>
      <w:pPr>
        <w:ind w:left="1680" w:right="559" w:firstLine="317"/>
        <w:spacing w:after="0" w:line="252" w:lineRule="auto"/>
        <w:rPr>
          <w:sz w:val="20"/>
          <w:szCs w:val="20"/>
          <w:color w:val="auto"/>
        </w:rPr>
      </w:pPr>
      <w:r>
        <w:rPr>
          <w:rFonts w:ascii="Times New Roman" w:cs="Times New Roman" w:eastAsia="Times New Roman" w:hAnsi="Times New Roman"/>
          <w:sz w:val="13"/>
          <w:szCs w:val="13"/>
          <w:color w:val="auto"/>
        </w:rPr>
        <w:t>The value of Renminbi against the U.S. dollar and other currencies may fluctuate and is affected by, among other things, changes in political and economic conditions and the foreign exchange policy adopted by the PRC government. On July 21, 2005, the PRC government changed its policy of pegging the value of the Renminbi to the U.S. dollar. Following the removal of the U.S. dollar peg, the Renminbi appreciated more than 20% against the U.S. dollar over the following three years. Between July 2008 and June 2010, this appreciation halted and the exchange rate between the Renminbi and the U.S. dollar remained within a narrow band. Since June 2010, the PRC government has allowed the Renminbi to appreciate slowly against the U.S. dollar again, and it has appreciated more than 10% since June 2010. On August 11, 2015, the People’s Bank of China announced plans to improve the central parity rate of the Renminbi against the U.S. dollar by authorizing market-makers to provide parity to the China Foreign Exchange Trading Center operated by the People’s Bank of China with reference to the interbank foreign exchange market closing rate of the previous day, the supply and demand for foreign currencies as well as changes in exchange rates of major international currencies. Effective from October 1, 2016, the International Monetary Fund added Renminbi to its Special Drawing Rights currency basket. Such change and additional future changes may increase volatility in the trading value of the Renminbi against foreign currencies. The PRC government may adopt further reforms of its exchange rate system, including making the Renminbi freely convertible in the future. Accordingly, it is difficult to predict how market forces or PRC or U.S. government policy may impact the exchange rate between Renminbi and the U.S. dollar in the future.</w:t>
      </w:r>
    </w:p>
    <w:p>
      <w:pPr>
        <w:spacing w:after="0" w:line="138" w:lineRule="exact"/>
        <w:rPr>
          <w:sz w:val="20"/>
          <w:szCs w:val="20"/>
          <w:color w:val="auto"/>
        </w:rPr>
      </w:pPr>
    </w:p>
    <w:p>
      <w:pPr>
        <w:ind w:left="1680" w:right="559" w:firstLine="317"/>
        <w:spacing w:after="0" w:line="259" w:lineRule="auto"/>
        <w:rPr>
          <w:sz w:val="20"/>
          <w:szCs w:val="20"/>
          <w:color w:val="auto"/>
        </w:rPr>
      </w:pPr>
      <w:r>
        <w:rPr>
          <w:rFonts w:ascii="Times New Roman" w:cs="Times New Roman" w:eastAsia="Times New Roman" w:hAnsi="Times New Roman"/>
          <w:sz w:val="13"/>
          <w:szCs w:val="13"/>
          <w:color w:val="auto"/>
        </w:rPr>
        <w:t>To the extent that we need to convert U.S. dollars into Renminbi for our operations, appreciation of Renminbi against the U.S. dollar would reduce the Renminbi amount we receive from the conversion. Conversely, if we decide to convert Renminbi into U.S. dollars for the purpose of making payments for dividends on our ordinary shares or ADSs, servicing our outstanding debt, or for other business purposes, appreciation of the U.S. dollar against the Renminbi would reduce the U.S. dollar amounts available to us.</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154</w:t>
      </w:r>
    </w:p>
    <w:p>
      <w:pPr>
        <w:sectPr>
          <w:pgSz w:w="11900" w:h="16838" w:orient="portrait"/>
          <w:cols w:equalWidth="0" w:num="1">
            <w:col w:w="10159"/>
          </w:cols>
          <w:pgMar w:left="300" w:top="388" w:right="1440"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Interest Rate Risk</w:t>
      </w:r>
    </w:p>
    <w:p>
      <w:pPr>
        <w:spacing w:after="0" w:line="86" w:lineRule="exact"/>
        <w:rPr>
          <w:sz w:val="20"/>
          <w:szCs w:val="20"/>
          <w:color w:val="auto"/>
        </w:rPr>
      </w:pPr>
    </w:p>
    <w:p>
      <w:pPr>
        <w:ind w:left="1680" w:right="659" w:firstLine="317"/>
        <w:spacing w:after="0" w:line="278" w:lineRule="auto"/>
        <w:rPr>
          <w:sz w:val="20"/>
          <w:szCs w:val="20"/>
          <w:color w:val="auto"/>
        </w:rPr>
      </w:pPr>
      <w:r>
        <w:rPr>
          <w:rFonts w:ascii="Times New Roman" w:cs="Times New Roman" w:eastAsia="Times New Roman" w:hAnsi="Times New Roman"/>
          <w:sz w:val="13"/>
          <w:szCs w:val="13"/>
          <w:color w:val="auto"/>
        </w:rPr>
        <w:t>We have not been exposed to material risks due to changes in interest rates, and we have not used any derivative financial instruments to manage our interest risk exposure.</w:t>
      </w:r>
    </w:p>
    <w:p>
      <w:pPr>
        <w:spacing w:after="0" w:line="121" w:lineRule="exact"/>
        <w:rPr>
          <w:sz w:val="20"/>
          <w:szCs w:val="20"/>
          <w:color w:val="auto"/>
        </w:rPr>
      </w:pPr>
    </w:p>
    <w:p>
      <w:pPr>
        <w:jc w:val="both"/>
        <w:ind w:left="1680" w:right="719" w:firstLine="317"/>
        <w:spacing w:after="0" w:line="264" w:lineRule="auto"/>
        <w:rPr>
          <w:sz w:val="20"/>
          <w:szCs w:val="20"/>
          <w:color w:val="auto"/>
        </w:rPr>
      </w:pPr>
      <w:r>
        <w:rPr>
          <w:rFonts w:ascii="Times New Roman" w:cs="Times New Roman" w:eastAsia="Times New Roman" w:hAnsi="Times New Roman"/>
          <w:sz w:val="13"/>
          <w:szCs w:val="13"/>
          <w:color w:val="auto"/>
        </w:rPr>
        <w:t>Our exposure to interest rate risk primarily relates to excess cash invested in short-term investments. Investments in both fixed rate and floating rate interest earning instruments carry a degree of interest rate risk. Fixed rate securities may have their fair market value adversely impacted due to a rise in interest rates, while floating rate securities may produce less income than expected if interest rates fall.</w:t>
      </w:r>
    </w:p>
    <w:p>
      <w:pPr>
        <w:spacing w:after="0" w:line="234" w:lineRule="exact"/>
        <w:rPr>
          <w:sz w:val="20"/>
          <w:szCs w:val="20"/>
          <w:color w:val="auto"/>
        </w:rPr>
      </w:pPr>
    </w:p>
    <w:p>
      <w:pPr>
        <w:ind w:left="1680"/>
        <w:spacing w:after="0"/>
        <w:tabs>
          <w:tab w:leader="none" w:pos="2440" w:val="left"/>
        </w:tabs>
        <w:rPr>
          <w:sz w:val="20"/>
          <w:szCs w:val="20"/>
          <w:color w:val="auto"/>
        </w:rPr>
      </w:pPr>
      <w:r>
        <w:rPr>
          <w:rFonts w:ascii="Times New Roman" w:cs="Times New Roman" w:eastAsia="Times New Roman" w:hAnsi="Times New Roman"/>
          <w:sz w:val="13"/>
          <w:szCs w:val="13"/>
          <w:b w:val="1"/>
          <w:bCs w:val="1"/>
          <w:color w:val="auto"/>
        </w:rPr>
        <w:t>Item 12.</w:t>
      </w:r>
      <w:r>
        <w:rPr>
          <w:sz w:val="20"/>
          <w:szCs w:val="20"/>
          <w:color w:val="auto"/>
        </w:rPr>
        <w:tab/>
      </w:r>
      <w:r>
        <w:rPr>
          <w:rFonts w:ascii="Times New Roman" w:cs="Times New Roman" w:eastAsia="Times New Roman" w:hAnsi="Times New Roman"/>
          <w:sz w:val="12"/>
          <w:szCs w:val="12"/>
          <w:b w:val="1"/>
          <w:bCs w:val="1"/>
          <w:color w:val="auto"/>
        </w:rPr>
        <w:t>Description of Securities Other than Equity Securities.</w:t>
      </w:r>
    </w:p>
    <w:p>
      <w:pPr>
        <w:spacing w:after="0" w:line="24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 xml:space="preserve">A. </w:t>
      </w:r>
      <w:r>
        <w:rPr>
          <w:rFonts w:ascii="Times New Roman" w:cs="Times New Roman" w:eastAsia="Times New Roman" w:hAnsi="Times New Roman"/>
          <w:sz w:val="13"/>
          <w:szCs w:val="13"/>
          <w:b w:val="1"/>
          <w:bCs w:val="1"/>
          <w:u w:val="single" w:color="auto"/>
          <w:color w:val="auto"/>
        </w:rPr>
        <w:t>Debt Securities</w:t>
      </w:r>
      <w:r>
        <w:rPr>
          <w:rFonts w:ascii="Times New Roman" w:cs="Times New Roman" w:eastAsia="Times New Roman" w:hAnsi="Times New Roman"/>
          <w:sz w:val="13"/>
          <w:szCs w:val="13"/>
          <w:b w:val="1"/>
          <w:bCs w:val="1"/>
          <w:color w:val="auto"/>
        </w:rPr>
        <w:t>.</w:t>
      </w:r>
    </w:p>
    <w:p>
      <w:pPr>
        <w:spacing w:after="0" w:line="8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Not applicable.</w:t>
      </w:r>
    </w:p>
    <w:p>
      <w:pPr>
        <w:spacing w:after="0" w:line="23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 xml:space="preserve">B. </w:t>
      </w:r>
      <w:r>
        <w:rPr>
          <w:rFonts w:ascii="Times New Roman" w:cs="Times New Roman" w:eastAsia="Times New Roman" w:hAnsi="Times New Roman"/>
          <w:sz w:val="13"/>
          <w:szCs w:val="13"/>
          <w:b w:val="1"/>
          <w:bCs w:val="1"/>
          <w:u w:val="single" w:color="auto"/>
          <w:color w:val="auto"/>
        </w:rPr>
        <w:t>Warrants and Rights</w:t>
      </w:r>
      <w:r>
        <w:rPr>
          <w:rFonts w:ascii="Times New Roman" w:cs="Times New Roman" w:eastAsia="Times New Roman" w:hAnsi="Times New Roman"/>
          <w:sz w:val="13"/>
          <w:szCs w:val="13"/>
          <w:b w:val="1"/>
          <w:bCs w:val="1"/>
          <w:color w:val="auto"/>
        </w:rPr>
        <w:t>.</w:t>
      </w:r>
    </w:p>
    <w:p>
      <w:pPr>
        <w:spacing w:after="0" w:line="8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Not applicable.</w:t>
      </w:r>
    </w:p>
    <w:p>
      <w:pPr>
        <w:spacing w:after="0" w:line="238" w:lineRule="exact"/>
        <w:rPr>
          <w:sz w:val="20"/>
          <w:szCs w:val="20"/>
          <w:color w:val="auto"/>
        </w:rPr>
      </w:pPr>
    </w:p>
    <w:p>
      <w:pPr>
        <w:jc w:val="right"/>
        <w:ind w:right="7399"/>
        <w:spacing w:after="0"/>
        <w:rPr>
          <w:sz w:val="20"/>
          <w:szCs w:val="20"/>
          <w:color w:val="auto"/>
        </w:rPr>
      </w:pPr>
      <w:r>
        <w:rPr>
          <w:rFonts w:ascii="Times New Roman" w:cs="Times New Roman" w:eastAsia="Times New Roman" w:hAnsi="Times New Roman"/>
          <w:sz w:val="13"/>
          <w:szCs w:val="13"/>
          <w:b w:val="1"/>
          <w:bCs w:val="1"/>
          <w:color w:val="auto"/>
        </w:rPr>
        <w:t xml:space="preserve">C. </w:t>
      </w:r>
      <w:r>
        <w:rPr>
          <w:rFonts w:ascii="Times New Roman" w:cs="Times New Roman" w:eastAsia="Times New Roman" w:hAnsi="Times New Roman"/>
          <w:sz w:val="13"/>
          <w:szCs w:val="13"/>
          <w:b w:val="1"/>
          <w:bCs w:val="1"/>
          <w:u w:val="single" w:color="auto"/>
          <w:color w:val="auto"/>
        </w:rPr>
        <w:t>Other Securities</w:t>
      </w:r>
      <w:r>
        <w:rPr>
          <w:rFonts w:ascii="Times New Roman" w:cs="Times New Roman" w:eastAsia="Times New Roman" w:hAnsi="Times New Roman"/>
          <w:sz w:val="13"/>
          <w:szCs w:val="13"/>
          <w:b w:val="1"/>
          <w:bCs w:val="1"/>
          <w:color w:val="auto"/>
        </w:rPr>
        <w:t>.</w:t>
      </w:r>
    </w:p>
    <w:p>
      <w:pPr>
        <w:spacing w:after="0" w:line="86" w:lineRule="exact"/>
        <w:rPr>
          <w:sz w:val="20"/>
          <w:szCs w:val="20"/>
          <w:color w:val="auto"/>
        </w:rPr>
      </w:pPr>
    </w:p>
    <w:p>
      <w:pPr>
        <w:jc w:val="right"/>
        <w:ind w:right="7379"/>
        <w:spacing w:after="0"/>
        <w:rPr>
          <w:sz w:val="20"/>
          <w:szCs w:val="20"/>
          <w:color w:val="auto"/>
        </w:rPr>
      </w:pPr>
      <w:r>
        <w:rPr>
          <w:rFonts w:ascii="Times New Roman" w:cs="Times New Roman" w:eastAsia="Times New Roman" w:hAnsi="Times New Roman"/>
          <w:sz w:val="13"/>
          <w:szCs w:val="13"/>
          <w:color w:val="auto"/>
        </w:rPr>
        <w:t>Not applicable.</w:t>
      </w:r>
    </w:p>
    <w:p>
      <w:pPr>
        <w:spacing w:after="0" w:line="23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 xml:space="preserve">D. </w:t>
      </w:r>
      <w:r>
        <w:rPr>
          <w:rFonts w:ascii="Times New Roman" w:cs="Times New Roman" w:eastAsia="Times New Roman" w:hAnsi="Times New Roman"/>
          <w:sz w:val="13"/>
          <w:szCs w:val="13"/>
          <w:b w:val="1"/>
          <w:bCs w:val="1"/>
          <w:u w:val="single" w:color="auto"/>
          <w:color w:val="auto"/>
        </w:rPr>
        <w:t>American Depositary Shares</w:t>
      </w:r>
      <w:r>
        <w:rPr>
          <w:rFonts w:ascii="Times New Roman" w:cs="Times New Roman" w:eastAsia="Times New Roman" w:hAnsi="Times New Roman"/>
          <w:sz w:val="13"/>
          <w:szCs w:val="13"/>
          <w:b w:val="1"/>
          <w:bCs w:val="1"/>
          <w:color w:val="auto"/>
        </w:rPr>
        <w:t>.</w:t>
      </w:r>
    </w:p>
    <w:p>
      <w:pPr>
        <w:spacing w:after="0" w:line="8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Fees and Expenses</w:t>
      </w:r>
    </w:p>
    <w:p>
      <w:pPr>
        <w:spacing w:after="0" w:line="88" w:lineRule="exact"/>
        <w:rPr>
          <w:sz w:val="20"/>
          <w:szCs w:val="20"/>
          <w:color w:val="auto"/>
        </w:rPr>
      </w:pPr>
    </w:p>
    <w:p>
      <w:pPr>
        <w:ind w:left="1680" w:right="599" w:firstLine="317"/>
        <w:spacing w:after="0" w:line="255" w:lineRule="auto"/>
        <w:rPr>
          <w:sz w:val="20"/>
          <w:szCs w:val="20"/>
          <w:color w:val="auto"/>
        </w:rPr>
      </w:pPr>
      <w:r>
        <w:rPr>
          <w:rFonts w:ascii="Times New Roman" w:cs="Times New Roman" w:eastAsia="Times New Roman" w:hAnsi="Times New Roman"/>
          <w:sz w:val="13"/>
          <w:szCs w:val="13"/>
          <w:color w:val="auto"/>
        </w:rPr>
        <w:t>The Bank of New York Mellon, as depositary, is responsible for registering and delivering American Depositary Shares, also referred to as ADSs. Each ADS represents two Class A ordinary shares (or a right to receive two Class A ordinary shares) deposited with The Hongkong and Shanghai Banking Corporation Limited, as custodian for the depositary in Hong Kong. Each ADS also represents any other securities, cash or other property that may be held by the depositary. The deposited shares together with any other securities, cash or other property held by the depositary are referred to as the deposited securities. The depositary’s office at which the ADSs are being administered and its principal executive office are each located at 240 Greenwich Street, New York, New York 10286.</w:t>
      </w:r>
    </w:p>
    <w:p>
      <w:pPr>
        <w:spacing w:after="0" w:line="13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An ADS holder will be required to pay the following fees under the terms of the deposit agreement:</w:t>
      </w:r>
    </w:p>
    <w:p>
      <w:pPr>
        <w:spacing w:after="0" w:line="177" w:lineRule="exact"/>
        <w:rPr>
          <w:sz w:val="20"/>
          <w:szCs w:val="20"/>
          <w:color w:val="auto"/>
        </w:rPr>
      </w:pPr>
    </w:p>
    <w:tbl>
      <w:tblPr>
        <w:tblLayout w:type="fixed"/>
        <w:tblInd w:w="1680" w:type="dxa"/>
        <w:tblCellMar>
          <w:top w:w="0" w:type="dxa"/>
          <w:left w:w="0" w:type="dxa"/>
          <w:bottom w:w="0" w:type="dxa"/>
          <w:right w:w="0" w:type="dxa"/>
        </w:tblCellMar>
      </w:tblPr>
      <w:tr>
        <w:trPr>
          <w:trHeight w:val="124"/>
        </w:trPr>
        <w:tc>
          <w:tcPr>
            <w:tcW w:w="3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Persons depositing or withdrawing shares or ADS holders must pay</w:t>
            </w:r>
          </w:p>
        </w:tc>
        <w:tc>
          <w:tcPr>
            <w:tcW w:w="11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62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0"/>
                <w:szCs w:val="10"/>
                <w:b w:val="1"/>
                <w:bCs w:val="1"/>
                <w:color w:val="auto"/>
              </w:rPr>
              <w:t>For</w:t>
            </w:r>
          </w:p>
        </w:tc>
      </w:tr>
      <w:tr>
        <w:trPr>
          <w:trHeight w:val="210"/>
        </w:trPr>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w w:val="95"/>
              </w:rPr>
              <w:t>$5.00</w:t>
            </w:r>
          </w:p>
        </w:tc>
        <w:tc>
          <w:tcPr>
            <w:tcW w:w="2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(or less) per 100 ADSs (or portion of 100 ADSs)</w:t>
            </w:r>
          </w:p>
        </w:tc>
        <w:tc>
          <w:tcPr>
            <w:tcW w:w="1140" w:type="dxa"/>
            <w:vAlign w:val="bottom"/>
          </w:tcPr>
          <w:p>
            <w:pPr>
              <w:spacing w:after="0"/>
              <w:rPr>
                <w:sz w:val="18"/>
                <w:szCs w:val="18"/>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3"/>
              </w:rPr>
              <w:t>• </w:t>
            </w:r>
          </w:p>
        </w:tc>
        <w:tc>
          <w:tcPr>
            <w:tcW w:w="3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 Issuance of ADSs, including issuances resulting from a distribution</w:t>
            </w:r>
          </w:p>
        </w:tc>
      </w:tr>
      <w:tr>
        <w:trPr>
          <w:trHeight w:val="168"/>
        </w:trPr>
        <w:tc>
          <w:tcPr>
            <w:tcW w:w="3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of shares or rights or other property</w:t>
            </w:r>
          </w:p>
        </w:tc>
      </w:tr>
      <w:tr>
        <w:trPr>
          <w:trHeight w:val="222"/>
        </w:trPr>
        <w:tc>
          <w:tcPr>
            <w:tcW w:w="3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3"/>
              </w:rPr>
              <w:t>• </w:t>
            </w:r>
          </w:p>
        </w:tc>
        <w:tc>
          <w:tcPr>
            <w:tcW w:w="3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 Cancellation of ADSs for the purpose of withdrawal, including if</w:t>
            </w:r>
          </w:p>
        </w:tc>
      </w:tr>
      <w:tr>
        <w:trPr>
          <w:trHeight w:val="168"/>
        </w:trPr>
        <w:tc>
          <w:tcPr>
            <w:tcW w:w="3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the deposit agreement terminates</w:t>
            </w:r>
          </w:p>
        </w:tc>
      </w:tr>
      <w:tr>
        <w:trPr>
          <w:trHeight w:val="233"/>
        </w:trPr>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w w:val="95"/>
              </w:rPr>
              <w:t>$0.05</w:t>
            </w:r>
          </w:p>
        </w:tc>
        <w:tc>
          <w:tcPr>
            <w:tcW w:w="2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(or less) per ADS</w:t>
            </w:r>
          </w:p>
        </w:tc>
        <w:tc>
          <w:tcPr>
            <w:tcW w:w="1140" w:type="dxa"/>
            <w:vAlign w:val="bottom"/>
          </w:tcPr>
          <w:p>
            <w:pPr>
              <w:spacing w:after="0"/>
              <w:rPr>
                <w:sz w:val="20"/>
                <w:szCs w:val="20"/>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3"/>
              </w:rPr>
              <w:t>• </w:t>
            </w:r>
          </w:p>
        </w:tc>
        <w:tc>
          <w:tcPr>
            <w:tcW w:w="3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 Any cash distribution to ADS holders</w:t>
            </w:r>
          </w:p>
        </w:tc>
      </w:tr>
      <w:tr>
        <w:trPr>
          <w:trHeight w:val="263"/>
        </w:trPr>
        <w:tc>
          <w:tcPr>
            <w:tcW w:w="30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155</w:t>
            </w:r>
          </w:p>
        </w:tc>
        <w:tc>
          <w:tcPr>
            <w:tcW w:w="180" w:type="dxa"/>
            <w:vAlign w:val="bottom"/>
          </w:tcPr>
          <w:p>
            <w:pPr>
              <w:spacing w:after="0"/>
              <w:rPr>
                <w:sz w:val="22"/>
                <w:szCs w:val="22"/>
                <w:color w:val="auto"/>
              </w:rPr>
            </w:pPr>
          </w:p>
        </w:tc>
        <w:tc>
          <w:tcPr>
            <w:tcW w:w="3620" w:type="dxa"/>
            <w:vAlign w:val="bottom"/>
          </w:tcPr>
          <w:p>
            <w:pPr>
              <w:spacing w:after="0"/>
              <w:rPr>
                <w:sz w:val="22"/>
                <w:szCs w:val="22"/>
                <w:color w:val="auto"/>
              </w:rPr>
            </w:pPr>
          </w:p>
        </w:tc>
      </w:tr>
    </w:tbl>
    <w:p>
      <w:pPr>
        <w:sectPr>
          <w:pgSz w:w="11900" w:h="16838" w:orient="portrait"/>
          <w:cols w:equalWidth="0" w:num="1">
            <w:col w:w="10159"/>
          </w:cols>
          <w:pgMar w:left="300" w:top="388" w:right="1440"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18" w:lineRule="exact"/>
        <w:rPr>
          <w:sz w:val="20"/>
          <w:szCs w:val="20"/>
          <w:color w:val="auto"/>
        </w:rPr>
      </w:pPr>
    </w:p>
    <w:tbl>
      <w:tblPr>
        <w:tblLayout w:type="fixed"/>
        <w:tblInd w:w="1680" w:type="dxa"/>
        <w:tblCellMar>
          <w:top w:w="0" w:type="dxa"/>
          <w:left w:w="0" w:type="dxa"/>
          <w:bottom w:w="0" w:type="dxa"/>
          <w:right w:w="0" w:type="dxa"/>
        </w:tblCellMar>
      </w:tblPr>
      <w:tr>
        <w:trPr>
          <w:trHeight w:val="124"/>
        </w:trPr>
        <w:tc>
          <w:tcPr>
            <w:tcW w:w="4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Persons depositing or withdrawing shares or ADS holders must pay</w:t>
            </w:r>
          </w:p>
        </w:tc>
        <w:tc>
          <w:tcPr>
            <w:tcW w:w="180" w:type="dxa"/>
            <w:vAlign w:val="bottom"/>
            <w:tcBorders>
              <w:bottom w:val="single" w:sz="8" w:color="auto"/>
            </w:tcBorders>
          </w:tcPr>
          <w:p>
            <w:pPr>
              <w:spacing w:after="0"/>
              <w:rPr>
                <w:sz w:val="10"/>
                <w:szCs w:val="10"/>
                <w:color w:val="auto"/>
              </w:rPr>
            </w:pPr>
          </w:p>
        </w:tc>
        <w:tc>
          <w:tcPr>
            <w:tcW w:w="362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0"/>
                <w:szCs w:val="10"/>
                <w:b w:val="1"/>
                <w:bCs w:val="1"/>
                <w:color w:val="auto"/>
              </w:rPr>
              <w:t>For</w:t>
            </w:r>
          </w:p>
        </w:tc>
      </w:tr>
      <w:tr>
        <w:trPr>
          <w:trHeight w:val="210"/>
        </w:trPr>
        <w:tc>
          <w:tcPr>
            <w:tcW w:w="4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 fee equivalent to the fee that would be payable if securities distributed to</w:t>
            </w:r>
          </w:p>
        </w:tc>
        <w:tc>
          <w:tcPr>
            <w:tcW w:w="18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3"/>
              </w:rPr>
              <w:t>• </w:t>
            </w:r>
          </w:p>
        </w:tc>
        <w:tc>
          <w:tcPr>
            <w:tcW w:w="3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 Distribution of securities distributed to holders of deposited</w:t>
            </w:r>
          </w:p>
        </w:tc>
      </w:tr>
      <w:tr>
        <w:trPr>
          <w:trHeight w:val="156"/>
        </w:trPr>
        <w:tc>
          <w:tcPr>
            <w:tcW w:w="4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you had been shares and the shares had been deposited for issuance of ADSs</w:t>
            </w:r>
          </w:p>
        </w:tc>
        <w:tc>
          <w:tcPr>
            <w:tcW w:w="180" w:type="dxa"/>
            <w:vAlign w:val="bottom"/>
          </w:tcPr>
          <w:p>
            <w:pPr>
              <w:spacing w:after="0"/>
              <w:rPr>
                <w:sz w:val="13"/>
                <w:szCs w:val="13"/>
                <w:color w:val="auto"/>
              </w:rPr>
            </w:pPr>
          </w:p>
        </w:tc>
        <w:tc>
          <w:tcPr>
            <w:tcW w:w="36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securities (including rights) that are distributed by the depositary to</w:t>
            </w:r>
          </w:p>
        </w:tc>
      </w:tr>
      <w:tr>
        <w:trPr>
          <w:trHeight w:val="168"/>
        </w:trPr>
        <w:tc>
          <w:tcPr>
            <w:tcW w:w="3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ADS holders</w:t>
            </w:r>
          </w:p>
        </w:tc>
      </w:tr>
      <w:tr>
        <w:trPr>
          <w:trHeight w:val="233"/>
        </w:trPr>
        <w:tc>
          <w:tcPr>
            <w:tcW w:w="4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$.05 (or less) per ADS per calendar year</w:t>
            </w:r>
          </w:p>
        </w:tc>
        <w:tc>
          <w:tcPr>
            <w:tcW w:w="18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3"/>
              </w:rPr>
              <w:t>• </w:t>
            </w:r>
          </w:p>
        </w:tc>
        <w:tc>
          <w:tcPr>
            <w:tcW w:w="3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 Depositary services</w:t>
            </w:r>
          </w:p>
        </w:tc>
      </w:tr>
      <w:tr>
        <w:trPr>
          <w:trHeight w:val="222"/>
        </w:trPr>
        <w:tc>
          <w:tcPr>
            <w:tcW w:w="4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Registration or transfer fees</w:t>
            </w:r>
          </w:p>
        </w:tc>
        <w:tc>
          <w:tcPr>
            <w:tcW w:w="18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3"/>
              </w:rPr>
              <w:t>• </w:t>
            </w:r>
          </w:p>
        </w:tc>
        <w:tc>
          <w:tcPr>
            <w:tcW w:w="3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 Transfer and registration of shares on our share register to or from</w:t>
            </w:r>
          </w:p>
        </w:tc>
      </w:tr>
      <w:tr>
        <w:trPr>
          <w:trHeight w:val="156"/>
        </w:trPr>
        <w:tc>
          <w:tcPr>
            <w:tcW w:w="3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the name of the depositary or its agent when you deposit or</w:t>
            </w:r>
          </w:p>
        </w:tc>
      </w:tr>
      <w:tr>
        <w:trPr>
          <w:trHeight w:val="168"/>
        </w:trPr>
        <w:tc>
          <w:tcPr>
            <w:tcW w:w="3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withdraw shares</w:t>
            </w:r>
          </w:p>
        </w:tc>
      </w:tr>
      <w:tr>
        <w:trPr>
          <w:trHeight w:val="222"/>
        </w:trPr>
        <w:tc>
          <w:tcPr>
            <w:tcW w:w="4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Expenses of the depositary</w:t>
            </w:r>
          </w:p>
        </w:tc>
        <w:tc>
          <w:tcPr>
            <w:tcW w:w="18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3"/>
              </w:rPr>
              <w:t>• </w:t>
            </w:r>
          </w:p>
        </w:tc>
        <w:tc>
          <w:tcPr>
            <w:tcW w:w="3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 Cable (including SWIFT) and facsimile transmissions (when</w:t>
            </w:r>
          </w:p>
        </w:tc>
      </w:tr>
      <w:tr>
        <w:trPr>
          <w:trHeight w:val="168"/>
        </w:trPr>
        <w:tc>
          <w:tcPr>
            <w:tcW w:w="3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expressly provided in the deposit agreement)</w:t>
            </w:r>
          </w:p>
        </w:tc>
      </w:tr>
      <w:tr>
        <w:trPr>
          <w:trHeight w:val="233"/>
        </w:trPr>
        <w:tc>
          <w:tcPr>
            <w:tcW w:w="3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3"/>
              </w:rPr>
              <w:t>• </w:t>
            </w:r>
          </w:p>
        </w:tc>
        <w:tc>
          <w:tcPr>
            <w:tcW w:w="3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 Converting foreign currency to U.S. dollars</w:t>
            </w:r>
          </w:p>
        </w:tc>
      </w:tr>
      <w:tr>
        <w:trPr>
          <w:trHeight w:val="222"/>
        </w:trPr>
        <w:tc>
          <w:tcPr>
            <w:tcW w:w="4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Taxes and other governmental charges the depositary or the custodian has to</w:t>
            </w:r>
          </w:p>
        </w:tc>
        <w:tc>
          <w:tcPr>
            <w:tcW w:w="18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3"/>
              </w:rPr>
              <w:t>• </w:t>
            </w:r>
          </w:p>
        </w:tc>
        <w:tc>
          <w:tcPr>
            <w:tcW w:w="3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 As necessary</w:t>
            </w:r>
          </w:p>
        </w:tc>
      </w:tr>
      <w:tr>
        <w:trPr>
          <w:trHeight w:val="156"/>
        </w:trPr>
        <w:tc>
          <w:tcPr>
            <w:tcW w:w="4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pay on any ADSs or shares underlying ADSs, such as stock transfer taxes,</w:t>
            </w:r>
          </w:p>
        </w:tc>
        <w:tc>
          <w:tcPr>
            <w:tcW w:w="18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168"/>
        </w:trPr>
        <w:tc>
          <w:tcPr>
            <w:tcW w:w="4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stamp duty or withholding taxes</w:t>
            </w:r>
          </w:p>
        </w:tc>
        <w:tc>
          <w:tcPr>
            <w:tcW w:w="180" w:type="dxa"/>
            <w:vAlign w:val="bottom"/>
          </w:tcPr>
          <w:p>
            <w:pPr>
              <w:spacing w:after="0"/>
              <w:rPr>
                <w:sz w:val="14"/>
                <w:szCs w:val="14"/>
                <w:color w:val="auto"/>
              </w:rPr>
            </w:pPr>
          </w:p>
        </w:tc>
        <w:tc>
          <w:tcPr>
            <w:tcW w:w="3620" w:type="dxa"/>
            <w:vAlign w:val="bottom"/>
          </w:tcPr>
          <w:p>
            <w:pPr>
              <w:spacing w:after="0"/>
              <w:rPr>
                <w:sz w:val="14"/>
                <w:szCs w:val="14"/>
                <w:color w:val="auto"/>
              </w:rPr>
            </w:pPr>
          </w:p>
        </w:tc>
      </w:tr>
      <w:tr>
        <w:trPr>
          <w:trHeight w:val="222"/>
        </w:trPr>
        <w:tc>
          <w:tcPr>
            <w:tcW w:w="4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Any charges incurred by the depositary or its agents for servicing the</w:t>
            </w:r>
          </w:p>
        </w:tc>
        <w:tc>
          <w:tcPr>
            <w:tcW w:w="18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3"/>
              </w:rPr>
              <w:t>• </w:t>
            </w:r>
          </w:p>
        </w:tc>
        <w:tc>
          <w:tcPr>
            <w:tcW w:w="3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 As necessary</w:t>
            </w:r>
          </w:p>
        </w:tc>
      </w:tr>
      <w:tr>
        <w:trPr>
          <w:trHeight w:val="168"/>
        </w:trPr>
        <w:tc>
          <w:tcPr>
            <w:tcW w:w="4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deposited securities</w:t>
            </w:r>
          </w:p>
        </w:tc>
        <w:tc>
          <w:tcPr>
            <w:tcW w:w="180" w:type="dxa"/>
            <w:vAlign w:val="bottom"/>
          </w:tcPr>
          <w:p>
            <w:pPr>
              <w:spacing w:after="0"/>
              <w:rPr>
                <w:sz w:val="14"/>
                <w:szCs w:val="14"/>
                <w:color w:val="auto"/>
              </w:rPr>
            </w:pPr>
          </w:p>
        </w:tc>
        <w:tc>
          <w:tcPr>
            <w:tcW w:w="3620" w:type="dxa"/>
            <w:vAlign w:val="bottom"/>
          </w:tcPr>
          <w:p>
            <w:pPr>
              <w:spacing w:after="0"/>
              <w:rPr>
                <w:sz w:val="14"/>
                <w:szCs w:val="14"/>
                <w:color w:val="auto"/>
              </w:rPr>
            </w:pPr>
          </w:p>
        </w:tc>
      </w:tr>
    </w:tbl>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Fees and Other Payments Made by the Depositary to Us</w:t>
      </w:r>
    </w:p>
    <w:p>
      <w:pPr>
        <w:spacing w:after="0" w:line="88" w:lineRule="exact"/>
        <w:rPr>
          <w:sz w:val="20"/>
          <w:szCs w:val="20"/>
          <w:color w:val="auto"/>
        </w:rPr>
      </w:pPr>
    </w:p>
    <w:p>
      <w:pPr>
        <w:ind w:left="1680" w:right="559" w:firstLine="317"/>
        <w:spacing w:after="0" w:line="255" w:lineRule="auto"/>
        <w:rPr>
          <w:sz w:val="20"/>
          <w:szCs w:val="20"/>
          <w:color w:val="auto"/>
        </w:rPr>
      </w:pPr>
      <w:r>
        <w:rPr>
          <w:rFonts w:ascii="Times New Roman" w:cs="Times New Roman" w:eastAsia="Times New Roman" w:hAnsi="Times New Roman"/>
          <w:sz w:val="13"/>
          <w:szCs w:val="13"/>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 For the year ended December 31, 2021, we received nil in reimbursement from the depositary for our expenses incurred in connection with the establishment and maintenance of the ADS program.</w:t>
      </w:r>
    </w:p>
    <w:p>
      <w:pPr>
        <w:spacing w:after="0" w:line="21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Payment of Taxes</w:t>
      </w:r>
    </w:p>
    <w:p>
      <w:pPr>
        <w:spacing w:after="0" w:line="88" w:lineRule="exact"/>
        <w:rPr>
          <w:sz w:val="20"/>
          <w:szCs w:val="20"/>
          <w:color w:val="auto"/>
        </w:rPr>
      </w:pPr>
    </w:p>
    <w:p>
      <w:pPr>
        <w:ind w:left="1680" w:right="559" w:firstLine="317"/>
        <w:spacing w:after="0" w:line="255" w:lineRule="auto"/>
        <w:rPr>
          <w:sz w:val="20"/>
          <w:szCs w:val="20"/>
          <w:color w:val="auto"/>
        </w:rPr>
      </w:pPr>
      <w:r>
        <w:rPr>
          <w:rFonts w:ascii="Times New Roman" w:cs="Times New Roman" w:eastAsia="Times New Roman" w:hAnsi="Times New Roman"/>
          <w:sz w:val="13"/>
          <w:szCs w:val="13"/>
          <w:color w:val="auto"/>
        </w:rPr>
        <w:t>ADS holders will be responsible for any taxes or other governmental charges payable on the ADSs or on the deposited securities represented by any of the ADSs. The depositary may refuse to register any transfer of ADSs or allow holders thereof to withdraw the deposited securities represented by the ADSs until those taxes or other charges are paid. It may apply payments owed to ADS holders or sell deposited securities represented by the ADSs to pay any taxes owed and the ADS holders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29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3"/>
          <w:szCs w:val="13"/>
          <w:b w:val="1"/>
          <w:bCs w:val="1"/>
          <w:color w:val="auto"/>
        </w:rPr>
        <w:t>PART II</w:t>
      </w:r>
    </w:p>
    <w:p>
      <w:pPr>
        <w:spacing w:after="0" w:line="181" w:lineRule="exact"/>
        <w:rPr>
          <w:sz w:val="20"/>
          <w:szCs w:val="20"/>
          <w:color w:val="auto"/>
        </w:rPr>
      </w:pPr>
    </w:p>
    <w:p>
      <w:pPr>
        <w:ind w:left="1680"/>
        <w:spacing w:after="0"/>
        <w:tabs>
          <w:tab w:leader="none" w:pos="2440" w:val="left"/>
        </w:tabs>
        <w:rPr>
          <w:sz w:val="20"/>
          <w:szCs w:val="20"/>
          <w:color w:val="auto"/>
        </w:rPr>
      </w:pPr>
      <w:r>
        <w:rPr>
          <w:rFonts w:ascii="Times New Roman" w:cs="Times New Roman" w:eastAsia="Times New Roman" w:hAnsi="Times New Roman"/>
          <w:sz w:val="13"/>
          <w:szCs w:val="13"/>
          <w:b w:val="1"/>
          <w:bCs w:val="1"/>
          <w:color w:val="auto"/>
        </w:rPr>
        <w:t>Item 13.</w:t>
      </w:r>
      <w:r>
        <w:rPr>
          <w:sz w:val="20"/>
          <w:szCs w:val="20"/>
          <w:color w:val="auto"/>
        </w:rPr>
        <w:tab/>
      </w:r>
      <w:r>
        <w:rPr>
          <w:rFonts w:ascii="Times New Roman" w:cs="Times New Roman" w:eastAsia="Times New Roman" w:hAnsi="Times New Roman"/>
          <w:sz w:val="12"/>
          <w:szCs w:val="12"/>
          <w:b w:val="1"/>
          <w:bCs w:val="1"/>
          <w:color w:val="auto"/>
        </w:rPr>
        <w:t>Defaults, Dividend Arrearages and Delinquencies.</w:t>
      </w:r>
    </w:p>
    <w:p>
      <w:pPr>
        <w:spacing w:after="0" w:line="8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None.</w:t>
      </w:r>
    </w:p>
    <w:p>
      <w:pPr>
        <w:spacing w:after="0" w:line="267" w:lineRule="exact"/>
        <w:rPr>
          <w:sz w:val="20"/>
          <w:szCs w:val="20"/>
          <w:color w:val="auto"/>
        </w:rPr>
      </w:pPr>
    </w:p>
    <w:p>
      <w:pPr>
        <w:ind w:left="1680"/>
        <w:spacing w:after="0"/>
        <w:tabs>
          <w:tab w:leader="none" w:pos="2440" w:val="left"/>
        </w:tabs>
        <w:rPr>
          <w:sz w:val="20"/>
          <w:szCs w:val="20"/>
          <w:color w:val="auto"/>
        </w:rPr>
      </w:pPr>
      <w:r>
        <w:rPr>
          <w:rFonts w:ascii="Times New Roman" w:cs="Times New Roman" w:eastAsia="Times New Roman" w:hAnsi="Times New Roman"/>
          <w:sz w:val="13"/>
          <w:szCs w:val="13"/>
          <w:b w:val="1"/>
          <w:bCs w:val="1"/>
          <w:color w:val="auto"/>
        </w:rPr>
        <w:t>Item 14.</w:t>
      </w:r>
      <w:r>
        <w:rPr>
          <w:sz w:val="20"/>
          <w:szCs w:val="20"/>
          <w:color w:val="auto"/>
        </w:rPr>
        <w:tab/>
      </w:r>
      <w:r>
        <w:rPr>
          <w:rFonts w:ascii="Times New Roman" w:cs="Times New Roman" w:eastAsia="Times New Roman" w:hAnsi="Times New Roman"/>
          <w:sz w:val="12"/>
          <w:szCs w:val="12"/>
          <w:b w:val="1"/>
          <w:bCs w:val="1"/>
          <w:color w:val="auto"/>
        </w:rPr>
        <w:t>Material Modifications to the Rights of Security Holders and Use of Proceeds.</w:t>
      </w:r>
    </w:p>
    <w:p>
      <w:pPr>
        <w:spacing w:after="0" w:line="86" w:lineRule="exact"/>
        <w:rPr>
          <w:sz w:val="20"/>
          <w:szCs w:val="20"/>
          <w:color w:val="auto"/>
        </w:rPr>
      </w:pPr>
    </w:p>
    <w:p>
      <w:pPr>
        <w:ind w:left="1680" w:right="1039" w:firstLine="317"/>
        <w:spacing w:after="0" w:line="278" w:lineRule="auto"/>
        <w:rPr>
          <w:sz w:val="20"/>
          <w:szCs w:val="20"/>
          <w:color w:val="auto"/>
        </w:rPr>
      </w:pPr>
      <w:r>
        <w:rPr>
          <w:rFonts w:ascii="Times New Roman" w:cs="Times New Roman" w:eastAsia="Times New Roman" w:hAnsi="Times New Roman"/>
          <w:sz w:val="13"/>
          <w:szCs w:val="13"/>
          <w:color w:val="auto"/>
        </w:rPr>
        <w:t>See “Item 10. Additional Information—B. Memorandum and Articles of Association—Ordinary Shares” for a description of the rights of securities holders, which remain unchanged.</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156</w:t>
      </w:r>
    </w:p>
    <w:p>
      <w:pPr>
        <w:sectPr>
          <w:pgSz w:w="11900" w:h="16838" w:orient="portrait"/>
          <w:cols w:equalWidth="0" w:num="1">
            <w:col w:w="10159"/>
          </w:cols>
          <w:pgMar w:left="300" w:top="388" w:right="1440"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Use of Proceeds</w:t>
      </w:r>
    </w:p>
    <w:p>
      <w:pPr>
        <w:spacing w:after="0" w:line="86" w:lineRule="exact"/>
        <w:rPr>
          <w:sz w:val="20"/>
          <w:szCs w:val="20"/>
          <w:color w:val="auto"/>
        </w:rPr>
      </w:pPr>
    </w:p>
    <w:p>
      <w:pPr>
        <w:ind w:left="1680" w:right="699" w:firstLine="317"/>
        <w:spacing w:after="0" w:line="296" w:lineRule="auto"/>
        <w:rPr>
          <w:sz w:val="20"/>
          <w:szCs w:val="20"/>
          <w:color w:val="auto"/>
        </w:rPr>
      </w:pPr>
      <w:r>
        <w:rPr>
          <w:rFonts w:ascii="Times New Roman" w:cs="Times New Roman" w:eastAsia="Times New Roman" w:hAnsi="Times New Roman"/>
          <w:sz w:val="12"/>
          <w:szCs w:val="12"/>
          <w:color w:val="auto"/>
        </w:rPr>
        <w:t>The following “Use of Proceeds” information relates to the registration statement on Form F-1, as amended (File No. 333-234411) in relation to our initial public offering of 3,200,000 ADSs representing 6,400,000 Class A ordinary shares, at an initial offering price of US$12.50 per ADS. Our initial public offering closed in December 2019. Morgan Stanley &amp; Co. LLC was the representative of the underwriters for our initial public offering.</w:t>
      </w:r>
    </w:p>
    <w:p>
      <w:pPr>
        <w:spacing w:after="0" w:line="112" w:lineRule="exact"/>
        <w:rPr>
          <w:sz w:val="20"/>
          <w:szCs w:val="20"/>
          <w:color w:val="auto"/>
        </w:rPr>
      </w:pPr>
    </w:p>
    <w:p>
      <w:pPr>
        <w:ind w:left="1680" w:right="579" w:firstLine="317"/>
        <w:spacing w:after="0" w:line="277" w:lineRule="auto"/>
        <w:rPr>
          <w:sz w:val="20"/>
          <w:szCs w:val="20"/>
          <w:color w:val="auto"/>
        </w:rPr>
      </w:pPr>
      <w:r>
        <w:rPr>
          <w:rFonts w:ascii="Times New Roman" w:cs="Times New Roman" w:eastAsia="Times New Roman" w:hAnsi="Times New Roman"/>
          <w:sz w:val="12"/>
          <w:szCs w:val="12"/>
          <w:color w:val="auto"/>
        </w:rPr>
        <w:t>The registration statement was declared effective by the SEC on December 11, 2019. For the period from the effective date of the registration statement to December 31, 2021, the total expenses incurred for our company’s account in connection with our initial public offering was approximately US$5.9 million, which included US$2.8 million in underwriting discounts and commissions for the initial public offering and approximately</w:t>
      </w:r>
    </w:p>
    <w:p>
      <w:pPr>
        <w:spacing w:after="0" w:line="1" w:lineRule="exact"/>
        <w:rPr>
          <w:sz w:val="20"/>
          <w:szCs w:val="20"/>
          <w:color w:val="auto"/>
        </w:rPr>
      </w:pPr>
    </w:p>
    <w:p>
      <w:pPr>
        <w:jc w:val="both"/>
        <w:ind w:left="1680" w:right="679"/>
        <w:spacing w:after="0" w:line="254" w:lineRule="auto"/>
        <w:rPr>
          <w:sz w:val="20"/>
          <w:szCs w:val="20"/>
          <w:color w:val="auto"/>
        </w:rPr>
      </w:pPr>
      <w:r>
        <w:rPr>
          <w:rFonts w:ascii="Times New Roman" w:cs="Times New Roman" w:eastAsia="Times New Roman" w:hAnsi="Times New Roman"/>
          <w:sz w:val="13"/>
          <w:szCs w:val="13"/>
          <w:color w:val="auto"/>
        </w:rPr>
        <w:t>US$3.1 million in other costs and expenses for our initial public offering. We received net proceeds of approximately US$37.1 million from our initial public offering. None of the transaction expenses included payments to directors or officers of our company or their associates, persons owning more than 10% or more of our equity securities or our affiliates.</w:t>
      </w:r>
    </w:p>
    <w:p>
      <w:pPr>
        <w:spacing w:after="0" w:line="136" w:lineRule="exact"/>
        <w:rPr>
          <w:sz w:val="20"/>
          <w:szCs w:val="20"/>
          <w:color w:val="auto"/>
        </w:rPr>
      </w:pPr>
    </w:p>
    <w:p>
      <w:pPr>
        <w:ind w:left="1680" w:right="679" w:firstLine="317"/>
        <w:spacing w:after="0" w:line="257" w:lineRule="auto"/>
        <w:rPr>
          <w:sz w:val="20"/>
          <w:szCs w:val="20"/>
          <w:color w:val="auto"/>
        </w:rPr>
      </w:pPr>
      <w:r>
        <w:rPr>
          <w:rFonts w:ascii="Times New Roman" w:cs="Times New Roman" w:eastAsia="Times New Roman" w:hAnsi="Times New Roman"/>
          <w:sz w:val="13"/>
          <w:szCs w:val="13"/>
          <w:color w:val="auto"/>
        </w:rPr>
        <w:t>For the period from December 11, 2019, the date that the registration statement was declared effective by the SEC, to December 31, 2021, we used all of the net proceeds from our initial public offering for investment in business operations, research and development, and for general corporate purpose. There is no material change in the use of proceeds as described in the registration statement. None of the net proceeds from the initial public offering were paid, directly or indirectly, to any of our directors or officers or their associates, persons owning 10% or more of our equity securities or our affiliates.</w:t>
      </w:r>
    </w:p>
    <w:p>
      <w:pPr>
        <w:spacing w:after="0" w:line="238" w:lineRule="exact"/>
        <w:rPr>
          <w:sz w:val="20"/>
          <w:szCs w:val="20"/>
          <w:color w:val="auto"/>
        </w:rPr>
      </w:pPr>
    </w:p>
    <w:p>
      <w:pPr>
        <w:ind w:left="1680"/>
        <w:spacing w:after="0"/>
        <w:tabs>
          <w:tab w:leader="none" w:pos="2440" w:val="left"/>
        </w:tabs>
        <w:rPr>
          <w:sz w:val="20"/>
          <w:szCs w:val="20"/>
          <w:color w:val="auto"/>
        </w:rPr>
      </w:pPr>
      <w:r>
        <w:rPr>
          <w:rFonts w:ascii="Times New Roman" w:cs="Times New Roman" w:eastAsia="Times New Roman" w:hAnsi="Times New Roman"/>
          <w:sz w:val="13"/>
          <w:szCs w:val="13"/>
          <w:b w:val="1"/>
          <w:bCs w:val="1"/>
          <w:color w:val="auto"/>
        </w:rPr>
        <w:t>Item 15.</w:t>
      </w:r>
      <w:r>
        <w:rPr>
          <w:sz w:val="20"/>
          <w:szCs w:val="20"/>
          <w:color w:val="auto"/>
        </w:rPr>
        <w:tab/>
      </w:r>
      <w:r>
        <w:rPr>
          <w:rFonts w:ascii="Times New Roman" w:cs="Times New Roman" w:eastAsia="Times New Roman" w:hAnsi="Times New Roman"/>
          <w:sz w:val="13"/>
          <w:szCs w:val="13"/>
          <w:b w:val="1"/>
          <w:bCs w:val="1"/>
          <w:color w:val="auto"/>
        </w:rPr>
        <w:t>Controls and Procedures.</w:t>
      </w:r>
    </w:p>
    <w:p>
      <w:pPr>
        <w:spacing w:after="0" w:line="8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Evaluation of Disclosure Controls and Procedures</w:t>
      </w:r>
    </w:p>
    <w:p>
      <w:pPr>
        <w:spacing w:after="0" w:line="86" w:lineRule="exact"/>
        <w:rPr>
          <w:sz w:val="20"/>
          <w:szCs w:val="20"/>
          <w:color w:val="auto"/>
        </w:rPr>
      </w:pPr>
    </w:p>
    <w:p>
      <w:pPr>
        <w:ind w:left="1680" w:right="619" w:firstLine="317"/>
        <w:spacing w:after="0" w:line="264" w:lineRule="auto"/>
        <w:rPr>
          <w:sz w:val="20"/>
          <w:szCs w:val="20"/>
          <w:color w:val="auto"/>
        </w:rPr>
      </w:pPr>
      <w:r>
        <w:rPr>
          <w:rFonts w:ascii="Times New Roman" w:cs="Times New Roman" w:eastAsia="Times New Roman" w:hAnsi="Times New Roman"/>
          <w:sz w:val="13"/>
          <w:szCs w:val="13"/>
          <w:color w:val="auto"/>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annual report.</w:t>
      </w:r>
    </w:p>
    <w:p>
      <w:pPr>
        <w:spacing w:after="0" w:line="129" w:lineRule="exact"/>
        <w:rPr>
          <w:sz w:val="20"/>
          <w:szCs w:val="20"/>
          <w:color w:val="auto"/>
        </w:rPr>
      </w:pPr>
    </w:p>
    <w:p>
      <w:pPr>
        <w:ind w:left="1680" w:right="679" w:firstLine="317"/>
        <w:spacing w:after="0" w:line="259" w:lineRule="auto"/>
        <w:rPr>
          <w:sz w:val="20"/>
          <w:szCs w:val="20"/>
          <w:color w:val="auto"/>
        </w:rPr>
      </w:pPr>
      <w:r>
        <w:rPr>
          <w:rFonts w:ascii="Times New Roman" w:cs="Times New Roman" w:eastAsia="Times New Roman" w:hAnsi="Times New Roman"/>
          <w:sz w:val="13"/>
          <w:szCs w:val="13"/>
          <w:color w:val="auto"/>
        </w:rPr>
        <w:t>Based upon that evaluation, our management has concluded that, as of December 31, 2021, our disclosure controls and procedures were ineffective because of the material weaknesses in our internal control over financial reporting described in this annual report. Notwithstanding thereof, we believe that our consolidated financial statements included in this annual report fairly present our financial position, results of operations and cash flows for the fiscal years covered thereby in all material respects.</w:t>
      </w:r>
    </w:p>
    <w:p>
      <w:pPr>
        <w:spacing w:after="0" w:line="20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Management’s Annual Report on Internal Control over Financial Reporting</w:t>
      </w:r>
    </w:p>
    <w:p>
      <w:pPr>
        <w:spacing w:after="0" w:line="86" w:lineRule="exact"/>
        <w:rPr>
          <w:sz w:val="20"/>
          <w:szCs w:val="20"/>
          <w:color w:val="auto"/>
        </w:rPr>
      </w:pPr>
    </w:p>
    <w:p>
      <w:pPr>
        <w:ind w:left="1680" w:right="579" w:firstLine="317"/>
        <w:spacing w:after="0" w:line="257" w:lineRule="auto"/>
        <w:rPr>
          <w:sz w:val="20"/>
          <w:szCs w:val="20"/>
          <w:color w:val="auto"/>
        </w:rPr>
      </w:pPr>
      <w:r>
        <w:rPr>
          <w:rFonts w:ascii="Times New Roman" w:cs="Times New Roman" w:eastAsia="Times New Roman" w:hAnsi="Times New Roman"/>
          <w:sz w:val="13"/>
          <w:szCs w:val="13"/>
          <w:color w:val="auto"/>
        </w:rPr>
        <w:t>Our management is responsible for establishing and maintaining adequate internal control over financial reporting (as defined in Rules 13a-15(f) under the Securities Exchange Act of 1934, as amended). Our management evaluated the effectiveness of our internal control over financial reporting based on criteria established in the framework in Internal Control-Integrated Framework (2013) issued by the Committee of Sponsoring Organizations of the Treadway Commission. Based on this evaluation, our management has concluded that our internal control over financial reporting was ineffective as of December 31, 2021, due to the material weaknesses in our internal control over financial reporting described below.</w:t>
      </w:r>
    </w:p>
    <w:p>
      <w:pPr>
        <w:spacing w:after="0" w:line="133" w:lineRule="exact"/>
        <w:rPr>
          <w:sz w:val="20"/>
          <w:szCs w:val="20"/>
          <w:color w:val="auto"/>
        </w:rPr>
      </w:pPr>
    </w:p>
    <w:p>
      <w:pPr>
        <w:ind w:left="1680" w:right="619" w:firstLine="317"/>
        <w:spacing w:after="0" w:line="257" w:lineRule="auto"/>
        <w:rPr>
          <w:sz w:val="20"/>
          <w:szCs w:val="20"/>
          <w:color w:val="auto"/>
        </w:rPr>
      </w:pPr>
      <w:r>
        <w:rPr>
          <w:rFonts w:ascii="Times New Roman" w:cs="Times New Roman" w:eastAsia="Times New Roman" w:hAnsi="Times New Roman"/>
          <w:sz w:val="13"/>
          <w:szCs w:val="13"/>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material weaknesses in our internal control over financial reporting identified as of December 31, 2021 were (i) the lack of financial reporting policies and procedures that are commensurate with U.S. GAAP and SEC reporting requirements, (ii) the lack of sufficient controls for properly tracking the shipping records of the AAVs, and (iii) the lack of monitoring of the collection of accounts receivable on a timely basis.</w:t>
      </w:r>
    </w:p>
    <w:p>
      <w:pPr>
        <w:spacing w:after="0" w:line="133" w:lineRule="exact"/>
        <w:rPr>
          <w:sz w:val="20"/>
          <w:szCs w:val="20"/>
          <w:color w:val="auto"/>
        </w:rPr>
      </w:pPr>
    </w:p>
    <w:p>
      <w:pPr>
        <w:ind w:left="1680" w:right="739" w:firstLine="317"/>
        <w:spacing w:after="0" w:line="264" w:lineRule="auto"/>
        <w:rPr>
          <w:sz w:val="20"/>
          <w:szCs w:val="20"/>
          <w:color w:val="auto"/>
        </w:rPr>
      </w:pPr>
      <w:r>
        <w:rPr>
          <w:rFonts w:ascii="Times New Roman" w:cs="Times New Roman" w:eastAsia="Times New Roman" w:hAnsi="Times New Roman"/>
          <w:sz w:val="13"/>
          <w:szCs w:val="13"/>
          <w:color w:val="auto"/>
        </w:rPr>
        <w:t>Because of its inherent limitations, internal control over financial reporting may not prevent or detect misstatements. In addition, projections of any evaluation of effectiveness of our internal control over financial reporting to future periods are subject to the risk that controls may become inadequate because of changes in conditions, or that the degree of compliance with the policies and procedures may deteriorate.</w:t>
      </w:r>
    </w:p>
    <w:p>
      <w:pPr>
        <w:spacing w:after="0" w:line="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157</w:t>
      </w:r>
    </w:p>
    <w:p>
      <w:pPr>
        <w:sectPr>
          <w:pgSz w:w="11900" w:h="16838" w:orient="portrait"/>
          <w:cols w:equalWidth="0" w:num="1">
            <w:col w:w="10159"/>
          </w:cols>
          <w:pgMar w:left="300" w:top="388" w:right="1440"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Attestation Report of the Registered Public Accounting Firm</w:t>
      </w:r>
    </w:p>
    <w:p>
      <w:pPr>
        <w:spacing w:after="0" w:line="86" w:lineRule="exact"/>
        <w:rPr>
          <w:sz w:val="20"/>
          <w:szCs w:val="20"/>
          <w:color w:val="auto"/>
        </w:rPr>
      </w:pPr>
    </w:p>
    <w:p>
      <w:pPr>
        <w:ind w:left="1680" w:right="639" w:firstLine="317"/>
        <w:spacing w:after="0" w:line="257" w:lineRule="auto"/>
        <w:rPr>
          <w:sz w:val="20"/>
          <w:szCs w:val="20"/>
          <w:color w:val="auto"/>
        </w:rPr>
      </w:pPr>
      <w:r>
        <w:rPr>
          <w:rFonts w:ascii="Times New Roman" w:cs="Times New Roman" w:eastAsia="Times New Roman" w:hAnsi="Times New Roman"/>
          <w:sz w:val="13"/>
          <w:szCs w:val="13"/>
          <w:color w:val="auto"/>
        </w:rPr>
        <w:t>As a company with less than US$1.07 billion in revenues for fiscal year of 2021, we qualify as an “emerging growth company,” as defined in the JOBS Act, we may take advantage of certain temporary exemptions from various reporting requirements, including, but not limited to, not being required to comply with the auditor attestation requirements of Section 404 of the Sarbanes-Oxley Act (and the SEC rules and regulations there under). Therefore, no attestation report by our independent registered public accounting firm regarding our internal control over financial reporting is included in this annual report.</w:t>
      </w:r>
    </w:p>
    <w:p>
      <w:pPr>
        <w:spacing w:after="0" w:line="20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Changes in Internal Control over Financial Reporting</w:t>
      </w:r>
    </w:p>
    <w:p>
      <w:pPr>
        <w:spacing w:after="0" w:line="86" w:lineRule="exact"/>
        <w:rPr>
          <w:sz w:val="20"/>
          <w:szCs w:val="20"/>
          <w:color w:val="auto"/>
        </w:rPr>
      </w:pPr>
    </w:p>
    <w:p>
      <w:pPr>
        <w:ind w:left="1680" w:right="559" w:firstLine="317"/>
        <w:spacing w:after="0" w:line="252" w:lineRule="auto"/>
        <w:rPr>
          <w:sz w:val="20"/>
          <w:szCs w:val="20"/>
          <w:color w:val="auto"/>
        </w:rPr>
      </w:pPr>
      <w:r>
        <w:rPr>
          <w:rFonts w:ascii="Times New Roman" w:cs="Times New Roman" w:eastAsia="Times New Roman" w:hAnsi="Times New Roman"/>
          <w:sz w:val="13"/>
          <w:szCs w:val="13"/>
          <w:color w:val="auto"/>
        </w:rPr>
        <w:t>In preparing our consolidated financial statements as of and for the years ended December 31, 2020 included in our annual report on Form 20-F for the year ended December 31, 2020, we identified three material weaknesses in our internal control over financial reporting, as defined in the standards established by the Public Company Accounting Oversight Board of the United States, or PCAOB. The identified material weaknesses arose from our (i) lack of financial reporting policies and procedures that are commensurate with U.S. GAAP and SEC reporting requirements, (ii) lack of sufficient controls for properly tracking the shipping records of the AAVs, and (iii) lack of monitoring of the collection of accounts receivable on a timely basis. We have implemented the following measures to remediate these identified material weaknesses, including (i) we hired additional accounting and financial reporting personnel with U.S. GAAP and SEC reporting experience; (ii) we provided continuous and appropriate training to the accounting and financial reporting personnel, especially the training related to U.S. GAAP, and SEC rules and regulations; (iii) we developed a set of accounting policies, which document the current U.S. GAAP accounting standards and technical accounting guidance that are applicable to our business; (iv) we formalized a period-end closing process to prepare financial statements and related disclosures in compliance with U.S. GAAP and SEC financial reporting requirements; (v) we replaced the logistics service provider with a reputable vendor and further implemented a number of controls for recording and tracking the shipping records of AAVs accurately and timely; and (vi) we further strengthened finance department’s monitoring control over the collection of accounts receivable through quarterly assessment with sales department.</w:t>
      </w:r>
    </w:p>
    <w:p>
      <w:pPr>
        <w:spacing w:after="0" w:line="138" w:lineRule="exact"/>
        <w:rPr>
          <w:sz w:val="20"/>
          <w:szCs w:val="20"/>
          <w:color w:val="auto"/>
        </w:rPr>
      </w:pPr>
    </w:p>
    <w:p>
      <w:pPr>
        <w:ind w:left="1680" w:right="559" w:firstLine="317"/>
        <w:spacing w:after="0" w:line="278" w:lineRule="auto"/>
        <w:rPr>
          <w:sz w:val="20"/>
          <w:szCs w:val="20"/>
          <w:color w:val="auto"/>
        </w:rPr>
      </w:pPr>
      <w:r>
        <w:rPr>
          <w:rFonts w:ascii="Times New Roman" w:cs="Times New Roman" w:eastAsia="Times New Roman" w:hAnsi="Times New Roman"/>
          <w:sz w:val="13"/>
          <w:szCs w:val="13"/>
          <w:color w:val="auto"/>
        </w:rPr>
        <w:t>The implementation of the foregoing measures did not fully remediate the material weaknesses in internal control over financial reporting, and our management concluded that the aforementioned three material weaknesses still exist as of December 31, 2021.</w:t>
      </w:r>
    </w:p>
    <w:p>
      <w:pPr>
        <w:spacing w:after="0" w:line="121" w:lineRule="exact"/>
        <w:rPr>
          <w:sz w:val="20"/>
          <w:szCs w:val="20"/>
          <w:color w:val="auto"/>
        </w:rPr>
      </w:pPr>
    </w:p>
    <w:p>
      <w:pPr>
        <w:ind w:left="1680" w:right="659" w:firstLine="317"/>
        <w:spacing w:after="0" w:line="278" w:lineRule="auto"/>
        <w:rPr>
          <w:sz w:val="20"/>
          <w:szCs w:val="20"/>
          <w:color w:val="auto"/>
        </w:rPr>
      </w:pPr>
      <w:r>
        <w:rPr>
          <w:rFonts w:ascii="Times New Roman" w:cs="Times New Roman" w:eastAsia="Times New Roman" w:hAnsi="Times New Roman"/>
          <w:sz w:val="13"/>
          <w:szCs w:val="13"/>
          <w:color w:val="auto"/>
        </w:rPr>
        <w:t>Other than as described above, there were no changes in our internal controls over financial reporting that occurred during the period covered by this annual report that have materially affected, or are reasonably likely to materially affect, our internal control over financial reporting.</w:t>
      </w:r>
    </w:p>
    <w:p>
      <w:pPr>
        <w:spacing w:after="0" w:line="226" w:lineRule="exact"/>
        <w:rPr>
          <w:sz w:val="20"/>
          <w:szCs w:val="20"/>
          <w:color w:val="auto"/>
        </w:rPr>
      </w:pPr>
    </w:p>
    <w:p>
      <w:pPr>
        <w:ind w:left="1680"/>
        <w:spacing w:after="0"/>
        <w:tabs>
          <w:tab w:leader="none" w:pos="2440" w:val="left"/>
        </w:tabs>
        <w:rPr>
          <w:sz w:val="20"/>
          <w:szCs w:val="20"/>
          <w:color w:val="auto"/>
        </w:rPr>
      </w:pPr>
      <w:r>
        <w:rPr>
          <w:rFonts w:ascii="Times New Roman" w:cs="Times New Roman" w:eastAsia="Times New Roman" w:hAnsi="Times New Roman"/>
          <w:sz w:val="13"/>
          <w:szCs w:val="13"/>
          <w:b w:val="1"/>
          <w:bCs w:val="1"/>
          <w:color w:val="auto"/>
        </w:rPr>
        <w:t>Item 16A.</w:t>
      </w:r>
      <w:r>
        <w:rPr>
          <w:sz w:val="20"/>
          <w:szCs w:val="20"/>
          <w:color w:val="auto"/>
        </w:rPr>
        <w:tab/>
      </w:r>
      <w:r>
        <w:rPr>
          <w:rFonts w:ascii="Times New Roman" w:cs="Times New Roman" w:eastAsia="Times New Roman" w:hAnsi="Times New Roman"/>
          <w:sz w:val="12"/>
          <w:szCs w:val="12"/>
          <w:b w:val="1"/>
          <w:bCs w:val="1"/>
          <w:color w:val="auto"/>
        </w:rPr>
        <w:t>Audit Committee Financial Expert.</w:t>
      </w:r>
    </w:p>
    <w:p>
      <w:pPr>
        <w:spacing w:after="0" w:line="86" w:lineRule="exact"/>
        <w:rPr>
          <w:sz w:val="20"/>
          <w:szCs w:val="20"/>
          <w:color w:val="auto"/>
        </w:rPr>
      </w:pPr>
    </w:p>
    <w:p>
      <w:pPr>
        <w:ind w:left="1680" w:right="799" w:firstLine="317"/>
        <w:spacing w:after="0" w:line="322" w:lineRule="auto"/>
        <w:rPr>
          <w:sz w:val="20"/>
          <w:szCs w:val="20"/>
          <w:color w:val="auto"/>
        </w:rPr>
      </w:pPr>
      <w:r>
        <w:rPr>
          <w:rFonts w:ascii="Times New Roman" w:cs="Times New Roman" w:eastAsia="Times New Roman" w:hAnsi="Times New Roman"/>
          <w:sz w:val="12"/>
          <w:szCs w:val="12"/>
          <w:color w:val="auto"/>
        </w:rPr>
        <w:t>Our board of directors has determined that Mr. Conor Chia-hung Yang, an independent director (under the standards set forth in Nasdaq Stock Market Rule 5605(a)(2) and Rule 10A-3 under the Exchange Act) and member of our audit committee, is an audit committee financial expert.</w:t>
      </w:r>
    </w:p>
    <w:p>
      <w:pPr>
        <w:spacing w:after="0" w:line="4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158</w:t>
      </w:r>
    </w:p>
    <w:p>
      <w:pPr>
        <w:sectPr>
          <w:pgSz w:w="11900" w:h="16838" w:orient="portrait"/>
          <w:cols w:equalWidth="0" w:num="1">
            <w:col w:w="10159"/>
          </w:cols>
          <w:pgMar w:left="300" w:top="388" w:right="1440"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ind w:left="1680"/>
        <w:spacing w:after="0"/>
        <w:tabs>
          <w:tab w:leader="none" w:pos="2440" w:val="left"/>
        </w:tabs>
        <w:rPr>
          <w:sz w:val="20"/>
          <w:szCs w:val="20"/>
          <w:color w:val="auto"/>
        </w:rPr>
      </w:pPr>
      <w:r>
        <w:rPr>
          <w:rFonts w:ascii="Times New Roman" w:cs="Times New Roman" w:eastAsia="Times New Roman" w:hAnsi="Times New Roman"/>
          <w:sz w:val="13"/>
          <w:szCs w:val="13"/>
          <w:b w:val="1"/>
          <w:bCs w:val="1"/>
          <w:color w:val="auto"/>
        </w:rPr>
        <w:t>Item 16B.</w:t>
      </w:r>
      <w:r>
        <w:rPr>
          <w:sz w:val="20"/>
          <w:szCs w:val="20"/>
          <w:color w:val="auto"/>
        </w:rPr>
        <w:tab/>
      </w:r>
      <w:r>
        <w:rPr>
          <w:rFonts w:ascii="Times New Roman" w:cs="Times New Roman" w:eastAsia="Times New Roman" w:hAnsi="Times New Roman"/>
          <w:sz w:val="12"/>
          <w:szCs w:val="12"/>
          <w:b w:val="1"/>
          <w:bCs w:val="1"/>
          <w:color w:val="auto"/>
        </w:rPr>
        <w:t>Code of Ethics.</w:t>
      </w:r>
    </w:p>
    <w:p>
      <w:pPr>
        <w:spacing w:after="0" w:line="86" w:lineRule="exact"/>
        <w:rPr>
          <w:sz w:val="20"/>
          <w:szCs w:val="20"/>
          <w:color w:val="auto"/>
        </w:rPr>
      </w:pPr>
    </w:p>
    <w:p>
      <w:pPr>
        <w:ind w:left="1680" w:right="679" w:firstLine="317"/>
        <w:spacing w:after="0" w:line="259" w:lineRule="auto"/>
        <w:rPr>
          <w:sz w:val="20"/>
          <w:szCs w:val="20"/>
          <w:color w:val="auto"/>
        </w:rPr>
      </w:pPr>
      <w:r>
        <w:rPr>
          <w:rFonts w:ascii="Times New Roman" w:cs="Times New Roman" w:eastAsia="Times New Roman" w:hAnsi="Times New Roman"/>
          <w:sz w:val="13"/>
          <w:szCs w:val="13"/>
          <w:color w:val="auto"/>
        </w:rPr>
        <w:t xml:space="preserve">Our board of directors has adopted a code of ethics that applies to all of the directors, officers and employees of us and our subsidiaries, whether they work for us on a full-time, part-time, consultative, or temporary basis. Certain provisions of the code apply specifically to our chief executive officer, chief financial officer, senior finance officer, controller, senior vice presidents, vice presidents and any other persons who perform similar functions for us. We have posted a copy of our code of business conduct and ethics on our website at </w:t>
      </w:r>
      <w:r>
        <w:rPr>
          <w:rFonts w:ascii="Times New Roman" w:cs="Times New Roman" w:eastAsia="Times New Roman" w:hAnsi="Times New Roman"/>
          <w:sz w:val="13"/>
          <w:szCs w:val="13"/>
          <w:i w:val="1"/>
          <w:iCs w:val="1"/>
          <w:color w:val="auto"/>
        </w:rPr>
        <w:t>http://ir.ehang.com</w:t>
      </w:r>
      <w:r>
        <w:rPr>
          <w:rFonts w:ascii="Times New Roman" w:cs="Times New Roman" w:eastAsia="Times New Roman" w:hAnsi="Times New Roman"/>
          <w:sz w:val="13"/>
          <w:szCs w:val="13"/>
          <w:color w:val="auto"/>
        </w:rPr>
        <w:t>.</w:t>
      </w:r>
    </w:p>
    <w:p>
      <w:pPr>
        <w:spacing w:after="0" w:line="238" w:lineRule="exact"/>
        <w:rPr>
          <w:sz w:val="20"/>
          <w:szCs w:val="20"/>
          <w:color w:val="auto"/>
        </w:rPr>
      </w:pPr>
    </w:p>
    <w:p>
      <w:pPr>
        <w:ind w:left="1680"/>
        <w:spacing w:after="0"/>
        <w:tabs>
          <w:tab w:leader="none" w:pos="2440" w:val="left"/>
        </w:tabs>
        <w:rPr>
          <w:sz w:val="20"/>
          <w:szCs w:val="20"/>
          <w:color w:val="auto"/>
        </w:rPr>
      </w:pPr>
      <w:r>
        <w:rPr>
          <w:rFonts w:ascii="Times New Roman" w:cs="Times New Roman" w:eastAsia="Times New Roman" w:hAnsi="Times New Roman"/>
          <w:sz w:val="13"/>
          <w:szCs w:val="13"/>
          <w:b w:val="1"/>
          <w:bCs w:val="1"/>
          <w:color w:val="auto"/>
        </w:rPr>
        <w:t>Item 16C.</w:t>
      </w:r>
      <w:r>
        <w:rPr>
          <w:sz w:val="20"/>
          <w:szCs w:val="20"/>
          <w:color w:val="auto"/>
        </w:rPr>
        <w:tab/>
      </w:r>
      <w:r>
        <w:rPr>
          <w:rFonts w:ascii="Times New Roman" w:cs="Times New Roman" w:eastAsia="Times New Roman" w:hAnsi="Times New Roman"/>
          <w:sz w:val="12"/>
          <w:szCs w:val="12"/>
          <w:b w:val="1"/>
          <w:bCs w:val="1"/>
          <w:color w:val="auto"/>
        </w:rPr>
        <w:t>Principal Accountant Fees and Services.</w:t>
      </w:r>
    </w:p>
    <w:p>
      <w:pPr>
        <w:spacing w:after="0" w:line="86" w:lineRule="exact"/>
        <w:rPr>
          <w:sz w:val="20"/>
          <w:szCs w:val="20"/>
          <w:color w:val="auto"/>
        </w:rPr>
      </w:pPr>
    </w:p>
    <w:p>
      <w:pPr>
        <w:ind w:left="1680" w:right="939" w:firstLine="317"/>
        <w:spacing w:after="0" w:line="259" w:lineRule="auto"/>
        <w:rPr>
          <w:sz w:val="20"/>
          <w:szCs w:val="20"/>
          <w:color w:val="auto"/>
        </w:rPr>
      </w:pPr>
      <w:r>
        <w:rPr>
          <w:rFonts w:ascii="Times New Roman" w:cs="Times New Roman" w:eastAsia="Times New Roman" w:hAnsi="Times New Roman"/>
          <w:sz w:val="13"/>
          <w:szCs w:val="13"/>
          <w:color w:val="auto"/>
        </w:rPr>
        <w:t>The following table sets forth the aggregate fees by categories specified below in connection with certain professional services rendered by Ernst &amp; Young Hua Ming LLP (“EY”), our previous principal external auditors, for the fiscal year ended December 31, 2020 and by PricewaterhouseCoopers Zhong Tian LLP (“PwC”), who succeeded EY to become the principal external auditors of our consolidated financial statements on November 29, 2021, for the fiscal year ended December 31, 2021.</w:t>
      </w:r>
    </w:p>
    <w:p>
      <w:pPr>
        <w:spacing w:after="0" w:line="148" w:lineRule="exact"/>
        <w:rPr>
          <w:sz w:val="20"/>
          <w:szCs w:val="20"/>
          <w:color w:val="auto"/>
        </w:rPr>
      </w:pPr>
    </w:p>
    <w:tbl>
      <w:tblPr>
        <w:tblLayout w:type="fixed"/>
        <w:tblInd w:w="262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1880" w:type="dxa"/>
            <w:vAlign w:val="bottom"/>
            <w:gridSpan w:val="4"/>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For the Year Ended December 31,</w:t>
            </w:r>
          </w:p>
        </w:tc>
      </w:tr>
      <w:tr>
        <w:trPr>
          <w:trHeight w:val="80"/>
        </w:trPr>
        <w:tc>
          <w:tcPr>
            <w:tcW w:w="20" w:type="dxa"/>
            <w:vAlign w:val="bottom"/>
          </w:tcPr>
          <w:p>
            <w:pPr>
              <w:spacing w:after="0"/>
              <w:rPr>
                <w:sz w:val="6"/>
                <w:szCs w:val="6"/>
                <w:color w:val="auto"/>
              </w:rPr>
            </w:pPr>
          </w:p>
        </w:tc>
        <w:tc>
          <w:tcPr>
            <w:tcW w:w="4140" w:type="dxa"/>
            <w:vAlign w:val="bottom"/>
          </w:tcPr>
          <w:p>
            <w:pPr>
              <w:spacing w:after="0"/>
              <w:rPr>
                <w:sz w:val="6"/>
                <w:szCs w:val="6"/>
                <w:color w:val="auto"/>
              </w:rPr>
            </w:pPr>
          </w:p>
        </w:tc>
        <w:tc>
          <w:tcPr>
            <w:tcW w:w="620" w:type="dxa"/>
            <w:vAlign w:val="bottom"/>
            <w:tcBorders>
              <w:top w:val="single" w:sz="8" w:color="auto"/>
            </w:tcBorders>
          </w:tcPr>
          <w:p>
            <w:pPr>
              <w:jc w:val="right"/>
              <w:ind w:right="164"/>
              <w:spacing w:after="0" w:line="80" w:lineRule="exact"/>
              <w:rPr>
                <w:sz w:val="20"/>
                <w:szCs w:val="20"/>
                <w:color w:val="auto"/>
              </w:rPr>
            </w:pPr>
            <w:r>
              <w:rPr>
                <w:rFonts w:ascii="Times New Roman" w:cs="Times New Roman" w:eastAsia="Times New Roman" w:hAnsi="Times New Roman"/>
                <w:sz w:val="9"/>
                <w:szCs w:val="9"/>
                <w:b w:val="1"/>
                <w:bCs w:val="1"/>
                <w:color w:val="auto"/>
              </w:rPr>
              <w:t>2020</w:t>
            </w:r>
          </w:p>
        </w:tc>
        <w:tc>
          <w:tcPr>
            <w:tcW w:w="1220" w:type="dxa"/>
            <w:vAlign w:val="bottom"/>
            <w:tcBorders>
              <w:top w:val="single" w:sz="8" w:color="auto"/>
            </w:tcBorders>
            <w:gridSpan w:val="2"/>
          </w:tcPr>
          <w:p>
            <w:pPr>
              <w:jc w:val="right"/>
              <w:ind w:right="135"/>
              <w:spacing w:after="0" w:line="80" w:lineRule="exact"/>
              <w:rPr>
                <w:sz w:val="20"/>
                <w:szCs w:val="20"/>
                <w:color w:val="auto"/>
              </w:rPr>
            </w:pPr>
            <w:r>
              <w:rPr>
                <w:rFonts w:ascii="Times New Roman" w:cs="Times New Roman" w:eastAsia="Times New Roman" w:hAnsi="Times New Roman"/>
                <w:sz w:val="9"/>
                <w:szCs w:val="9"/>
                <w:b w:val="1"/>
                <w:bCs w:val="1"/>
                <w:color w:val="auto"/>
              </w:rPr>
              <w:t>2021</w:t>
            </w:r>
            <w:r>
              <w:rPr>
                <w:rFonts w:ascii="Times New Roman" w:cs="Times New Roman" w:eastAsia="Times New Roman" w:hAnsi="Times New Roman"/>
                <w:sz w:val="6"/>
                <w:szCs w:val="6"/>
                <w:b w:val="1"/>
                <w:bCs w:val="1"/>
                <w:color w:val="auto"/>
              </w:rPr>
              <w:t>(2)</w:t>
            </w:r>
          </w:p>
        </w:tc>
        <w:tc>
          <w:tcPr>
            <w:tcW w:w="40" w:type="dxa"/>
            <w:vAlign w:val="bottom"/>
          </w:tcPr>
          <w:p>
            <w:pPr>
              <w:spacing w:after="0"/>
              <w:rPr>
                <w:sz w:val="6"/>
                <w:szCs w:val="6"/>
                <w:color w:val="auto"/>
              </w:rPr>
            </w:pPr>
          </w:p>
        </w:tc>
      </w:tr>
      <w:tr>
        <w:trPr>
          <w:trHeight w:val="124"/>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1880" w:type="dxa"/>
            <w:vAlign w:val="bottom"/>
            <w:gridSpan w:val="4"/>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(RMB in thousands)</w:t>
            </w:r>
          </w:p>
        </w:tc>
      </w:tr>
      <w:tr>
        <w:trPr>
          <w:trHeight w:val="156"/>
        </w:trPr>
        <w:tc>
          <w:tcPr>
            <w:tcW w:w="20" w:type="dxa"/>
            <w:vAlign w:val="bottom"/>
          </w:tcPr>
          <w:p>
            <w:pPr>
              <w:spacing w:after="0"/>
              <w:rPr>
                <w:sz w:val="13"/>
                <w:szCs w:val="13"/>
                <w:color w:val="auto"/>
              </w:rPr>
            </w:pPr>
          </w:p>
        </w:tc>
        <w:tc>
          <w:tcPr>
            <w:tcW w:w="414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3"/>
                <w:szCs w:val="13"/>
                <w:color w:val="auto"/>
              </w:rPr>
              <w:t>Audit fees</w:t>
            </w:r>
            <w:r>
              <w:rPr>
                <w:rFonts w:ascii="Times New Roman" w:cs="Times New Roman" w:eastAsia="Times New Roman" w:hAnsi="Times New Roman"/>
                <w:sz w:val="18"/>
                <w:szCs w:val="18"/>
                <w:color w:val="auto"/>
                <w:vertAlign w:val="superscript"/>
              </w:rPr>
              <w:t>(1)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9,554</w:t>
            </w:r>
          </w:p>
        </w:tc>
        <w:tc>
          <w:tcPr>
            <w:tcW w:w="40" w:type="dxa"/>
            <w:vAlign w:val="bottom"/>
            <w:shd w:val="clear" w:color="auto" w:fill="CCEEFF"/>
          </w:tcPr>
          <w:p>
            <w:pPr>
              <w:spacing w:after="0"/>
              <w:rPr>
                <w:sz w:val="13"/>
                <w:szCs w:val="13"/>
                <w:color w:val="auto"/>
              </w:rPr>
            </w:pPr>
          </w:p>
        </w:tc>
      </w:tr>
      <w:tr>
        <w:trPr>
          <w:trHeight w:val="164"/>
        </w:trPr>
        <w:tc>
          <w:tcPr>
            <w:tcW w:w="4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5,600</w:t>
            </w:r>
          </w:p>
        </w:tc>
        <w:tc>
          <w:tcPr>
            <w:tcW w:w="54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9,554</w:t>
            </w:r>
          </w:p>
        </w:tc>
        <w:tc>
          <w:tcPr>
            <w:tcW w:w="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74295</wp:posOffset>
            </wp:positionV>
            <wp:extent cx="549910" cy="6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49910" cy="6350"/>
                    </a:xfrm>
                    <a:prstGeom prst="rect">
                      <a:avLst/>
                    </a:prstGeom>
                    <a:noFill/>
                  </pic:spPr>
                </pic:pic>
              </a:graphicData>
            </a:graphic>
          </wp:anchor>
        </w:drawing>
      </w:r>
    </w:p>
    <w:p>
      <w:pPr>
        <w:spacing w:after="0" w:line="12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Notes:</w:t>
      </w:r>
    </w:p>
    <w:p>
      <w:pPr>
        <w:spacing w:after="0" w:line="18" w:lineRule="exact"/>
        <w:rPr>
          <w:sz w:val="20"/>
          <w:szCs w:val="20"/>
          <w:color w:val="auto"/>
        </w:rPr>
      </w:pPr>
    </w:p>
    <w:p>
      <w:pPr>
        <w:ind w:left="1980" w:right="579" w:hanging="304"/>
        <w:spacing w:after="0" w:line="249" w:lineRule="auto"/>
        <w:tabs>
          <w:tab w:leader="none" w:pos="198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“Audit fees” means the aggregate fees billed in each of the fiscal years for professional services rendered by our principal external auditors for the audit of our annual consolidated financial statements and assistance with review of documents filed with the SEC and other statutory and regulatory filings.</w:t>
      </w:r>
    </w:p>
    <w:p>
      <w:pPr>
        <w:spacing w:after="0" w:line="1" w:lineRule="exact"/>
        <w:rPr>
          <w:rFonts w:ascii="Times New Roman" w:cs="Times New Roman" w:eastAsia="Times New Roman" w:hAnsi="Times New Roman"/>
          <w:sz w:val="13"/>
          <w:szCs w:val="13"/>
          <w:color w:val="auto"/>
        </w:rPr>
      </w:pPr>
    </w:p>
    <w:p>
      <w:pPr>
        <w:ind w:left="1980" w:hanging="304"/>
        <w:spacing w:after="0"/>
        <w:tabs>
          <w:tab w:leader="none" w:pos="198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fees for 2021 are fees payable to PwC and EY. See also “Item 16F. Change in Registrant’s Certifying Accountant.”</w:t>
      </w:r>
    </w:p>
    <w:p>
      <w:pPr>
        <w:spacing w:after="0" w:line="150" w:lineRule="exact"/>
        <w:rPr>
          <w:sz w:val="20"/>
          <w:szCs w:val="20"/>
          <w:color w:val="auto"/>
        </w:rPr>
      </w:pPr>
    </w:p>
    <w:p>
      <w:pPr>
        <w:ind w:left="1680" w:right="1079" w:firstLine="317"/>
        <w:spacing w:after="0" w:line="278" w:lineRule="auto"/>
        <w:rPr>
          <w:sz w:val="20"/>
          <w:szCs w:val="20"/>
          <w:color w:val="auto"/>
        </w:rPr>
      </w:pPr>
      <w:r>
        <w:rPr>
          <w:rFonts w:ascii="Times New Roman" w:cs="Times New Roman" w:eastAsia="Times New Roman" w:hAnsi="Times New Roman"/>
          <w:sz w:val="13"/>
          <w:szCs w:val="13"/>
          <w:color w:val="auto"/>
        </w:rPr>
        <w:t>The policy of our audit committee is to pre-approve all auditing and non-auditing services permitted to be performed by our independent registered public accounting firm.</w:t>
      </w:r>
    </w:p>
    <w:p>
      <w:pPr>
        <w:spacing w:after="0" w:line="226" w:lineRule="exact"/>
        <w:rPr>
          <w:sz w:val="20"/>
          <w:szCs w:val="20"/>
          <w:color w:val="auto"/>
        </w:rPr>
      </w:pPr>
    </w:p>
    <w:p>
      <w:pPr>
        <w:ind w:left="1680"/>
        <w:spacing w:after="0"/>
        <w:tabs>
          <w:tab w:leader="none" w:pos="2440" w:val="left"/>
        </w:tabs>
        <w:rPr>
          <w:sz w:val="20"/>
          <w:szCs w:val="20"/>
          <w:color w:val="auto"/>
        </w:rPr>
      </w:pPr>
      <w:r>
        <w:rPr>
          <w:rFonts w:ascii="Times New Roman" w:cs="Times New Roman" w:eastAsia="Times New Roman" w:hAnsi="Times New Roman"/>
          <w:sz w:val="13"/>
          <w:szCs w:val="13"/>
          <w:b w:val="1"/>
          <w:bCs w:val="1"/>
          <w:color w:val="auto"/>
        </w:rPr>
        <w:t>Item 16D.</w:t>
      </w:r>
      <w:r>
        <w:rPr>
          <w:sz w:val="20"/>
          <w:szCs w:val="20"/>
          <w:color w:val="auto"/>
        </w:rPr>
        <w:tab/>
      </w:r>
      <w:r>
        <w:rPr>
          <w:rFonts w:ascii="Times New Roman" w:cs="Times New Roman" w:eastAsia="Times New Roman" w:hAnsi="Times New Roman"/>
          <w:sz w:val="12"/>
          <w:szCs w:val="12"/>
          <w:b w:val="1"/>
          <w:bCs w:val="1"/>
          <w:color w:val="auto"/>
        </w:rPr>
        <w:t>Exemptions from the Listing Standards for Audit Committees.</w:t>
      </w:r>
    </w:p>
    <w:p>
      <w:pPr>
        <w:spacing w:after="0" w:line="8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Not applicable.</w:t>
      </w:r>
    </w:p>
    <w:p>
      <w:pPr>
        <w:spacing w:after="0" w:line="267" w:lineRule="exact"/>
        <w:rPr>
          <w:sz w:val="20"/>
          <w:szCs w:val="20"/>
          <w:color w:val="auto"/>
        </w:rPr>
      </w:pPr>
    </w:p>
    <w:p>
      <w:pPr>
        <w:ind w:left="1680"/>
        <w:spacing w:after="0"/>
        <w:tabs>
          <w:tab w:leader="none" w:pos="2440" w:val="left"/>
        </w:tabs>
        <w:rPr>
          <w:sz w:val="20"/>
          <w:szCs w:val="20"/>
          <w:color w:val="auto"/>
        </w:rPr>
      </w:pPr>
      <w:r>
        <w:rPr>
          <w:rFonts w:ascii="Times New Roman" w:cs="Times New Roman" w:eastAsia="Times New Roman" w:hAnsi="Times New Roman"/>
          <w:sz w:val="13"/>
          <w:szCs w:val="13"/>
          <w:b w:val="1"/>
          <w:bCs w:val="1"/>
          <w:color w:val="auto"/>
        </w:rPr>
        <w:t>Item 16E.</w:t>
      </w:r>
      <w:r>
        <w:rPr>
          <w:sz w:val="20"/>
          <w:szCs w:val="20"/>
          <w:color w:val="auto"/>
        </w:rPr>
        <w:tab/>
      </w:r>
      <w:r>
        <w:rPr>
          <w:rFonts w:ascii="Times New Roman" w:cs="Times New Roman" w:eastAsia="Times New Roman" w:hAnsi="Times New Roman"/>
          <w:sz w:val="12"/>
          <w:szCs w:val="12"/>
          <w:b w:val="1"/>
          <w:bCs w:val="1"/>
          <w:color w:val="auto"/>
        </w:rPr>
        <w:t>Purchases of Equity Securities by the Issuer and Affiliated Purchasers.</w:t>
      </w:r>
    </w:p>
    <w:p>
      <w:pPr>
        <w:spacing w:after="0" w:line="8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None.</w:t>
      </w:r>
    </w:p>
    <w:p>
      <w:pPr>
        <w:spacing w:after="0" w:line="267" w:lineRule="exact"/>
        <w:rPr>
          <w:sz w:val="20"/>
          <w:szCs w:val="20"/>
          <w:color w:val="auto"/>
        </w:rPr>
      </w:pPr>
    </w:p>
    <w:p>
      <w:pPr>
        <w:ind w:left="1680"/>
        <w:spacing w:after="0"/>
        <w:tabs>
          <w:tab w:leader="none" w:pos="2440" w:val="left"/>
        </w:tabs>
        <w:rPr>
          <w:sz w:val="20"/>
          <w:szCs w:val="20"/>
          <w:color w:val="auto"/>
        </w:rPr>
      </w:pPr>
      <w:r>
        <w:rPr>
          <w:rFonts w:ascii="Times New Roman" w:cs="Times New Roman" w:eastAsia="Times New Roman" w:hAnsi="Times New Roman"/>
          <w:sz w:val="13"/>
          <w:szCs w:val="13"/>
          <w:b w:val="1"/>
          <w:bCs w:val="1"/>
          <w:color w:val="auto"/>
        </w:rPr>
        <w:t>Item 16F.</w:t>
      </w:r>
      <w:r>
        <w:rPr>
          <w:sz w:val="20"/>
          <w:szCs w:val="20"/>
          <w:color w:val="auto"/>
        </w:rPr>
        <w:tab/>
      </w:r>
      <w:r>
        <w:rPr>
          <w:rFonts w:ascii="Times New Roman" w:cs="Times New Roman" w:eastAsia="Times New Roman" w:hAnsi="Times New Roman"/>
          <w:sz w:val="12"/>
          <w:szCs w:val="12"/>
          <w:b w:val="1"/>
          <w:bCs w:val="1"/>
          <w:color w:val="auto"/>
        </w:rPr>
        <w:t>Change in Registrant’s Certifying Accountant.</w:t>
      </w:r>
    </w:p>
    <w:p>
      <w:pPr>
        <w:spacing w:after="0" w:line="86" w:lineRule="exact"/>
        <w:rPr>
          <w:sz w:val="20"/>
          <w:szCs w:val="20"/>
          <w:color w:val="auto"/>
        </w:rPr>
      </w:pPr>
    </w:p>
    <w:p>
      <w:pPr>
        <w:ind w:left="1860" w:hanging="184"/>
        <w:spacing w:after="0"/>
        <w:tabs>
          <w:tab w:leader="none" w:pos="186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Previous independent registered public accounting firm</w:t>
      </w:r>
    </w:p>
    <w:p>
      <w:pPr>
        <w:spacing w:after="0" w:line="83" w:lineRule="exact"/>
        <w:rPr>
          <w:rFonts w:ascii="Times New Roman" w:cs="Times New Roman" w:eastAsia="Times New Roman" w:hAnsi="Times New Roman"/>
          <w:sz w:val="13"/>
          <w:szCs w:val="13"/>
          <w:color w:val="auto"/>
        </w:rPr>
      </w:pPr>
    </w:p>
    <w:p>
      <w:pPr>
        <w:ind w:left="1680" w:right="719" w:firstLine="313"/>
        <w:spacing w:after="0" w:line="278" w:lineRule="auto"/>
        <w:tabs>
          <w:tab w:leader="none" w:pos="2152" w:val="left"/>
        </w:tabs>
        <w:numPr>
          <w:ilvl w:val="1"/>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November 26, 2021, Ernst &amp; Young Hua Ming LLP (“EY”) did not stand for re-election as our independent registered public accounting firm and the decision was not made due to any disagreements between us and EY.</w:t>
      </w:r>
    </w:p>
    <w:p>
      <w:pPr>
        <w:spacing w:after="0" w:line="120" w:lineRule="exact"/>
        <w:rPr>
          <w:rFonts w:ascii="Times New Roman" w:cs="Times New Roman" w:eastAsia="Times New Roman" w:hAnsi="Times New Roman"/>
          <w:sz w:val="13"/>
          <w:szCs w:val="13"/>
          <w:color w:val="auto"/>
        </w:rPr>
      </w:pPr>
    </w:p>
    <w:p>
      <w:pPr>
        <w:ind w:left="1680" w:right="559" w:firstLine="313"/>
        <w:spacing w:after="0" w:line="278" w:lineRule="auto"/>
        <w:tabs>
          <w:tab w:leader="none" w:pos="2188" w:val="left"/>
        </w:tabs>
        <w:numPr>
          <w:ilvl w:val="1"/>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reports of EY on our consolidated financial statements as of and for the fiscal years ended December 31, 2019 and 2020 did not contain an adverse opinion or a disclaimer of opinion and were not qualified or modified as to uncertainty, audit scope or accounting principles.</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159</w:t>
      </w:r>
    </w:p>
    <w:p>
      <w:pPr>
        <w:sectPr>
          <w:pgSz w:w="11900" w:h="16838" w:orient="portrait"/>
          <w:cols w:equalWidth="0" w:num="1">
            <w:col w:w="10159"/>
          </w:cols>
          <w:pgMar w:left="300" w:top="388" w:right="1440"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jc w:val="both"/>
        <w:ind w:left="1680" w:right="579" w:firstLine="313"/>
        <w:spacing w:after="0" w:line="287" w:lineRule="auto"/>
        <w:tabs>
          <w:tab w:leader="none" w:pos="2224"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fiscal years ended December 31, 2019 and 2020 and the subsequent interim period preceding November 26, 2021, there have been no disagreements (as defined in Item 16F(a)(1)(iv) of Form 20-F and the related instructions therein) with EY on any matter of accounting principles or practices, financial statement disclosure, or auditing scope or procedure, which disagreements, if not resolved to the satisfaction of EY, would have caused it to make reference to the subject matter of the disagreements in its report on the consolidated financial statements for such periods.</w:t>
      </w:r>
    </w:p>
    <w:p>
      <w:pPr>
        <w:spacing w:after="0" w:line="118" w:lineRule="exact"/>
        <w:rPr>
          <w:rFonts w:ascii="Times New Roman" w:cs="Times New Roman" w:eastAsia="Times New Roman" w:hAnsi="Times New Roman"/>
          <w:sz w:val="12"/>
          <w:szCs w:val="12"/>
          <w:color w:val="auto"/>
        </w:rPr>
      </w:pPr>
    </w:p>
    <w:p>
      <w:pPr>
        <w:ind w:left="1680" w:right="579" w:firstLine="313"/>
        <w:spacing w:after="0" w:line="259" w:lineRule="auto"/>
        <w:tabs>
          <w:tab w:leader="none" w:pos="2217"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the fiscal years ended December 31, 2019 and 2020 and the subsequent interim period preceding November 26, 2021, there have been no “reportable events” (as that term is described in Item 16F(a)(1)(v) of Form 20-F), other than the material weaknesses in our internal control over financial reporting reported in our 2019 and 2020 annual reports on Form 20-F filed with the U.S. Securities and Exchange of Commission on April 20, 2020 and June 15, 2021, respectively.</w:t>
      </w:r>
    </w:p>
    <w:p>
      <w:pPr>
        <w:spacing w:after="0" w:line="132" w:lineRule="exact"/>
        <w:rPr>
          <w:rFonts w:ascii="Times New Roman" w:cs="Times New Roman" w:eastAsia="Times New Roman" w:hAnsi="Times New Roman"/>
          <w:sz w:val="13"/>
          <w:szCs w:val="13"/>
          <w:color w:val="auto"/>
        </w:rPr>
      </w:pPr>
    </w:p>
    <w:p>
      <w:pPr>
        <w:ind w:left="1680" w:right="599" w:firstLine="313"/>
        <w:spacing w:after="0" w:line="264" w:lineRule="auto"/>
        <w:tabs>
          <w:tab w:leader="none" w:pos="2181"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provided a copy of this disclosure in Item 16F to EY and requested that EY furnish us with a letter addressed to the SEC stating whether it agrees with the above statements, and if not, stating the respects in which it does not agree. A copy of the letter from EY addressed to the SEC, dated April 28, 2022, is filed hereto as Exhibit 16.1.</w:t>
      </w:r>
    </w:p>
    <w:p>
      <w:pPr>
        <w:spacing w:after="0" w:line="20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(b) New independent registered public accounting firm</w:t>
      </w:r>
    </w:p>
    <w:p>
      <w:pPr>
        <w:spacing w:after="0" w:line="84" w:lineRule="exact"/>
        <w:rPr>
          <w:sz w:val="20"/>
          <w:szCs w:val="20"/>
          <w:color w:val="auto"/>
        </w:rPr>
      </w:pPr>
    </w:p>
    <w:p>
      <w:pPr>
        <w:jc w:val="both"/>
        <w:ind w:left="1680" w:right="739" w:firstLine="317"/>
        <w:spacing w:after="0" w:line="254" w:lineRule="auto"/>
        <w:rPr>
          <w:sz w:val="20"/>
          <w:szCs w:val="20"/>
          <w:color w:val="auto"/>
        </w:rPr>
      </w:pPr>
      <w:r>
        <w:rPr>
          <w:rFonts w:ascii="Times New Roman" w:cs="Times New Roman" w:eastAsia="Times New Roman" w:hAnsi="Times New Roman"/>
          <w:sz w:val="13"/>
          <w:szCs w:val="13"/>
          <w:color w:val="auto"/>
        </w:rPr>
        <w:t>On November 29, 2021, we engaged PricewaterhouseCoopers Zhong Tian LLP (“PwC”) as our new independent registered public accounting firm. During the fiscal years ended December 31, 2019 and 2020 and the subsequent interim period prior to engaging PwC, neither we nor anyone on our behalf consulted PwC regarding either (a) the application of accounting principles to a specified transaction, either completed or proposed, or the type of audit opinion that might be rendered on our financial statements, and neither a written report nor oral advice was provided to us</w:t>
      </w:r>
    </w:p>
    <w:p>
      <w:pPr>
        <w:spacing w:after="0" w:line="2" w:lineRule="exact"/>
        <w:rPr>
          <w:sz w:val="20"/>
          <w:szCs w:val="20"/>
          <w:color w:val="auto"/>
        </w:rPr>
      </w:pPr>
    </w:p>
    <w:p>
      <w:pPr>
        <w:ind w:left="1680" w:right="619"/>
        <w:spacing w:after="0" w:line="254" w:lineRule="auto"/>
        <w:rPr>
          <w:sz w:val="20"/>
          <w:szCs w:val="20"/>
          <w:color w:val="auto"/>
        </w:rPr>
      </w:pPr>
      <w:r>
        <w:rPr>
          <w:rFonts w:ascii="Times New Roman" w:cs="Times New Roman" w:eastAsia="Times New Roman" w:hAnsi="Times New Roman"/>
          <w:sz w:val="13"/>
          <w:szCs w:val="13"/>
          <w:color w:val="auto"/>
        </w:rPr>
        <w:t>by PwC that PwC concluded was an important factor considered by us in reaching a decision as to any accounting, auditing or financial reporting issue, or (b) any matter that was the subject of a disagreement (as defined in Item 16F(a)(1)(iv) of Form 20-F and the related instructions therein) or a reportable event (as defined in Item 16F(a)(1)(v) of Form 20-F).</w:t>
      </w:r>
    </w:p>
    <w:p>
      <w:pPr>
        <w:spacing w:after="0" w:line="241" w:lineRule="exact"/>
        <w:rPr>
          <w:sz w:val="20"/>
          <w:szCs w:val="20"/>
          <w:color w:val="auto"/>
        </w:rPr>
      </w:pPr>
    </w:p>
    <w:p>
      <w:pPr>
        <w:ind w:left="1680"/>
        <w:spacing w:after="0"/>
        <w:tabs>
          <w:tab w:leader="none" w:pos="2440" w:val="left"/>
        </w:tabs>
        <w:rPr>
          <w:sz w:val="20"/>
          <w:szCs w:val="20"/>
          <w:color w:val="auto"/>
        </w:rPr>
      </w:pPr>
      <w:r>
        <w:rPr>
          <w:rFonts w:ascii="Times New Roman" w:cs="Times New Roman" w:eastAsia="Times New Roman" w:hAnsi="Times New Roman"/>
          <w:sz w:val="13"/>
          <w:szCs w:val="13"/>
          <w:b w:val="1"/>
          <w:bCs w:val="1"/>
          <w:color w:val="auto"/>
        </w:rPr>
        <w:t>Item 16G.</w:t>
      </w:r>
      <w:r>
        <w:rPr>
          <w:sz w:val="20"/>
          <w:szCs w:val="20"/>
          <w:color w:val="auto"/>
        </w:rPr>
        <w:tab/>
      </w:r>
      <w:r>
        <w:rPr>
          <w:rFonts w:ascii="Times New Roman" w:cs="Times New Roman" w:eastAsia="Times New Roman" w:hAnsi="Times New Roman"/>
          <w:sz w:val="13"/>
          <w:szCs w:val="13"/>
          <w:b w:val="1"/>
          <w:bCs w:val="1"/>
          <w:color w:val="auto"/>
        </w:rPr>
        <w:t>Corporate Governance.</w:t>
      </w:r>
    </w:p>
    <w:p>
      <w:pPr>
        <w:spacing w:after="0" w:line="86" w:lineRule="exact"/>
        <w:rPr>
          <w:sz w:val="20"/>
          <w:szCs w:val="20"/>
          <w:color w:val="auto"/>
        </w:rPr>
      </w:pPr>
    </w:p>
    <w:p>
      <w:pPr>
        <w:ind w:left="1680" w:right="559" w:firstLine="317"/>
        <w:spacing w:after="0" w:line="257" w:lineRule="auto"/>
        <w:rPr>
          <w:sz w:val="20"/>
          <w:szCs w:val="20"/>
          <w:color w:val="auto"/>
        </w:rPr>
      </w:pPr>
      <w:r>
        <w:rPr>
          <w:rFonts w:ascii="Times New Roman" w:cs="Times New Roman" w:eastAsia="Times New Roman" w:hAnsi="Times New Roman"/>
          <w:sz w:val="13"/>
          <w:szCs w:val="13"/>
          <w:color w:val="auto"/>
        </w:rPr>
        <w:t>As a Cayman Islands company listed on the Nasdaq Global Market, we are subject to the Nasdaq Stock Market Rules corporate governance listing standards. However, Nasdaq Stock Market Rules permit a foreign private issuer like us to follow the corporate governance practices of its home country. Certain corporate governance practices in the Cayman Islands, which is our home country, may differ significantly from the Nasdaq Stock Market Rules. While we voluntarily follow most Nasdaq corporate governance rules, we may choose to take advantage of the following exemptions afforded to foreign private issuers:</w:t>
      </w:r>
    </w:p>
    <w:p>
      <w:pPr>
        <w:spacing w:after="0" w:line="65" w:lineRule="exact"/>
        <w:rPr>
          <w:sz w:val="20"/>
          <w:szCs w:val="20"/>
          <w:color w:val="auto"/>
        </w:rPr>
      </w:pPr>
    </w:p>
    <w:p>
      <w:pPr>
        <w:ind w:left="2380" w:hanging="315"/>
        <w:spacing w:after="0"/>
        <w:tabs>
          <w:tab w:leader="none" w:pos="238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exemption from the requirement that a majority of our board of directors consists of independent directors;</w:t>
      </w:r>
    </w:p>
    <w:p>
      <w:pPr>
        <w:spacing w:after="0" w:line="93" w:lineRule="exact"/>
        <w:rPr>
          <w:rFonts w:ascii="Times New Roman" w:cs="Times New Roman" w:eastAsia="Times New Roman" w:hAnsi="Times New Roman"/>
          <w:sz w:val="13"/>
          <w:szCs w:val="13"/>
          <w:color w:val="auto"/>
        </w:rPr>
      </w:pPr>
    </w:p>
    <w:p>
      <w:pPr>
        <w:ind w:left="2380" w:right="779" w:hanging="315"/>
        <w:spacing w:after="0" w:line="278" w:lineRule="auto"/>
        <w:tabs>
          <w:tab w:leader="none" w:pos="238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exemption from the requirement that each member of the compensation committee must be an independent director set forth in Nasdaq Rule 5605(d)(2)(A);</w:t>
      </w:r>
    </w:p>
    <w:p>
      <w:pPr>
        <w:spacing w:after="0" w:line="52" w:lineRule="exact"/>
        <w:rPr>
          <w:rFonts w:ascii="Times New Roman" w:cs="Times New Roman" w:eastAsia="Times New Roman" w:hAnsi="Times New Roman"/>
          <w:sz w:val="13"/>
          <w:szCs w:val="13"/>
          <w:color w:val="auto"/>
        </w:rPr>
      </w:pPr>
    </w:p>
    <w:p>
      <w:pPr>
        <w:ind w:left="2380" w:right="599" w:hanging="315"/>
        <w:spacing w:after="0" w:line="278" w:lineRule="auto"/>
        <w:tabs>
          <w:tab w:leader="none" w:pos="238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exemption from the requirement that director nomination should be made by a vote in which only independent directors participate or by a nominations committee comprised solely of independent directors as set forth in Nasdaq Rule 5605(e)(1);</w:t>
      </w:r>
    </w:p>
    <w:p>
      <w:pPr>
        <w:spacing w:after="0" w:line="52" w:lineRule="exact"/>
        <w:rPr>
          <w:rFonts w:ascii="Times New Roman" w:cs="Times New Roman" w:eastAsia="Times New Roman" w:hAnsi="Times New Roman"/>
          <w:sz w:val="13"/>
          <w:szCs w:val="13"/>
          <w:color w:val="auto"/>
        </w:rPr>
      </w:pPr>
    </w:p>
    <w:p>
      <w:pPr>
        <w:ind w:left="2380" w:right="619" w:hanging="315"/>
        <w:spacing w:after="0" w:line="278" w:lineRule="auto"/>
        <w:tabs>
          <w:tab w:leader="none" w:pos="238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exemption from the requirement to obtain shareholder approval for certain issuances of securities, including shareholder approval of stock option plans;</w:t>
      </w:r>
    </w:p>
    <w:p>
      <w:pPr>
        <w:spacing w:after="0" w:line="52" w:lineRule="exact"/>
        <w:rPr>
          <w:rFonts w:ascii="Times New Roman" w:cs="Times New Roman" w:eastAsia="Times New Roman" w:hAnsi="Times New Roman"/>
          <w:sz w:val="13"/>
          <w:szCs w:val="13"/>
          <w:color w:val="auto"/>
        </w:rPr>
      </w:pPr>
    </w:p>
    <w:p>
      <w:pPr>
        <w:ind w:left="2380" w:right="719" w:hanging="315"/>
        <w:spacing w:after="0" w:line="278" w:lineRule="auto"/>
        <w:tabs>
          <w:tab w:leader="none" w:pos="238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exemption from the requirement that our board of directors shall have regularly scheduled meetings at which only independent directors are present as set forth in Nasdaq Rule 5605(b)(2); and</w:t>
      </w:r>
    </w:p>
    <w:p>
      <w:pPr>
        <w:spacing w:after="0" w:line="52" w:lineRule="exact"/>
        <w:rPr>
          <w:rFonts w:ascii="Times New Roman" w:cs="Times New Roman" w:eastAsia="Times New Roman" w:hAnsi="Times New Roman"/>
          <w:sz w:val="13"/>
          <w:szCs w:val="13"/>
          <w:color w:val="auto"/>
        </w:rPr>
      </w:pPr>
    </w:p>
    <w:p>
      <w:pPr>
        <w:ind w:left="2380" w:right="759" w:hanging="315"/>
        <w:spacing w:after="0" w:line="278" w:lineRule="auto"/>
        <w:tabs>
          <w:tab w:leader="none" w:pos="238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exemption from the requirement that an annual shareholders meeting must be held no later than one year after the end of the company’s fiscal year-end as set forth in Nasdaq Rule 5620(a).</w:t>
      </w:r>
    </w:p>
    <w:p>
      <w:pPr>
        <w:spacing w:after="0" w:line="121" w:lineRule="exact"/>
        <w:rPr>
          <w:sz w:val="20"/>
          <w:szCs w:val="20"/>
          <w:color w:val="auto"/>
        </w:rPr>
      </w:pPr>
    </w:p>
    <w:p>
      <w:pPr>
        <w:ind w:left="1680" w:right="559" w:firstLine="317"/>
        <w:spacing w:after="0" w:line="253" w:lineRule="auto"/>
        <w:rPr>
          <w:sz w:val="20"/>
          <w:szCs w:val="20"/>
          <w:color w:val="auto"/>
        </w:rPr>
      </w:pPr>
      <w:r>
        <w:rPr>
          <w:rFonts w:ascii="Times New Roman" w:cs="Times New Roman" w:eastAsia="Times New Roman" w:hAnsi="Times New Roman"/>
          <w:sz w:val="13"/>
          <w:szCs w:val="13"/>
          <w:color w:val="auto"/>
        </w:rPr>
        <w:t>We intend to follow our home country practices in lieu of the foregoing requirements. We may also opt to rely on additional home country practice exemptions in the future. Although we may rely on home country corporate governance practices in lieu of certain of the rules in the Nasdaq Rule 5600 Series and Rule 5250(d), we must comply with Nasdaq’s Notification of Noncompliance requirement (Rule 5625), the Voting Rights requirement (Rule 5640) and have an audit committee that satisfies Rule 5605(c)(3), consisting of committee members that meet the independence requirements of Rule 5605(c)(2)(A)(ii). Although we currently intend to comply with the Nasdaq corporate governance rules applicable other than as noted above, we may in the future decide to use the foreign private issuer exemption with respect to some or all the other Nasdaq corporate governance rules. As a result, our shareholders may be afforded less protection than they otherwise would under the Nasdaq corporate governance listing standards applicable to U.S. domestic issuers. We may utilize these exemptions for as long as we continue to qualify as a foreign private issuer.</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160</w:t>
      </w:r>
    </w:p>
    <w:p>
      <w:pPr>
        <w:sectPr>
          <w:pgSz w:w="11900" w:h="16838" w:orient="portrait"/>
          <w:cols w:equalWidth="0" w:num="1">
            <w:col w:w="10159"/>
          </w:cols>
          <w:pgMar w:left="300" w:top="388" w:right="1440"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2" w:lineRule="exact"/>
        <w:rPr>
          <w:sz w:val="20"/>
          <w:szCs w:val="20"/>
          <w:color w:val="auto"/>
        </w:rPr>
      </w:pPr>
    </w:p>
    <w:p>
      <w:pPr>
        <w:ind w:left="1680" w:right="579" w:firstLine="317"/>
        <w:spacing w:after="0" w:line="257" w:lineRule="auto"/>
        <w:rPr>
          <w:sz w:val="20"/>
          <w:szCs w:val="20"/>
          <w:color w:val="auto"/>
        </w:rPr>
      </w:pPr>
      <w:r>
        <w:rPr>
          <w:rFonts w:ascii="Times New Roman" w:cs="Times New Roman" w:eastAsia="Times New Roman" w:hAnsi="Times New Roman"/>
          <w:sz w:val="13"/>
          <w:szCs w:val="13"/>
          <w:color w:val="auto"/>
        </w:rPr>
        <w:t>We are also eligible to rely on exemptions afforded to controlled companies. A company of which more than 50% of the voting power is held by a single entity is considered a “controlled company” under the Nasdaq Stock Market Rules. A controlled company is not required to comply with the Nasdaq corporate governance rules requiring a board of directors to have a majority of independent directors, to have an independent compensation committee, and to have an independent nominations/corporate governance committees. We are a “controlled company” as defined under the Nasdaq Stock Market Rules.</w:t>
      </w:r>
    </w:p>
    <w:p>
      <w:pPr>
        <w:spacing w:after="0" w:line="238" w:lineRule="exact"/>
        <w:rPr>
          <w:sz w:val="20"/>
          <w:szCs w:val="20"/>
          <w:color w:val="auto"/>
        </w:rPr>
      </w:pPr>
    </w:p>
    <w:p>
      <w:pPr>
        <w:ind w:left="1680"/>
        <w:spacing w:after="0"/>
        <w:tabs>
          <w:tab w:leader="none" w:pos="2440" w:val="left"/>
        </w:tabs>
        <w:rPr>
          <w:sz w:val="20"/>
          <w:szCs w:val="20"/>
          <w:color w:val="auto"/>
        </w:rPr>
      </w:pPr>
      <w:r>
        <w:rPr>
          <w:rFonts w:ascii="Times New Roman" w:cs="Times New Roman" w:eastAsia="Times New Roman" w:hAnsi="Times New Roman"/>
          <w:sz w:val="13"/>
          <w:szCs w:val="13"/>
          <w:b w:val="1"/>
          <w:bCs w:val="1"/>
          <w:color w:val="auto"/>
        </w:rPr>
        <w:t>Item 16H.</w:t>
      </w:r>
      <w:r>
        <w:rPr>
          <w:sz w:val="20"/>
          <w:szCs w:val="20"/>
          <w:color w:val="auto"/>
        </w:rPr>
        <w:tab/>
      </w:r>
      <w:r>
        <w:rPr>
          <w:rFonts w:ascii="Times New Roman" w:cs="Times New Roman" w:eastAsia="Times New Roman" w:hAnsi="Times New Roman"/>
          <w:sz w:val="13"/>
          <w:szCs w:val="13"/>
          <w:b w:val="1"/>
          <w:bCs w:val="1"/>
          <w:color w:val="auto"/>
        </w:rPr>
        <w:t>Mine Safety Disclosure</w:t>
      </w:r>
    </w:p>
    <w:p>
      <w:pPr>
        <w:spacing w:after="0" w:line="8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Not applicable.</w:t>
      </w:r>
    </w:p>
    <w:p>
      <w:pPr>
        <w:spacing w:after="0" w:line="267" w:lineRule="exact"/>
        <w:rPr>
          <w:sz w:val="20"/>
          <w:szCs w:val="20"/>
          <w:color w:val="auto"/>
        </w:rPr>
      </w:pPr>
    </w:p>
    <w:p>
      <w:pPr>
        <w:ind w:left="1680"/>
        <w:spacing w:after="0"/>
        <w:tabs>
          <w:tab w:leader="none" w:pos="2440" w:val="left"/>
        </w:tabs>
        <w:rPr>
          <w:sz w:val="20"/>
          <w:szCs w:val="20"/>
          <w:color w:val="auto"/>
        </w:rPr>
      </w:pPr>
      <w:r>
        <w:rPr>
          <w:rFonts w:ascii="Times New Roman" w:cs="Times New Roman" w:eastAsia="Times New Roman" w:hAnsi="Times New Roman"/>
          <w:sz w:val="13"/>
          <w:szCs w:val="13"/>
          <w:b w:val="1"/>
          <w:bCs w:val="1"/>
          <w:color w:val="auto"/>
        </w:rPr>
        <w:t>Item 16I.</w:t>
      </w:r>
      <w:r>
        <w:rPr>
          <w:sz w:val="20"/>
          <w:szCs w:val="20"/>
          <w:color w:val="auto"/>
        </w:rPr>
        <w:tab/>
      </w:r>
      <w:r>
        <w:rPr>
          <w:rFonts w:ascii="Times New Roman" w:cs="Times New Roman" w:eastAsia="Times New Roman" w:hAnsi="Times New Roman"/>
          <w:sz w:val="12"/>
          <w:szCs w:val="12"/>
          <w:b w:val="1"/>
          <w:bCs w:val="1"/>
          <w:color w:val="auto"/>
        </w:rPr>
        <w:t>Disclosure Regarding Foreign Jurisdictions that Prevent Inspections</w:t>
      </w:r>
    </w:p>
    <w:p>
      <w:pPr>
        <w:spacing w:after="0" w:line="8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Not applicable.</w:t>
      </w:r>
    </w:p>
    <w:p>
      <w:pPr>
        <w:spacing w:after="0" w:line="11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161</w:t>
      </w:r>
    </w:p>
    <w:p>
      <w:pPr>
        <w:sectPr>
          <w:pgSz w:w="11900" w:h="16838" w:orient="portrait"/>
          <w:cols w:equalWidth="0" w:num="1">
            <w:col w:w="10159"/>
          </w:cols>
          <w:pgMar w:left="300" w:top="388" w:right="1440"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3"/>
          <w:szCs w:val="13"/>
          <w:b w:val="1"/>
          <w:bCs w:val="1"/>
          <w:color w:val="auto"/>
        </w:rPr>
        <w:t>PART III</w:t>
      </w:r>
    </w:p>
    <w:p>
      <w:pPr>
        <w:spacing w:after="0" w:line="181" w:lineRule="exact"/>
        <w:rPr>
          <w:sz w:val="20"/>
          <w:szCs w:val="20"/>
          <w:color w:val="auto"/>
        </w:rPr>
      </w:pPr>
    </w:p>
    <w:p>
      <w:pPr>
        <w:ind w:left="1680"/>
        <w:spacing w:after="0"/>
        <w:tabs>
          <w:tab w:leader="none" w:pos="2440" w:val="left"/>
        </w:tabs>
        <w:rPr>
          <w:sz w:val="20"/>
          <w:szCs w:val="20"/>
          <w:color w:val="auto"/>
        </w:rPr>
      </w:pPr>
      <w:r>
        <w:rPr>
          <w:rFonts w:ascii="Times New Roman" w:cs="Times New Roman" w:eastAsia="Times New Roman" w:hAnsi="Times New Roman"/>
          <w:sz w:val="13"/>
          <w:szCs w:val="13"/>
          <w:b w:val="1"/>
          <w:bCs w:val="1"/>
          <w:color w:val="auto"/>
        </w:rPr>
        <w:t>Item 17.</w:t>
      </w:r>
      <w:r>
        <w:rPr>
          <w:sz w:val="20"/>
          <w:szCs w:val="20"/>
          <w:color w:val="auto"/>
        </w:rPr>
        <w:tab/>
      </w:r>
      <w:r>
        <w:rPr>
          <w:rFonts w:ascii="Times New Roman" w:cs="Times New Roman" w:eastAsia="Times New Roman" w:hAnsi="Times New Roman"/>
          <w:sz w:val="13"/>
          <w:szCs w:val="13"/>
          <w:b w:val="1"/>
          <w:bCs w:val="1"/>
          <w:color w:val="auto"/>
        </w:rPr>
        <w:t>Financial Statements.</w:t>
      </w:r>
    </w:p>
    <w:p>
      <w:pPr>
        <w:spacing w:after="0" w:line="8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We have elected to provide financial statements pursuant to Item 18.</w:t>
      </w:r>
    </w:p>
    <w:p>
      <w:pPr>
        <w:spacing w:after="0" w:line="267" w:lineRule="exact"/>
        <w:rPr>
          <w:sz w:val="20"/>
          <w:szCs w:val="20"/>
          <w:color w:val="auto"/>
        </w:rPr>
      </w:pPr>
    </w:p>
    <w:p>
      <w:pPr>
        <w:ind w:left="1680"/>
        <w:spacing w:after="0"/>
        <w:tabs>
          <w:tab w:leader="none" w:pos="2440" w:val="left"/>
        </w:tabs>
        <w:rPr>
          <w:sz w:val="20"/>
          <w:szCs w:val="20"/>
          <w:color w:val="auto"/>
        </w:rPr>
      </w:pPr>
      <w:r>
        <w:rPr>
          <w:rFonts w:ascii="Times New Roman" w:cs="Times New Roman" w:eastAsia="Times New Roman" w:hAnsi="Times New Roman"/>
          <w:sz w:val="13"/>
          <w:szCs w:val="13"/>
          <w:b w:val="1"/>
          <w:bCs w:val="1"/>
          <w:color w:val="auto"/>
        </w:rPr>
        <w:t>Item 18.</w:t>
      </w:r>
      <w:r>
        <w:rPr>
          <w:sz w:val="20"/>
          <w:szCs w:val="20"/>
          <w:color w:val="auto"/>
        </w:rPr>
        <w:tab/>
      </w:r>
      <w:r>
        <w:rPr>
          <w:rFonts w:ascii="Times New Roman" w:cs="Times New Roman" w:eastAsia="Times New Roman" w:hAnsi="Times New Roman"/>
          <w:sz w:val="13"/>
          <w:szCs w:val="13"/>
          <w:b w:val="1"/>
          <w:bCs w:val="1"/>
          <w:color w:val="auto"/>
        </w:rPr>
        <w:t>Financial Statements.</w:t>
      </w:r>
    </w:p>
    <w:p>
      <w:pPr>
        <w:spacing w:after="0" w:line="8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Our consolidated financial statements are included at the end of this annual report.</w:t>
      </w:r>
    </w:p>
    <w:p>
      <w:pPr>
        <w:spacing w:after="0" w:line="267" w:lineRule="exact"/>
        <w:rPr>
          <w:sz w:val="20"/>
          <w:szCs w:val="20"/>
          <w:color w:val="auto"/>
        </w:rPr>
      </w:pPr>
    </w:p>
    <w:tbl>
      <w:tblPr>
        <w:tblLayout w:type="fixed"/>
        <w:tblInd w:w="1680" w:type="dxa"/>
        <w:tblCellMar>
          <w:top w:w="0" w:type="dxa"/>
          <w:left w:w="0" w:type="dxa"/>
          <w:bottom w:w="0" w:type="dxa"/>
          <w:right w:w="0" w:type="dxa"/>
        </w:tblCellMar>
      </w:tblPr>
      <w:tr>
        <w:trPr>
          <w:trHeight w:val="170"/>
        </w:trPr>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Item 19.</w:t>
            </w:r>
          </w:p>
        </w:tc>
        <w:tc>
          <w:tcPr>
            <w:tcW w:w="7320" w:type="dxa"/>
            <w:vAlign w:val="bottom"/>
            <w:gridSpan w:val="24"/>
          </w:tcPr>
          <w:p>
            <w:pPr>
              <w:ind w:left="160"/>
              <w:spacing w:after="0"/>
              <w:rPr>
                <w:sz w:val="20"/>
                <w:szCs w:val="20"/>
                <w:color w:val="auto"/>
              </w:rPr>
            </w:pPr>
            <w:r>
              <w:rPr>
                <w:rFonts w:ascii="Times New Roman" w:cs="Times New Roman" w:eastAsia="Times New Roman" w:hAnsi="Times New Roman"/>
                <w:sz w:val="13"/>
                <w:szCs w:val="13"/>
                <w:b w:val="1"/>
                <w:bCs w:val="1"/>
                <w:color w:val="auto"/>
              </w:rPr>
              <w:t>Exhibits.</w:t>
            </w:r>
          </w:p>
        </w:tc>
        <w:tc>
          <w:tcPr>
            <w:tcW w:w="0" w:type="dxa"/>
            <w:vAlign w:val="bottom"/>
          </w:tcPr>
          <w:p>
            <w:pPr>
              <w:spacing w:after="0"/>
              <w:rPr>
                <w:sz w:val="1"/>
                <w:szCs w:val="1"/>
                <w:color w:val="auto"/>
              </w:rPr>
            </w:pPr>
          </w:p>
        </w:tc>
      </w:tr>
      <w:tr>
        <w:trPr>
          <w:trHeight w:val="266"/>
        </w:trPr>
        <w:tc>
          <w:tcPr>
            <w:tcW w:w="6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560" w:type="dxa"/>
            <w:vAlign w:val="bottom"/>
            <w:gridSpan w:val="20"/>
            <w:vMerge w:val="restart"/>
          </w:tcPr>
          <w:p>
            <w:pPr>
              <w:ind w:left="440"/>
              <w:spacing w:after="0"/>
              <w:rPr>
                <w:sz w:val="20"/>
                <w:szCs w:val="20"/>
                <w:color w:val="auto"/>
              </w:rPr>
            </w:pPr>
            <w:r>
              <w:rPr>
                <w:rFonts w:ascii="Times New Roman" w:cs="Times New Roman" w:eastAsia="Times New Roman" w:hAnsi="Times New Roman"/>
                <w:sz w:val="10"/>
                <w:szCs w:val="10"/>
                <w:b w:val="1"/>
                <w:bCs w:val="1"/>
                <w:color w:val="auto"/>
              </w:rPr>
              <w:t>Description of Document</w:t>
            </w:r>
          </w:p>
        </w:tc>
        <w:tc>
          <w:tcPr>
            <w:tcW w:w="0" w:type="dxa"/>
            <w:vAlign w:val="bottom"/>
          </w:tcPr>
          <w:p>
            <w:pPr>
              <w:spacing w:after="0"/>
              <w:rPr>
                <w:sz w:val="1"/>
                <w:szCs w:val="1"/>
                <w:color w:val="auto"/>
              </w:rPr>
            </w:pPr>
          </w:p>
        </w:tc>
      </w:tr>
      <w:tr>
        <w:trPr>
          <w:trHeight w:val="124"/>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560" w:type="dxa"/>
            <w:vAlign w:val="bottom"/>
            <w:tcBorders>
              <w:bottom w:val="single" w:sz="8" w:color="auto"/>
            </w:tcBorders>
            <w:gridSpan w:val="2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1.1</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80" w:type="dxa"/>
            <w:vAlign w:val="bottom"/>
            <w:tcBorders>
              <w:bottom w:val="single" w:sz="8" w:color="0000EE"/>
            </w:tcBorders>
            <w:gridSpan w:val="22"/>
          </w:tcPr>
          <w:p>
            <w:pPr>
              <w:spacing w:after="0"/>
              <w:rPr>
                <w:rFonts w:ascii="Times New Roman" w:cs="Times New Roman" w:eastAsia="Times New Roman" w:hAnsi="Times New Roman"/>
                <w:sz w:val="13"/>
                <w:szCs w:val="13"/>
                <w:color w:val="0000EE"/>
                <w:w w:val="99"/>
              </w:rPr>
            </w:pPr>
            <w:hyperlink r:id="rId206">
              <w:r>
                <w:rPr>
                  <w:rFonts w:ascii="Times New Roman" w:cs="Times New Roman" w:eastAsia="Times New Roman" w:hAnsi="Times New Roman"/>
                  <w:sz w:val="13"/>
                  <w:szCs w:val="13"/>
                  <w:color w:val="0000EE"/>
                  <w:w w:val="99"/>
                </w:rPr>
                <w:t>Fifth Amended and Restated Memorandum and Articles of Association of the Registrant (incorporated herein by reference to Exhibit 3.2</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60" w:type="dxa"/>
            <w:vAlign w:val="bottom"/>
            <w:tcBorders>
              <w:bottom w:val="single" w:sz="8" w:color="0000EE"/>
            </w:tcBorders>
            <w:gridSpan w:val="10"/>
          </w:tcPr>
          <w:p>
            <w:pPr>
              <w:spacing w:after="0" w:line="136" w:lineRule="exact"/>
              <w:rPr>
                <w:rFonts w:ascii="Times New Roman" w:cs="Times New Roman" w:eastAsia="Times New Roman" w:hAnsi="Times New Roman"/>
                <w:sz w:val="13"/>
                <w:szCs w:val="13"/>
                <w:color w:val="0000EE"/>
                <w:w w:val="98"/>
              </w:rPr>
            </w:pPr>
            <w:hyperlink r:id="rId206">
              <w:r>
                <w:rPr>
                  <w:rFonts w:ascii="Times New Roman" w:cs="Times New Roman" w:eastAsia="Times New Roman" w:hAnsi="Times New Roman"/>
                  <w:sz w:val="13"/>
                  <w:szCs w:val="13"/>
                  <w:color w:val="0000EE"/>
                  <w:w w:val="98"/>
                </w:rPr>
                <w:t>to our registration statement on Form F-1 (File No. 333-234411) filed with the SEC on October 31, 2019)</w:t>
              </w:r>
            </w:hyperlink>
          </w:p>
        </w:tc>
        <w:tc>
          <w:tcPr>
            <w:tcW w:w="1640" w:type="dxa"/>
            <w:vAlign w:val="bottom"/>
            <w:gridSpan w:val="13"/>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2.1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60" w:type="dxa"/>
            <w:vAlign w:val="bottom"/>
            <w:tcBorders>
              <w:bottom w:val="single" w:sz="8" w:color="0000EE"/>
            </w:tcBorders>
            <w:gridSpan w:val="16"/>
          </w:tcPr>
          <w:p>
            <w:pPr>
              <w:spacing w:after="0"/>
              <w:rPr>
                <w:rFonts w:ascii="Times New Roman" w:cs="Times New Roman" w:eastAsia="Times New Roman" w:hAnsi="Times New Roman"/>
                <w:sz w:val="13"/>
                <w:szCs w:val="13"/>
                <w:color w:val="0000EE"/>
                <w:w w:val="99"/>
              </w:rPr>
            </w:pPr>
            <w:hyperlink r:id="rId207">
              <w:r>
                <w:rPr>
                  <w:rFonts w:ascii="Times New Roman" w:cs="Times New Roman" w:eastAsia="Times New Roman" w:hAnsi="Times New Roman"/>
                  <w:sz w:val="13"/>
                  <w:szCs w:val="13"/>
                  <w:color w:val="0000EE"/>
                  <w:w w:val="99"/>
                </w:rPr>
                <w:t>Registrant’s Specimen American Depositary Receipt (incorporated herein by reference to Exhibit 4.3 to the registration statement on</w:t>
              </w:r>
            </w:hyperlink>
          </w:p>
        </w:tc>
        <w:tc>
          <w:tcPr>
            <w:tcW w:w="24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60" w:type="dxa"/>
            <w:vAlign w:val="bottom"/>
            <w:tcBorders>
              <w:bottom w:val="single" w:sz="8" w:color="0000EE"/>
            </w:tcBorders>
            <w:gridSpan w:val="5"/>
          </w:tcPr>
          <w:p>
            <w:pPr>
              <w:spacing w:after="0" w:line="136" w:lineRule="exact"/>
              <w:rPr>
                <w:rFonts w:ascii="Times New Roman" w:cs="Times New Roman" w:eastAsia="Times New Roman" w:hAnsi="Times New Roman"/>
                <w:sz w:val="13"/>
                <w:szCs w:val="13"/>
                <w:color w:val="0000EE"/>
                <w:w w:val="98"/>
              </w:rPr>
            </w:pPr>
            <w:hyperlink r:id="rId207">
              <w:r>
                <w:rPr>
                  <w:rFonts w:ascii="Times New Roman" w:cs="Times New Roman" w:eastAsia="Times New Roman" w:hAnsi="Times New Roman"/>
                  <w:sz w:val="13"/>
                  <w:szCs w:val="13"/>
                  <w:color w:val="0000EE"/>
                  <w:w w:val="98"/>
                </w:rPr>
                <w:t>Form S-8 (File No. 333-237769) filed with the SEC on April 21, 2020)</w:t>
              </w:r>
            </w:hyperlink>
          </w:p>
        </w:tc>
        <w:tc>
          <w:tcPr>
            <w:tcW w:w="3440" w:type="dxa"/>
            <w:vAlign w:val="bottom"/>
            <w:gridSpan w:val="18"/>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2.2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20" w:type="dxa"/>
            <w:vAlign w:val="bottom"/>
            <w:tcBorders>
              <w:bottom w:val="single" w:sz="8" w:color="0000EE"/>
            </w:tcBorders>
            <w:gridSpan w:val="13"/>
          </w:tcPr>
          <w:p>
            <w:pPr>
              <w:spacing w:after="0"/>
              <w:rPr>
                <w:rFonts w:ascii="Times New Roman" w:cs="Times New Roman" w:eastAsia="Times New Roman" w:hAnsi="Times New Roman"/>
                <w:sz w:val="13"/>
                <w:szCs w:val="13"/>
                <w:color w:val="0000EE"/>
                <w:w w:val="98"/>
              </w:rPr>
            </w:pPr>
            <w:hyperlink r:id="rId208">
              <w:r>
                <w:rPr>
                  <w:rFonts w:ascii="Times New Roman" w:cs="Times New Roman" w:eastAsia="Times New Roman" w:hAnsi="Times New Roman"/>
                  <w:sz w:val="13"/>
                  <w:szCs w:val="13"/>
                  <w:color w:val="0000EE"/>
                  <w:w w:val="98"/>
                </w:rPr>
                <w:t>Registrant’s Specimen Certificate for Class A ordinary shares (incorporated herein by reference to Exhibit 4.2 to the registration</w:t>
              </w:r>
            </w:hyperlink>
          </w:p>
        </w:tc>
        <w:tc>
          <w:tcPr>
            <w:tcW w:w="48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60" w:type="dxa"/>
            <w:vAlign w:val="bottom"/>
            <w:tcBorders>
              <w:bottom w:val="single" w:sz="8" w:color="0000EE"/>
            </w:tcBorders>
            <w:gridSpan w:val="7"/>
          </w:tcPr>
          <w:p>
            <w:pPr>
              <w:spacing w:after="0" w:line="136" w:lineRule="exact"/>
              <w:rPr>
                <w:rFonts w:ascii="Times New Roman" w:cs="Times New Roman" w:eastAsia="Times New Roman" w:hAnsi="Times New Roman"/>
                <w:sz w:val="13"/>
                <w:szCs w:val="13"/>
                <w:color w:val="0000EE"/>
                <w:w w:val="98"/>
              </w:rPr>
            </w:pPr>
            <w:hyperlink r:id="rId208">
              <w:r>
                <w:rPr>
                  <w:rFonts w:ascii="Times New Roman" w:cs="Times New Roman" w:eastAsia="Times New Roman" w:hAnsi="Times New Roman"/>
                  <w:sz w:val="13"/>
                  <w:szCs w:val="13"/>
                  <w:color w:val="0000EE"/>
                  <w:w w:val="98"/>
                </w:rPr>
                <w:t>statement on Form F-1 (File No. 333-234411)filed with the SEC on October 31, 2019)</w:t>
              </w:r>
            </w:hyperlink>
          </w:p>
        </w:tc>
        <w:tc>
          <w:tcPr>
            <w:tcW w:w="2640" w:type="dxa"/>
            <w:vAlign w:val="bottom"/>
            <w:gridSpan w:val="16"/>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2.3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100" w:type="dxa"/>
            <w:vAlign w:val="bottom"/>
            <w:gridSpan w:val="23"/>
          </w:tcPr>
          <w:p>
            <w:pPr>
              <w:spacing w:after="0"/>
              <w:rPr>
                <w:rFonts w:ascii="Times New Roman" w:cs="Times New Roman" w:eastAsia="Times New Roman" w:hAnsi="Times New Roman"/>
                <w:sz w:val="13"/>
                <w:szCs w:val="13"/>
                <w:color w:val="0000EE"/>
              </w:rPr>
            </w:pPr>
            <w:hyperlink r:id="rId207">
              <w:r>
                <w:rPr>
                  <w:rFonts w:ascii="Times New Roman" w:cs="Times New Roman" w:eastAsia="Times New Roman" w:hAnsi="Times New Roman"/>
                  <w:sz w:val="13"/>
                  <w:szCs w:val="13"/>
                  <w:color w:val="0000EE"/>
                </w:rPr>
                <w:t>Deposit Agreement among the Registrant, the depositary and the owners and holders of American Depositary Shares, dated as of</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60" w:type="dxa"/>
            <w:vAlign w:val="bottom"/>
            <w:tcBorders>
              <w:bottom w:val="single" w:sz="8" w:color="0000EE"/>
            </w:tcBorders>
            <w:gridSpan w:val="16"/>
          </w:tcPr>
          <w:p>
            <w:pPr>
              <w:spacing w:after="0" w:line="136" w:lineRule="exact"/>
              <w:rPr>
                <w:rFonts w:ascii="Times New Roman" w:cs="Times New Roman" w:eastAsia="Times New Roman" w:hAnsi="Times New Roman"/>
                <w:sz w:val="13"/>
                <w:szCs w:val="13"/>
                <w:color w:val="0000EE"/>
                <w:w w:val="98"/>
              </w:rPr>
            </w:pPr>
            <w:hyperlink r:id="rId207">
              <w:r>
                <w:rPr>
                  <w:rFonts w:ascii="Times New Roman" w:cs="Times New Roman" w:eastAsia="Times New Roman" w:hAnsi="Times New Roman"/>
                  <w:sz w:val="13"/>
                  <w:szCs w:val="13"/>
                  <w:color w:val="0000EE"/>
                  <w:w w:val="98"/>
                </w:rPr>
                <w:t>December 11, 2019 (incorporated herein by reference to Exhibit 4.3 to the registration statement on Form S-8 (File No. 333-237769)</w:t>
              </w:r>
            </w:hyperlink>
          </w:p>
        </w:tc>
        <w:tc>
          <w:tcPr>
            <w:tcW w:w="240" w:type="dxa"/>
            <w:vAlign w:val="bottom"/>
            <w:gridSpan w:val="7"/>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40" w:type="dxa"/>
            <w:vAlign w:val="bottom"/>
            <w:tcBorders>
              <w:bottom w:val="single" w:sz="8" w:color="0000EE"/>
            </w:tcBorders>
            <w:gridSpan w:val="2"/>
          </w:tcPr>
          <w:p>
            <w:pPr>
              <w:spacing w:after="0" w:line="136" w:lineRule="exact"/>
              <w:rPr>
                <w:rFonts w:ascii="Times New Roman" w:cs="Times New Roman" w:eastAsia="Times New Roman" w:hAnsi="Times New Roman"/>
                <w:sz w:val="13"/>
                <w:szCs w:val="13"/>
                <w:color w:val="0000EE"/>
                <w:w w:val="97"/>
              </w:rPr>
            </w:pPr>
            <w:hyperlink r:id="rId207">
              <w:r>
                <w:rPr>
                  <w:rFonts w:ascii="Times New Roman" w:cs="Times New Roman" w:eastAsia="Times New Roman" w:hAnsi="Times New Roman"/>
                  <w:sz w:val="13"/>
                  <w:szCs w:val="13"/>
                  <w:color w:val="0000EE"/>
                  <w:w w:val="97"/>
                </w:rPr>
                <w:t>filed with the SEC on April 21, 2020)</w:t>
              </w:r>
            </w:hyperlink>
          </w:p>
        </w:tc>
        <w:tc>
          <w:tcPr>
            <w:tcW w:w="5160" w:type="dxa"/>
            <w:vAlign w:val="bottom"/>
            <w:gridSpan w:val="21"/>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2.4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80" w:type="dxa"/>
            <w:vAlign w:val="bottom"/>
            <w:tcBorders>
              <w:bottom w:val="single" w:sz="8" w:color="0000EE"/>
            </w:tcBorders>
            <w:gridSpan w:val="22"/>
          </w:tcPr>
          <w:p>
            <w:pPr>
              <w:spacing w:after="0"/>
              <w:rPr>
                <w:rFonts w:ascii="Times New Roman" w:cs="Times New Roman" w:eastAsia="Times New Roman" w:hAnsi="Times New Roman"/>
                <w:sz w:val="13"/>
                <w:szCs w:val="13"/>
                <w:color w:val="0000EE"/>
                <w:w w:val="99"/>
              </w:rPr>
            </w:pPr>
            <w:hyperlink r:id="rId209">
              <w:r>
                <w:rPr>
                  <w:rFonts w:ascii="Times New Roman" w:cs="Times New Roman" w:eastAsia="Times New Roman" w:hAnsi="Times New Roman"/>
                  <w:sz w:val="13"/>
                  <w:szCs w:val="13"/>
                  <w:color w:val="0000EE"/>
                  <w:w w:val="99"/>
                </w:rPr>
                <w:t>Second Amended and Restated Shareholders’ Agreement, dated as of December 27, 2016, by and among the Registrant and other parties</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100" w:type="dxa"/>
            <w:vAlign w:val="bottom"/>
            <w:gridSpan w:val="23"/>
          </w:tcPr>
          <w:p>
            <w:pPr>
              <w:spacing w:after="0" w:line="136" w:lineRule="exact"/>
              <w:rPr>
                <w:rFonts w:ascii="Times New Roman" w:cs="Times New Roman" w:eastAsia="Times New Roman" w:hAnsi="Times New Roman"/>
                <w:sz w:val="13"/>
                <w:szCs w:val="13"/>
                <w:color w:val="0000EE"/>
              </w:rPr>
            </w:pPr>
            <w:hyperlink r:id="rId209">
              <w:r>
                <w:rPr>
                  <w:rFonts w:ascii="Times New Roman" w:cs="Times New Roman" w:eastAsia="Times New Roman" w:hAnsi="Times New Roman"/>
                  <w:sz w:val="13"/>
                  <w:szCs w:val="13"/>
                  <w:color w:val="0000EE"/>
                </w:rPr>
                <w:t>thereto (incorporated herein by reference to Exhibit 4.4 to the registration statement on Form F-1 (File No. 333-234411) filed with the</w:t>
              </w:r>
            </w:hyperlink>
          </w:p>
        </w:tc>
        <w:tc>
          <w:tcPr>
            <w:tcW w:w="0" w:type="dxa"/>
            <w:vAlign w:val="bottom"/>
          </w:tcPr>
          <w:p>
            <w:pPr>
              <w:spacing w:after="0"/>
              <w:rPr>
                <w:sz w:val="1"/>
                <w:szCs w:val="1"/>
                <w:color w:val="auto"/>
              </w:rPr>
            </w:pPr>
          </w:p>
        </w:tc>
      </w:tr>
      <w:tr>
        <w:trPr>
          <w:trHeight w:val="136"/>
        </w:trPr>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Borders>
              <w:top w:val="single" w:sz="8" w:color="0000EE"/>
              <w:bottom w:val="single" w:sz="8" w:color="0000EE"/>
            </w:tcBorders>
          </w:tcPr>
          <w:p>
            <w:pPr>
              <w:spacing w:after="0" w:line="136" w:lineRule="exact"/>
              <w:rPr>
                <w:rFonts w:ascii="Times New Roman" w:cs="Times New Roman" w:eastAsia="Times New Roman" w:hAnsi="Times New Roman"/>
                <w:sz w:val="13"/>
                <w:szCs w:val="13"/>
                <w:color w:val="0000EE"/>
                <w:w w:val="96"/>
              </w:rPr>
            </w:pPr>
            <w:hyperlink r:id="rId209">
              <w:r>
                <w:rPr>
                  <w:rFonts w:ascii="Times New Roman" w:cs="Times New Roman" w:eastAsia="Times New Roman" w:hAnsi="Times New Roman"/>
                  <w:sz w:val="13"/>
                  <w:szCs w:val="13"/>
                  <w:color w:val="0000EE"/>
                  <w:w w:val="96"/>
                </w:rPr>
                <w:t>SEC on October 31, 2019)</w:t>
              </w:r>
            </w:hyperlink>
          </w:p>
        </w:tc>
        <w:tc>
          <w:tcPr>
            <w:tcW w:w="5560" w:type="dxa"/>
            <w:vAlign w:val="bottom"/>
            <w:tcBorders>
              <w:top w:val="single" w:sz="8" w:color="0000EE"/>
            </w:tcBorders>
            <w:gridSpan w:val="17"/>
          </w:tcPr>
          <w:p>
            <w:pPr>
              <w:spacing w:after="0"/>
              <w:rPr>
                <w:sz w:val="11"/>
                <w:szCs w:val="11"/>
                <w:color w:val="auto"/>
              </w:rPr>
            </w:pPr>
          </w:p>
        </w:tc>
        <w:tc>
          <w:tcPr>
            <w:tcW w:w="18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2.5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60" w:type="dxa"/>
            <w:vAlign w:val="bottom"/>
            <w:tcBorders>
              <w:bottom w:val="single" w:sz="8" w:color="0000EE"/>
            </w:tcBorders>
            <w:gridSpan w:val="14"/>
          </w:tcPr>
          <w:p>
            <w:pPr>
              <w:spacing w:after="0"/>
              <w:rPr>
                <w:rFonts w:ascii="Times New Roman" w:cs="Times New Roman" w:eastAsia="Times New Roman" w:hAnsi="Times New Roman"/>
                <w:sz w:val="13"/>
                <w:szCs w:val="13"/>
                <w:color w:val="0000EE"/>
                <w:w w:val="99"/>
              </w:rPr>
            </w:pPr>
            <w:hyperlink r:id="rId210">
              <w:r>
                <w:rPr>
                  <w:rFonts w:ascii="Times New Roman" w:cs="Times New Roman" w:eastAsia="Times New Roman" w:hAnsi="Times New Roman"/>
                  <w:sz w:val="13"/>
                  <w:szCs w:val="13"/>
                  <w:color w:val="0000EE"/>
                  <w:w w:val="99"/>
                </w:rPr>
                <w:t>Description of Securities (incorporated herein by reference to Exhibit 2.5 of our Annual Report on Form 20-F for the year ended</w:t>
              </w:r>
            </w:hyperlink>
          </w:p>
        </w:tc>
        <w:tc>
          <w:tcPr>
            <w:tcW w:w="44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100" w:type="dxa"/>
            <w:vAlign w:val="bottom"/>
            <w:gridSpan w:val="23"/>
          </w:tcPr>
          <w:p>
            <w:pPr>
              <w:spacing w:after="0" w:line="136" w:lineRule="exact"/>
              <w:rPr>
                <w:rFonts w:ascii="Times New Roman" w:cs="Times New Roman" w:eastAsia="Times New Roman" w:hAnsi="Times New Roman"/>
                <w:sz w:val="13"/>
                <w:szCs w:val="13"/>
                <w:color w:val="0000EE"/>
              </w:rPr>
            </w:pPr>
            <w:hyperlink r:id="rId210">
              <w:r>
                <w:rPr>
                  <w:rFonts w:ascii="Times New Roman" w:cs="Times New Roman" w:eastAsia="Times New Roman" w:hAnsi="Times New Roman"/>
                  <w:sz w:val="13"/>
                  <w:szCs w:val="13"/>
                  <w:color w:val="0000EE"/>
                </w:rPr>
                <w:t>December 31, 2019 (File No. 001-39151) filed with the SEC on April 20, 2020)</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4.1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100" w:type="dxa"/>
            <w:vAlign w:val="bottom"/>
            <w:gridSpan w:val="23"/>
          </w:tcPr>
          <w:p>
            <w:pPr>
              <w:spacing w:after="0"/>
              <w:rPr>
                <w:rFonts w:ascii="Times New Roman" w:cs="Times New Roman" w:eastAsia="Times New Roman" w:hAnsi="Times New Roman"/>
                <w:sz w:val="13"/>
                <w:szCs w:val="13"/>
                <w:color w:val="0000EE"/>
              </w:rPr>
            </w:pPr>
            <w:hyperlink r:id="rId211">
              <w:r>
                <w:rPr>
                  <w:rFonts w:ascii="Times New Roman" w:cs="Times New Roman" w:eastAsia="Times New Roman" w:hAnsi="Times New Roman"/>
                  <w:sz w:val="13"/>
                  <w:szCs w:val="13"/>
                  <w:color w:val="0000EE"/>
                </w:rPr>
                <w:t>2015 Share Incentive Plan (incorporated herein by reference to Exhibit 10.1 to the registration statement on Form F-1 (File</w:t>
              </w:r>
            </w:hyperlink>
          </w:p>
        </w:tc>
        <w:tc>
          <w:tcPr>
            <w:tcW w:w="0" w:type="dxa"/>
            <w:vAlign w:val="bottom"/>
          </w:tcPr>
          <w:p>
            <w:pPr>
              <w:spacing w:after="0"/>
              <w:rPr>
                <w:sz w:val="1"/>
                <w:szCs w:val="1"/>
                <w:color w:val="auto"/>
              </w:rPr>
            </w:pPr>
          </w:p>
        </w:tc>
      </w:tr>
      <w:tr>
        <w:trPr>
          <w:trHeight w:val="136"/>
        </w:trPr>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0" w:type="dxa"/>
            <w:vAlign w:val="bottom"/>
            <w:tcBorders>
              <w:top w:val="single" w:sz="8" w:color="0000EE"/>
              <w:bottom w:val="single" w:sz="8" w:color="0000EE"/>
            </w:tcBorders>
            <w:gridSpan w:val="4"/>
          </w:tcPr>
          <w:p>
            <w:pPr>
              <w:spacing w:after="0" w:line="136" w:lineRule="exact"/>
              <w:rPr>
                <w:rFonts w:ascii="Times New Roman" w:cs="Times New Roman" w:eastAsia="Times New Roman" w:hAnsi="Times New Roman"/>
                <w:sz w:val="13"/>
                <w:szCs w:val="13"/>
                <w:color w:val="0000EE"/>
                <w:w w:val="98"/>
              </w:rPr>
            </w:pPr>
            <w:hyperlink r:id="rId211">
              <w:r>
                <w:rPr>
                  <w:rFonts w:ascii="Times New Roman" w:cs="Times New Roman" w:eastAsia="Times New Roman" w:hAnsi="Times New Roman"/>
                  <w:sz w:val="13"/>
                  <w:szCs w:val="13"/>
                  <w:color w:val="0000EE"/>
                  <w:w w:val="98"/>
                </w:rPr>
                <w:t>No. 333-234411) filed with the SEC on October 31, 2019)</w:t>
              </w:r>
            </w:hyperlink>
          </w:p>
        </w:tc>
        <w:tc>
          <w:tcPr>
            <w:tcW w:w="3340" w:type="dxa"/>
            <w:vAlign w:val="bottom"/>
            <w:tcBorders>
              <w:top w:val="single" w:sz="8" w:color="0000EE"/>
            </w:tcBorders>
            <w:gridSpan w:val="8"/>
          </w:tcPr>
          <w:p>
            <w:pPr>
              <w:spacing w:after="0"/>
              <w:rPr>
                <w:sz w:val="11"/>
                <w:szCs w:val="11"/>
                <w:color w:val="auto"/>
              </w:rPr>
            </w:pPr>
          </w:p>
        </w:tc>
        <w:tc>
          <w:tcPr>
            <w:tcW w:w="760" w:type="dxa"/>
            <w:vAlign w:val="bottom"/>
            <w:gridSpan w:val="11"/>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4.2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100" w:type="dxa"/>
            <w:vAlign w:val="bottom"/>
            <w:gridSpan w:val="23"/>
          </w:tcPr>
          <w:p>
            <w:pPr>
              <w:spacing w:after="0"/>
              <w:rPr>
                <w:rFonts w:ascii="Times New Roman" w:cs="Times New Roman" w:eastAsia="Times New Roman" w:hAnsi="Times New Roman"/>
                <w:sz w:val="13"/>
                <w:szCs w:val="13"/>
                <w:color w:val="0000EE"/>
              </w:rPr>
            </w:pPr>
            <w:hyperlink r:id="rId212">
              <w:r>
                <w:rPr>
                  <w:rFonts w:ascii="Times New Roman" w:cs="Times New Roman" w:eastAsia="Times New Roman" w:hAnsi="Times New Roman"/>
                  <w:sz w:val="13"/>
                  <w:szCs w:val="13"/>
                  <w:color w:val="0000EE"/>
                </w:rPr>
                <w:t>2019 Share Incentive Plan (incorporated herein by reference to Exhibit 10.2 to the registration statement on Form F-1 (File</w:t>
              </w:r>
            </w:hyperlink>
          </w:p>
        </w:tc>
        <w:tc>
          <w:tcPr>
            <w:tcW w:w="0" w:type="dxa"/>
            <w:vAlign w:val="bottom"/>
          </w:tcPr>
          <w:p>
            <w:pPr>
              <w:spacing w:after="0"/>
              <w:rPr>
                <w:sz w:val="1"/>
                <w:szCs w:val="1"/>
                <w:color w:val="auto"/>
              </w:rPr>
            </w:pPr>
          </w:p>
        </w:tc>
      </w:tr>
      <w:tr>
        <w:trPr>
          <w:trHeight w:val="136"/>
        </w:trPr>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0" w:type="dxa"/>
            <w:vAlign w:val="bottom"/>
            <w:tcBorders>
              <w:top w:val="single" w:sz="8" w:color="0000EE"/>
              <w:bottom w:val="single" w:sz="8" w:color="0000EE"/>
            </w:tcBorders>
            <w:gridSpan w:val="4"/>
          </w:tcPr>
          <w:p>
            <w:pPr>
              <w:spacing w:after="0" w:line="136" w:lineRule="exact"/>
              <w:rPr>
                <w:rFonts w:ascii="Times New Roman" w:cs="Times New Roman" w:eastAsia="Times New Roman" w:hAnsi="Times New Roman"/>
                <w:sz w:val="13"/>
                <w:szCs w:val="13"/>
                <w:color w:val="0000EE"/>
                <w:w w:val="98"/>
              </w:rPr>
            </w:pPr>
            <w:hyperlink r:id="rId212">
              <w:r>
                <w:rPr>
                  <w:rFonts w:ascii="Times New Roman" w:cs="Times New Roman" w:eastAsia="Times New Roman" w:hAnsi="Times New Roman"/>
                  <w:sz w:val="13"/>
                  <w:szCs w:val="13"/>
                  <w:color w:val="0000EE"/>
                  <w:w w:val="98"/>
                </w:rPr>
                <w:t>No. 333-234411) filed with the SEC on October 31, 2019)</w:t>
              </w:r>
            </w:hyperlink>
          </w:p>
        </w:tc>
        <w:tc>
          <w:tcPr>
            <w:tcW w:w="3340" w:type="dxa"/>
            <w:vAlign w:val="bottom"/>
            <w:tcBorders>
              <w:top w:val="single" w:sz="8" w:color="0000EE"/>
            </w:tcBorders>
            <w:gridSpan w:val="8"/>
          </w:tcPr>
          <w:p>
            <w:pPr>
              <w:spacing w:after="0"/>
              <w:rPr>
                <w:sz w:val="11"/>
                <w:szCs w:val="11"/>
                <w:color w:val="auto"/>
              </w:rPr>
            </w:pPr>
          </w:p>
        </w:tc>
        <w:tc>
          <w:tcPr>
            <w:tcW w:w="760" w:type="dxa"/>
            <w:vAlign w:val="bottom"/>
            <w:gridSpan w:val="11"/>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4.3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80" w:type="dxa"/>
            <w:vAlign w:val="bottom"/>
            <w:tcBorders>
              <w:bottom w:val="single" w:sz="8" w:color="0000EE"/>
            </w:tcBorders>
            <w:gridSpan w:val="20"/>
          </w:tcPr>
          <w:p>
            <w:pPr>
              <w:spacing w:after="0"/>
              <w:rPr>
                <w:rFonts w:ascii="Times New Roman" w:cs="Times New Roman" w:eastAsia="Times New Roman" w:hAnsi="Times New Roman"/>
                <w:sz w:val="13"/>
                <w:szCs w:val="13"/>
                <w:color w:val="0000EE"/>
                <w:w w:val="99"/>
              </w:rPr>
            </w:pPr>
            <w:hyperlink r:id="rId213">
              <w:r>
                <w:rPr>
                  <w:rFonts w:ascii="Times New Roman" w:cs="Times New Roman" w:eastAsia="Times New Roman" w:hAnsi="Times New Roman"/>
                  <w:sz w:val="13"/>
                  <w:szCs w:val="13"/>
                  <w:color w:val="0000EE"/>
                  <w:w w:val="99"/>
                </w:rPr>
                <w:t>Form of Indemnification Agreement between the Registrant and its director and executive officers (incorporated herein by reference to</w:t>
              </w:r>
            </w:hyperlink>
          </w:p>
        </w:tc>
        <w:tc>
          <w:tcPr>
            <w:tcW w:w="12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100" w:type="dxa"/>
            <w:vAlign w:val="bottom"/>
            <w:gridSpan w:val="23"/>
          </w:tcPr>
          <w:p>
            <w:pPr>
              <w:spacing w:after="0" w:line="136" w:lineRule="exact"/>
              <w:rPr>
                <w:rFonts w:ascii="Times New Roman" w:cs="Times New Roman" w:eastAsia="Times New Roman" w:hAnsi="Times New Roman"/>
                <w:sz w:val="13"/>
                <w:szCs w:val="13"/>
                <w:color w:val="0000EE"/>
              </w:rPr>
            </w:pPr>
            <w:hyperlink r:id="rId213">
              <w:r>
                <w:rPr>
                  <w:rFonts w:ascii="Times New Roman" w:cs="Times New Roman" w:eastAsia="Times New Roman" w:hAnsi="Times New Roman"/>
                  <w:sz w:val="13"/>
                  <w:szCs w:val="13"/>
                  <w:color w:val="0000EE"/>
                </w:rPr>
                <w:t>Exhibit 10.3 to the registration statement on Form F-1 (File No. 333-234411) filed with the SEC on October 31, 2019)</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4.4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60" w:type="dxa"/>
            <w:vAlign w:val="bottom"/>
            <w:tcBorders>
              <w:bottom w:val="single" w:sz="8" w:color="0000EE"/>
            </w:tcBorders>
            <w:gridSpan w:val="19"/>
          </w:tcPr>
          <w:p>
            <w:pPr>
              <w:spacing w:after="0"/>
              <w:rPr>
                <w:rFonts w:ascii="Times New Roman" w:cs="Times New Roman" w:eastAsia="Times New Roman" w:hAnsi="Times New Roman"/>
                <w:sz w:val="13"/>
                <w:szCs w:val="13"/>
                <w:color w:val="0000EE"/>
                <w:w w:val="99"/>
              </w:rPr>
            </w:pPr>
            <w:hyperlink r:id="rId214">
              <w:r>
                <w:rPr>
                  <w:rFonts w:ascii="Times New Roman" w:cs="Times New Roman" w:eastAsia="Times New Roman" w:hAnsi="Times New Roman"/>
                  <w:sz w:val="13"/>
                  <w:szCs w:val="13"/>
                  <w:color w:val="0000EE"/>
                  <w:w w:val="99"/>
                </w:rPr>
                <w:t>Form of Employment Agreement between the Registrant and its executive officers (incorporated herein by reference to Exhibit 10.4 to</w:t>
              </w:r>
            </w:hyperlink>
          </w:p>
        </w:tc>
        <w:tc>
          <w:tcPr>
            <w:tcW w:w="14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100" w:type="dxa"/>
            <w:vAlign w:val="bottom"/>
            <w:gridSpan w:val="23"/>
          </w:tcPr>
          <w:p>
            <w:pPr>
              <w:spacing w:after="0" w:line="136" w:lineRule="exact"/>
              <w:rPr>
                <w:rFonts w:ascii="Times New Roman" w:cs="Times New Roman" w:eastAsia="Times New Roman" w:hAnsi="Times New Roman"/>
                <w:sz w:val="13"/>
                <w:szCs w:val="13"/>
                <w:color w:val="0000EE"/>
              </w:rPr>
            </w:pPr>
            <w:hyperlink r:id="rId214">
              <w:r>
                <w:rPr>
                  <w:rFonts w:ascii="Times New Roman" w:cs="Times New Roman" w:eastAsia="Times New Roman" w:hAnsi="Times New Roman"/>
                  <w:sz w:val="13"/>
                  <w:szCs w:val="13"/>
                  <w:color w:val="0000EE"/>
                </w:rPr>
                <w:t>the registration statement on Form F-1 (File No. 333-234411) filed with the SEC on October 31, 2019)</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4.5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100" w:type="dxa"/>
            <w:vAlign w:val="bottom"/>
            <w:gridSpan w:val="23"/>
          </w:tcPr>
          <w:p>
            <w:pPr>
              <w:spacing w:after="0"/>
              <w:rPr>
                <w:rFonts w:ascii="Times New Roman" w:cs="Times New Roman" w:eastAsia="Times New Roman" w:hAnsi="Times New Roman"/>
                <w:sz w:val="13"/>
                <w:szCs w:val="13"/>
                <w:color w:val="0000EE"/>
              </w:rPr>
            </w:pPr>
            <w:hyperlink r:id="rId215">
              <w:r>
                <w:rPr>
                  <w:rFonts w:ascii="Times New Roman" w:cs="Times New Roman" w:eastAsia="Times New Roman" w:hAnsi="Times New Roman"/>
                  <w:sz w:val="13"/>
                  <w:szCs w:val="13"/>
                  <w:color w:val="0000EE"/>
                </w:rPr>
                <w:t>English translation of the Shareholders Voting Proxy Agreement and Power of Attorney among EHang Intelligent, EHang GZ and</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1660" w:type="dxa"/>
            <w:vAlign w:val="bottom"/>
            <w:gridSpan w:val="7"/>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20" w:type="dxa"/>
            <w:vAlign w:val="bottom"/>
            <w:tcBorders>
              <w:bottom w:val="single" w:sz="8" w:color="0000EE"/>
            </w:tcBorders>
            <w:gridSpan w:val="21"/>
          </w:tcPr>
          <w:p>
            <w:pPr>
              <w:spacing w:after="0" w:line="136" w:lineRule="exact"/>
              <w:rPr>
                <w:rFonts w:ascii="Times New Roman" w:cs="Times New Roman" w:eastAsia="Times New Roman" w:hAnsi="Times New Roman"/>
                <w:sz w:val="13"/>
                <w:szCs w:val="13"/>
                <w:color w:val="0000EE"/>
                <w:w w:val="99"/>
              </w:rPr>
            </w:pPr>
            <w:hyperlink r:id="rId215">
              <w:r>
                <w:rPr>
                  <w:rFonts w:ascii="Times New Roman" w:cs="Times New Roman" w:eastAsia="Times New Roman" w:hAnsi="Times New Roman"/>
                  <w:sz w:val="13"/>
                  <w:szCs w:val="13"/>
                  <w:color w:val="0000EE"/>
                  <w:w w:val="99"/>
                </w:rPr>
                <w:t>shareholders of EHang GZ dated October 21, 2020 (incorporated herein by reference to Exhibit 4.5 of our Annual Report on Form 20-F</w:t>
              </w:r>
            </w:hyperlink>
          </w:p>
        </w:tc>
        <w:tc>
          <w:tcPr>
            <w:tcW w:w="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60" w:type="dxa"/>
            <w:vAlign w:val="bottom"/>
            <w:tcBorders>
              <w:bottom w:val="single" w:sz="8" w:color="0000EE"/>
            </w:tcBorders>
            <w:gridSpan w:val="8"/>
          </w:tcPr>
          <w:p>
            <w:pPr>
              <w:spacing w:after="0" w:line="136" w:lineRule="exact"/>
              <w:rPr>
                <w:rFonts w:ascii="Times New Roman" w:cs="Times New Roman" w:eastAsia="Times New Roman" w:hAnsi="Times New Roman"/>
                <w:sz w:val="13"/>
                <w:szCs w:val="13"/>
                <w:color w:val="0000EE"/>
                <w:w w:val="98"/>
              </w:rPr>
            </w:pPr>
            <w:hyperlink r:id="rId215">
              <w:r>
                <w:rPr>
                  <w:rFonts w:ascii="Times New Roman" w:cs="Times New Roman" w:eastAsia="Times New Roman" w:hAnsi="Times New Roman"/>
                  <w:sz w:val="13"/>
                  <w:szCs w:val="13"/>
                  <w:color w:val="0000EE"/>
                  <w:w w:val="98"/>
                </w:rPr>
                <w:t>for the year ended December 31, 2020 (File No. 001-39151) filed with the SEC on June 15, 2021)</w:t>
              </w:r>
            </w:hyperlink>
          </w:p>
        </w:tc>
        <w:tc>
          <w:tcPr>
            <w:tcW w:w="2040" w:type="dxa"/>
            <w:vAlign w:val="bottom"/>
            <w:gridSpan w:val="15"/>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4.6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100" w:type="dxa"/>
            <w:vAlign w:val="bottom"/>
            <w:gridSpan w:val="23"/>
          </w:tcPr>
          <w:p>
            <w:pPr>
              <w:spacing w:after="0"/>
              <w:rPr>
                <w:rFonts w:ascii="Times New Roman" w:cs="Times New Roman" w:eastAsia="Times New Roman" w:hAnsi="Times New Roman"/>
                <w:sz w:val="13"/>
                <w:szCs w:val="13"/>
                <w:color w:val="0000EE"/>
              </w:rPr>
            </w:pPr>
            <w:hyperlink r:id="rId216">
              <w:r>
                <w:rPr>
                  <w:rFonts w:ascii="Times New Roman" w:cs="Times New Roman" w:eastAsia="Times New Roman" w:hAnsi="Times New Roman"/>
                  <w:sz w:val="13"/>
                  <w:szCs w:val="13"/>
                  <w:color w:val="0000EE"/>
                </w:rPr>
                <w:t>English translation of the Share Pledge Agreements among EHang Intelligent and shareholders of EHang GZ dated October 21, 2020</w:t>
              </w:r>
            </w:hyperlink>
          </w:p>
        </w:tc>
        <w:tc>
          <w:tcPr>
            <w:tcW w:w="0" w:type="dxa"/>
            <w:vAlign w:val="bottom"/>
          </w:tcPr>
          <w:p>
            <w:pPr>
              <w:spacing w:after="0"/>
              <w:rPr>
                <w:sz w:val="1"/>
                <w:szCs w:val="1"/>
                <w:color w:val="auto"/>
              </w:rPr>
            </w:pPr>
          </w:p>
        </w:tc>
      </w:tr>
      <w:tr>
        <w:trPr>
          <w:trHeight w:val="136"/>
        </w:trPr>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80" w:type="dxa"/>
            <w:vAlign w:val="bottom"/>
            <w:tcBorders>
              <w:top w:val="single" w:sz="8" w:color="0000EE"/>
            </w:tcBorders>
            <w:gridSpan w:val="17"/>
          </w:tcPr>
          <w:p>
            <w:pPr>
              <w:spacing w:after="0" w:line="136" w:lineRule="exact"/>
              <w:rPr>
                <w:rFonts w:ascii="Times New Roman" w:cs="Times New Roman" w:eastAsia="Times New Roman" w:hAnsi="Times New Roman"/>
                <w:sz w:val="13"/>
                <w:szCs w:val="13"/>
                <w:color w:val="0000EE"/>
                <w:w w:val="99"/>
              </w:rPr>
            </w:pPr>
            <w:hyperlink r:id="rId216">
              <w:r>
                <w:rPr>
                  <w:rFonts w:ascii="Times New Roman" w:cs="Times New Roman" w:eastAsia="Times New Roman" w:hAnsi="Times New Roman"/>
                  <w:sz w:val="13"/>
                  <w:szCs w:val="13"/>
                  <w:color w:val="0000EE"/>
                  <w:w w:val="99"/>
                </w:rPr>
                <w:t>(incorporated herein by reference to Exhibit 4.6 of our Annual Report on Form 20-F for the year ended December 31, 2020 (File No.</w:t>
              </w:r>
            </w:hyperlink>
          </w:p>
        </w:tc>
        <w:tc>
          <w:tcPr>
            <w:tcW w:w="220" w:type="dxa"/>
            <w:vAlign w:val="bottom"/>
            <w:gridSpan w:val="6"/>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60" w:type="dxa"/>
            <w:vAlign w:val="bottom"/>
            <w:tcBorders>
              <w:top w:val="single" w:sz="8" w:color="0000EE"/>
            </w:tcBorders>
            <w:gridSpan w:val="16"/>
          </w:tcPr>
          <w:p>
            <w:pPr>
              <w:spacing w:after="0" w:line="136" w:lineRule="exact"/>
              <w:rPr>
                <w:rFonts w:ascii="Times New Roman" w:cs="Times New Roman" w:eastAsia="Times New Roman" w:hAnsi="Times New Roman"/>
                <w:sz w:val="13"/>
                <w:szCs w:val="13"/>
                <w:color w:val="0000EE"/>
              </w:rPr>
            </w:pPr>
            <w:hyperlink r:id="rId216">
              <w:r>
                <w:rPr>
                  <w:rFonts w:ascii="Times New Roman" w:cs="Times New Roman" w:eastAsia="Times New Roman" w:hAnsi="Times New Roman"/>
                  <w:sz w:val="13"/>
                  <w:szCs w:val="13"/>
                  <w:color w:val="0000EE"/>
                </w:rPr>
                <w:t>001-39151) filed with the SEC on June 15, 2021)</w:t>
              </w:r>
            </w:hyperlink>
          </w:p>
        </w:tc>
        <w:tc>
          <w:tcPr>
            <w:tcW w:w="240" w:type="dxa"/>
            <w:vAlign w:val="bottom"/>
            <w:gridSpan w:val="7"/>
          </w:tcPr>
          <w:p>
            <w:pPr>
              <w:spacing w:after="0"/>
              <w:rPr>
                <w:sz w:val="11"/>
                <w:szCs w:val="11"/>
                <w:color w:val="auto"/>
              </w:rPr>
            </w:pPr>
          </w:p>
        </w:tc>
        <w:tc>
          <w:tcPr>
            <w:tcW w:w="0" w:type="dxa"/>
            <w:vAlign w:val="bottom"/>
          </w:tcPr>
          <w:p>
            <w:pPr>
              <w:spacing w:after="0"/>
              <w:rPr>
                <w:sz w:val="1"/>
                <w:szCs w:val="1"/>
                <w:color w:val="auto"/>
              </w:rPr>
            </w:pPr>
          </w:p>
        </w:tc>
      </w:tr>
      <w:tr>
        <w:trPr>
          <w:trHeight w:val="271"/>
        </w:trPr>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540" w:type="dxa"/>
            <w:vAlign w:val="bottom"/>
            <w:tcBorders>
              <w:top w:val="single" w:sz="8" w:color="0000EE"/>
            </w:tcBorders>
            <w:gridSpan w:val="3"/>
          </w:tcPr>
          <w:p>
            <w:pPr>
              <w:spacing w:after="0"/>
              <w:rPr>
                <w:sz w:val="23"/>
                <w:szCs w:val="23"/>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162</w:t>
            </w: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8" w:right="1440"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7">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10"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3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60" w:type="dxa"/>
            <w:vAlign w:val="bottom"/>
            <w:gridSpan w:val="16"/>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Description of Document</w:t>
            </w:r>
          </w:p>
        </w:tc>
        <w:tc>
          <w:tcPr>
            <w:tcW w:w="0" w:type="dxa"/>
            <w:vAlign w:val="bottom"/>
          </w:tcPr>
          <w:p>
            <w:pPr>
              <w:spacing w:after="0"/>
              <w:rPr>
                <w:sz w:val="1"/>
                <w:szCs w:val="1"/>
                <w:color w:val="auto"/>
              </w:rPr>
            </w:pPr>
          </w:p>
        </w:tc>
      </w:tr>
      <w:tr>
        <w:trPr>
          <w:trHeight w:val="124"/>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260" w:type="dxa"/>
            <w:vAlign w:val="bottom"/>
            <w:tcBorders>
              <w:bottom w:val="single" w:sz="8" w:color="auto"/>
            </w:tcBorders>
            <w:gridSpan w:val="1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4.7</w:t>
            </w:r>
          </w:p>
        </w:tc>
        <w:tc>
          <w:tcPr>
            <w:tcW w:w="280" w:type="dxa"/>
            <w:vAlign w:val="bottom"/>
          </w:tcPr>
          <w:p>
            <w:pPr>
              <w:spacing w:after="0"/>
              <w:rPr>
                <w:sz w:val="16"/>
                <w:szCs w:val="16"/>
                <w:color w:val="auto"/>
              </w:rPr>
            </w:pPr>
          </w:p>
        </w:tc>
        <w:tc>
          <w:tcPr>
            <w:tcW w:w="7180" w:type="dxa"/>
            <w:vAlign w:val="bottom"/>
            <w:tcBorders>
              <w:bottom w:val="single" w:sz="8" w:color="0000EE"/>
            </w:tcBorders>
            <w:gridSpan w:val="21"/>
          </w:tcPr>
          <w:p>
            <w:pPr>
              <w:spacing w:after="0"/>
              <w:rPr>
                <w:rFonts w:ascii="Times New Roman" w:cs="Times New Roman" w:eastAsia="Times New Roman" w:hAnsi="Times New Roman"/>
                <w:sz w:val="13"/>
                <w:szCs w:val="13"/>
                <w:color w:val="0000EE"/>
                <w:w w:val="99"/>
              </w:rPr>
            </w:pPr>
            <w:hyperlink r:id="rId218">
              <w:r>
                <w:rPr>
                  <w:rFonts w:ascii="Times New Roman" w:cs="Times New Roman" w:eastAsia="Times New Roman" w:hAnsi="Times New Roman"/>
                  <w:sz w:val="13"/>
                  <w:szCs w:val="13"/>
                  <w:color w:val="0000EE"/>
                  <w:w w:val="99"/>
                </w:rPr>
                <w:t>English translation of the Exclusive Consulting and Service Agreement and the Exclusive Services Agreement between EHang Intelligent</w:t>
              </w:r>
            </w:hyperlink>
          </w:p>
        </w:tc>
        <w:tc>
          <w:tcPr>
            <w:tcW w:w="10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60" w:type="dxa"/>
            <w:vAlign w:val="bottom"/>
            <w:tcBorders>
              <w:bottom w:val="single" w:sz="8" w:color="0000EE"/>
            </w:tcBorders>
            <w:gridSpan w:val="16"/>
          </w:tcPr>
          <w:p>
            <w:pPr>
              <w:spacing w:after="0" w:line="136" w:lineRule="exact"/>
              <w:rPr>
                <w:rFonts w:ascii="Times New Roman" w:cs="Times New Roman" w:eastAsia="Times New Roman" w:hAnsi="Times New Roman"/>
                <w:sz w:val="13"/>
                <w:szCs w:val="13"/>
                <w:color w:val="0000EE"/>
                <w:w w:val="99"/>
              </w:rPr>
            </w:pPr>
            <w:hyperlink r:id="rId218">
              <w:r>
                <w:rPr>
                  <w:rFonts w:ascii="Times New Roman" w:cs="Times New Roman" w:eastAsia="Times New Roman" w:hAnsi="Times New Roman"/>
                  <w:sz w:val="13"/>
                  <w:szCs w:val="13"/>
                  <w:color w:val="0000EE"/>
                  <w:w w:val="99"/>
                </w:rPr>
                <w:t>and EHang GZ dated January 29, 2016 (incorporated herein by reference to Exhibit 10.9 to the registration statement on Form F-1 (File</w:t>
              </w:r>
            </w:hyperlink>
          </w:p>
        </w:tc>
        <w:tc>
          <w:tcPr>
            <w:tcW w:w="220" w:type="dxa"/>
            <w:vAlign w:val="bottom"/>
            <w:gridSpan w:val="10"/>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80" w:type="dxa"/>
            <w:vAlign w:val="bottom"/>
            <w:gridSpan w:val="26"/>
          </w:tcPr>
          <w:p>
            <w:pPr>
              <w:spacing w:after="0" w:line="136" w:lineRule="exact"/>
              <w:rPr>
                <w:rFonts w:ascii="Times New Roman" w:cs="Times New Roman" w:eastAsia="Times New Roman" w:hAnsi="Times New Roman"/>
                <w:sz w:val="13"/>
                <w:szCs w:val="13"/>
                <w:color w:val="0000EE"/>
              </w:rPr>
            </w:pPr>
            <w:hyperlink r:id="rId218">
              <w:r>
                <w:rPr>
                  <w:rFonts w:ascii="Times New Roman" w:cs="Times New Roman" w:eastAsia="Times New Roman" w:hAnsi="Times New Roman"/>
                  <w:sz w:val="13"/>
                  <w:szCs w:val="13"/>
                  <w:color w:val="0000EE"/>
                </w:rPr>
                <w:t>No. 333-234411) filed with the SEC on October 31, 2019)</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4.8</w:t>
            </w:r>
          </w:p>
        </w:tc>
        <w:tc>
          <w:tcPr>
            <w:tcW w:w="280" w:type="dxa"/>
            <w:vAlign w:val="bottom"/>
          </w:tcPr>
          <w:p>
            <w:pPr>
              <w:spacing w:after="0"/>
              <w:rPr>
                <w:sz w:val="18"/>
                <w:szCs w:val="18"/>
                <w:color w:val="auto"/>
              </w:rPr>
            </w:pPr>
          </w:p>
        </w:tc>
        <w:tc>
          <w:tcPr>
            <w:tcW w:w="7280" w:type="dxa"/>
            <w:vAlign w:val="bottom"/>
            <w:gridSpan w:val="26"/>
          </w:tcPr>
          <w:p>
            <w:pPr>
              <w:spacing w:after="0"/>
              <w:rPr>
                <w:rFonts w:ascii="Times New Roman" w:cs="Times New Roman" w:eastAsia="Times New Roman" w:hAnsi="Times New Roman"/>
                <w:sz w:val="13"/>
                <w:szCs w:val="13"/>
                <w:color w:val="0000EE"/>
              </w:rPr>
            </w:pPr>
            <w:hyperlink r:id="rId219">
              <w:r>
                <w:rPr>
                  <w:rFonts w:ascii="Times New Roman" w:cs="Times New Roman" w:eastAsia="Times New Roman" w:hAnsi="Times New Roman"/>
                  <w:sz w:val="13"/>
                  <w:szCs w:val="13"/>
                  <w:color w:val="0000EE"/>
                </w:rPr>
                <w:t>English translation of the Amendment to Exclusive Consulting and Service Agreement between EHang Intelligent and EHang GZ dated</w:t>
              </w:r>
            </w:hyperlink>
          </w:p>
        </w:tc>
        <w:tc>
          <w:tcPr>
            <w:tcW w:w="0" w:type="dxa"/>
            <w:vAlign w:val="bottom"/>
          </w:tcPr>
          <w:p>
            <w:pPr>
              <w:spacing w:after="0"/>
              <w:rPr>
                <w:sz w:val="1"/>
                <w:szCs w:val="1"/>
                <w:color w:val="auto"/>
              </w:rPr>
            </w:pPr>
          </w:p>
        </w:tc>
      </w:tr>
      <w:tr>
        <w:trPr>
          <w:trHeight w:val="136"/>
        </w:trPr>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40" w:type="dxa"/>
            <w:vAlign w:val="bottom"/>
            <w:tcBorders>
              <w:top w:val="single" w:sz="8" w:color="0000EE"/>
              <w:bottom w:val="single" w:sz="8" w:color="0000EE"/>
            </w:tcBorders>
            <w:gridSpan w:val="15"/>
          </w:tcPr>
          <w:p>
            <w:pPr>
              <w:spacing w:after="0" w:line="136" w:lineRule="exact"/>
              <w:rPr>
                <w:rFonts w:ascii="Times New Roman" w:cs="Times New Roman" w:eastAsia="Times New Roman" w:hAnsi="Times New Roman"/>
                <w:sz w:val="13"/>
                <w:szCs w:val="13"/>
                <w:color w:val="0000EE"/>
                <w:w w:val="99"/>
              </w:rPr>
            </w:pPr>
            <w:hyperlink r:id="rId219">
              <w:r>
                <w:rPr>
                  <w:rFonts w:ascii="Times New Roman" w:cs="Times New Roman" w:eastAsia="Times New Roman" w:hAnsi="Times New Roman"/>
                  <w:sz w:val="13"/>
                  <w:szCs w:val="13"/>
                  <w:color w:val="0000EE"/>
                  <w:w w:val="99"/>
                </w:rPr>
                <w:t>November 30, 2018 (incorporated herein by reference to Exhibit 10.10 to the registration statement on Form F-1 (File No. 333-234411)</w:t>
              </w:r>
            </w:hyperlink>
          </w:p>
        </w:tc>
        <w:tc>
          <w:tcPr>
            <w:tcW w:w="20" w:type="dxa"/>
            <w:vAlign w:val="bottom"/>
            <w:tcBorders>
              <w:top w:val="single" w:sz="8" w:color="0000EE"/>
            </w:tcBorders>
          </w:tcPr>
          <w:p>
            <w:pPr>
              <w:spacing w:after="0"/>
              <w:rPr>
                <w:sz w:val="11"/>
                <w:szCs w:val="11"/>
                <w:color w:val="auto"/>
              </w:rPr>
            </w:pPr>
          </w:p>
        </w:tc>
        <w:tc>
          <w:tcPr>
            <w:tcW w:w="220" w:type="dxa"/>
            <w:vAlign w:val="bottom"/>
            <w:gridSpan w:val="10"/>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80" w:type="dxa"/>
            <w:vAlign w:val="bottom"/>
            <w:gridSpan w:val="26"/>
          </w:tcPr>
          <w:p>
            <w:pPr>
              <w:spacing w:after="0" w:line="136" w:lineRule="exact"/>
              <w:rPr>
                <w:rFonts w:ascii="Times New Roman" w:cs="Times New Roman" w:eastAsia="Times New Roman" w:hAnsi="Times New Roman"/>
                <w:sz w:val="13"/>
                <w:szCs w:val="13"/>
                <w:color w:val="0000EE"/>
              </w:rPr>
            </w:pPr>
            <w:hyperlink r:id="rId219">
              <w:r>
                <w:rPr>
                  <w:rFonts w:ascii="Times New Roman" w:cs="Times New Roman" w:eastAsia="Times New Roman" w:hAnsi="Times New Roman"/>
                  <w:sz w:val="13"/>
                  <w:szCs w:val="13"/>
                  <w:color w:val="0000EE"/>
                </w:rPr>
                <w:t>filed with the SEC on October 31, 2019)</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4.9</w:t>
            </w:r>
          </w:p>
        </w:tc>
        <w:tc>
          <w:tcPr>
            <w:tcW w:w="280" w:type="dxa"/>
            <w:vAlign w:val="bottom"/>
          </w:tcPr>
          <w:p>
            <w:pPr>
              <w:spacing w:after="0"/>
              <w:rPr>
                <w:sz w:val="18"/>
                <w:szCs w:val="18"/>
                <w:color w:val="auto"/>
              </w:rPr>
            </w:pPr>
          </w:p>
        </w:tc>
        <w:tc>
          <w:tcPr>
            <w:tcW w:w="7260" w:type="dxa"/>
            <w:vAlign w:val="bottom"/>
            <w:tcBorders>
              <w:bottom w:val="single" w:sz="8" w:color="0000EE"/>
            </w:tcBorders>
            <w:gridSpan w:val="25"/>
          </w:tcPr>
          <w:p>
            <w:pPr>
              <w:spacing w:after="0"/>
              <w:rPr>
                <w:rFonts w:ascii="Times New Roman" w:cs="Times New Roman" w:eastAsia="Times New Roman" w:hAnsi="Times New Roman"/>
                <w:sz w:val="13"/>
                <w:szCs w:val="13"/>
                <w:color w:val="0000EE"/>
                <w:w w:val="99"/>
              </w:rPr>
            </w:pPr>
            <w:hyperlink r:id="rId220">
              <w:r>
                <w:rPr>
                  <w:rFonts w:ascii="Times New Roman" w:cs="Times New Roman" w:eastAsia="Times New Roman" w:hAnsi="Times New Roman"/>
                  <w:sz w:val="13"/>
                  <w:szCs w:val="13"/>
                  <w:color w:val="0000EE"/>
                  <w:w w:val="99"/>
                </w:rPr>
                <w:t>English translation of the Exclusive Option Agreement among EHang Intelligent, EHang GZ and shareholders of EHang GZ dated October</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180" w:type="dxa"/>
            <w:vAlign w:val="bottom"/>
            <w:tcBorders>
              <w:bottom w:val="single" w:sz="8" w:color="0000EE"/>
            </w:tcBorders>
            <w:gridSpan w:val="21"/>
          </w:tcPr>
          <w:p>
            <w:pPr>
              <w:spacing w:after="0" w:line="136" w:lineRule="exact"/>
              <w:rPr>
                <w:rFonts w:ascii="Times New Roman" w:cs="Times New Roman" w:eastAsia="Times New Roman" w:hAnsi="Times New Roman"/>
                <w:sz w:val="13"/>
                <w:szCs w:val="13"/>
                <w:color w:val="0000EE"/>
                <w:w w:val="99"/>
              </w:rPr>
            </w:pPr>
            <w:hyperlink r:id="rId220">
              <w:r>
                <w:rPr>
                  <w:rFonts w:ascii="Times New Roman" w:cs="Times New Roman" w:eastAsia="Times New Roman" w:hAnsi="Times New Roman"/>
                  <w:sz w:val="13"/>
                  <w:szCs w:val="13"/>
                  <w:color w:val="0000EE"/>
                  <w:w w:val="99"/>
                </w:rPr>
                <w:t>21, 2020 (incorporated herein by reference to Exhibit 4.9 of our Annual Report on Form 20-F for the year ended December 31, 2020 (File</w:t>
              </w:r>
            </w:hyperlink>
          </w:p>
        </w:tc>
        <w:tc>
          <w:tcPr>
            <w:tcW w:w="10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0" w:type="dxa"/>
            <w:vAlign w:val="bottom"/>
            <w:tcBorders>
              <w:bottom w:val="single" w:sz="8" w:color="0000EE"/>
            </w:tcBorders>
            <w:gridSpan w:val="9"/>
          </w:tcPr>
          <w:p>
            <w:pPr>
              <w:spacing w:after="0" w:line="136" w:lineRule="exact"/>
              <w:rPr>
                <w:rFonts w:ascii="Times New Roman" w:cs="Times New Roman" w:eastAsia="Times New Roman" w:hAnsi="Times New Roman"/>
                <w:sz w:val="13"/>
                <w:szCs w:val="13"/>
                <w:color w:val="0000EE"/>
                <w:w w:val="99"/>
              </w:rPr>
            </w:pPr>
            <w:hyperlink r:id="rId220">
              <w:r>
                <w:rPr>
                  <w:rFonts w:ascii="Times New Roman" w:cs="Times New Roman" w:eastAsia="Times New Roman" w:hAnsi="Times New Roman"/>
                  <w:sz w:val="13"/>
                  <w:szCs w:val="13"/>
                  <w:color w:val="0000EE"/>
                  <w:w w:val="99"/>
                </w:rPr>
                <w:t>No. 001-39151) filed with the SEC on June 15, 2021)</w:t>
              </w:r>
            </w:hyperlink>
          </w:p>
        </w:tc>
        <w:tc>
          <w:tcPr>
            <w:tcW w:w="4480" w:type="dxa"/>
            <w:vAlign w:val="bottom"/>
            <w:gridSpan w:val="17"/>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4.10</w:t>
            </w:r>
          </w:p>
        </w:tc>
        <w:tc>
          <w:tcPr>
            <w:tcW w:w="280" w:type="dxa"/>
            <w:vAlign w:val="bottom"/>
          </w:tcPr>
          <w:p>
            <w:pPr>
              <w:spacing w:after="0"/>
              <w:rPr>
                <w:sz w:val="19"/>
                <w:szCs w:val="19"/>
                <w:color w:val="auto"/>
              </w:rPr>
            </w:pPr>
          </w:p>
        </w:tc>
        <w:tc>
          <w:tcPr>
            <w:tcW w:w="7200" w:type="dxa"/>
            <w:vAlign w:val="bottom"/>
            <w:tcBorders>
              <w:bottom w:val="single" w:sz="8" w:color="0000EE"/>
            </w:tcBorders>
            <w:gridSpan w:val="22"/>
          </w:tcPr>
          <w:p>
            <w:pPr>
              <w:spacing w:after="0"/>
              <w:rPr>
                <w:rFonts w:ascii="Times New Roman" w:cs="Times New Roman" w:eastAsia="Times New Roman" w:hAnsi="Times New Roman"/>
                <w:sz w:val="13"/>
                <w:szCs w:val="13"/>
                <w:color w:val="0000EE"/>
                <w:w w:val="99"/>
              </w:rPr>
            </w:pPr>
            <w:hyperlink r:id="rId221">
              <w:r>
                <w:rPr>
                  <w:rFonts w:ascii="Times New Roman" w:cs="Times New Roman" w:eastAsia="Times New Roman" w:hAnsi="Times New Roman"/>
                  <w:sz w:val="13"/>
                  <w:szCs w:val="13"/>
                  <w:color w:val="0000EE"/>
                  <w:w w:val="99"/>
                </w:rPr>
                <w:t>English translation of the Special Agreement on the Capital Increase of EHang GZ among EHang Intelligent, EHang GZ and shareholders</w:t>
              </w:r>
            </w:hyperlink>
          </w:p>
        </w:tc>
        <w:tc>
          <w:tcPr>
            <w:tcW w:w="8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80" w:type="dxa"/>
            <w:vAlign w:val="bottom"/>
            <w:gridSpan w:val="26"/>
          </w:tcPr>
          <w:p>
            <w:pPr>
              <w:spacing w:after="0" w:line="136" w:lineRule="exact"/>
              <w:rPr>
                <w:rFonts w:ascii="Times New Roman" w:cs="Times New Roman" w:eastAsia="Times New Roman" w:hAnsi="Times New Roman"/>
                <w:sz w:val="13"/>
                <w:szCs w:val="13"/>
                <w:color w:val="0000EE"/>
              </w:rPr>
            </w:pPr>
            <w:hyperlink r:id="rId221">
              <w:r>
                <w:rPr>
                  <w:rFonts w:ascii="Times New Roman" w:cs="Times New Roman" w:eastAsia="Times New Roman" w:hAnsi="Times New Roman"/>
                  <w:sz w:val="13"/>
                  <w:szCs w:val="13"/>
                  <w:color w:val="0000EE"/>
                </w:rPr>
                <w:t>of EHang GZ dated February 22, 2019 (incorporated herein by reference to Exhibit 10.14 to the registration statement on Form F-1 (File</w:t>
              </w:r>
            </w:hyperlink>
          </w:p>
        </w:tc>
        <w:tc>
          <w:tcPr>
            <w:tcW w:w="0" w:type="dxa"/>
            <w:vAlign w:val="bottom"/>
          </w:tcPr>
          <w:p>
            <w:pPr>
              <w:spacing w:after="0"/>
              <w:rPr>
                <w:sz w:val="1"/>
                <w:szCs w:val="1"/>
                <w:color w:val="auto"/>
              </w:rPr>
            </w:pPr>
          </w:p>
        </w:tc>
      </w:tr>
      <w:tr>
        <w:trPr>
          <w:trHeight w:val="136"/>
        </w:trPr>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80" w:type="dxa"/>
            <w:vAlign w:val="bottom"/>
            <w:tcBorders>
              <w:top w:val="single" w:sz="8" w:color="0000EE"/>
            </w:tcBorders>
            <w:gridSpan w:val="17"/>
          </w:tcPr>
          <w:p>
            <w:pPr>
              <w:spacing w:after="0" w:line="136" w:lineRule="exact"/>
              <w:rPr>
                <w:rFonts w:ascii="Times New Roman" w:cs="Times New Roman" w:eastAsia="Times New Roman" w:hAnsi="Times New Roman"/>
                <w:sz w:val="13"/>
                <w:szCs w:val="13"/>
                <w:color w:val="0000EE"/>
              </w:rPr>
            </w:pPr>
            <w:hyperlink r:id="rId221">
              <w:r>
                <w:rPr>
                  <w:rFonts w:ascii="Times New Roman" w:cs="Times New Roman" w:eastAsia="Times New Roman" w:hAnsi="Times New Roman"/>
                  <w:sz w:val="13"/>
                  <w:szCs w:val="13"/>
                  <w:color w:val="0000EE"/>
                </w:rPr>
                <w:t>No. 333-234411) filed with the SEC on October 31, 2019)</w:t>
              </w:r>
            </w:hyperlink>
          </w:p>
        </w:tc>
        <w:tc>
          <w:tcPr>
            <w:tcW w:w="200" w:type="dxa"/>
            <w:vAlign w:val="bottom"/>
            <w:gridSpan w:val="9"/>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4.11</w:t>
            </w:r>
          </w:p>
        </w:tc>
        <w:tc>
          <w:tcPr>
            <w:tcW w:w="280" w:type="dxa"/>
            <w:vAlign w:val="bottom"/>
          </w:tcPr>
          <w:p>
            <w:pPr>
              <w:spacing w:after="0"/>
              <w:rPr>
                <w:sz w:val="18"/>
                <w:szCs w:val="18"/>
                <w:color w:val="auto"/>
              </w:rPr>
            </w:pPr>
          </w:p>
        </w:tc>
        <w:tc>
          <w:tcPr>
            <w:tcW w:w="7120" w:type="dxa"/>
            <w:vAlign w:val="bottom"/>
            <w:tcBorders>
              <w:bottom w:val="single" w:sz="8" w:color="0000EE"/>
            </w:tcBorders>
            <w:gridSpan w:val="18"/>
          </w:tcPr>
          <w:p>
            <w:pPr>
              <w:spacing w:after="0"/>
              <w:rPr>
                <w:rFonts w:ascii="Times New Roman" w:cs="Times New Roman" w:eastAsia="Times New Roman" w:hAnsi="Times New Roman"/>
                <w:sz w:val="13"/>
                <w:szCs w:val="13"/>
                <w:color w:val="0000EE"/>
                <w:w w:val="99"/>
              </w:rPr>
            </w:pPr>
            <w:hyperlink r:id="rId222">
              <w:r>
                <w:rPr>
                  <w:rFonts w:ascii="Times New Roman" w:cs="Times New Roman" w:eastAsia="Times New Roman" w:hAnsi="Times New Roman"/>
                  <w:sz w:val="13"/>
                  <w:szCs w:val="13"/>
                  <w:color w:val="0000EE"/>
                  <w:w w:val="99"/>
                </w:rPr>
                <w:t>English translation of the Amendments to the Special Agreement on the Capital Increase of EHang GZ among EHang Intelligent, EHang</w:t>
              </w:r>
            </w:hyperlink>
          </w:p>
        </w:tc>
        <w:tc>
          <w:tcPr>
            <w:tcW w:w="16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80" w:type="dxa"/>
            <w:vAlign w:val="bottom"/>
            <w:gridSpan w:val="26"/>
          </w:tcPr>
          <w:p>
            <w:pPr>
              <w:spacing w:after="0" w:line="136" w:lineRule="exact"/>
              <w:rPr>
                <w:rFonts w:ascii="Times New Roman" w:cs="Times New Roman" w:eastAsia="Times New Roman" w:hAnsi="Times New Roman"/>
                <w:sz w:val="13"/>
                <w:szCs w:val="13"/>
                <w:color w:val="0000EE"/>
              </w:rPr>
            </w:pPr>
            <w:hyperlink r:id="rId222">
              <w:r>
                <w:rPr>
                  <w:rFonts w:ascii="Times New Roman" w:cs="Times New Roman" w:eastAsia="Times New Roman" w:hAnsi="Times New Roman"/>
                  <w:sz w:val="13"/>
                  <w:szCs w:val="13"/>
                  <w:color w:val="0000EE"/>
                </w:rPr>
                <w:t>GZ, Huazhi Hu, Yifang Xiong and shareholders of EHang GZ dated September 7, 2020 and October 21, 2020, respectively (incorporated</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140" w:type="dxa"/>
            <w:vAlign w:val="bottom"/>
            <w:tcBorders>
              <w:bottom w:val="single" w:sz="8" w:color="0000EE"/>
            </w:tcBorders>
            <w:gridSpan w:val="19"/>
          </w:tcPr>
          <w:p>
            <w:pPr>
              <w:spacing w:after="0" w:line="136" w:lineRule="exact"/>
              <w:rPr>
                <w:rFonts w:ascii="Times New Roman" w:cs="Times New Roman" w:eastAsia="Times New Roman" w:hAnsi="Times New Roman"/>
                <w:sz w:val="13"/>
                <w:szCs w:val="13"/>
                <w:color w:val="0000EE"/>
                <w:w w:val="99"/>
              </w:rPr>
            </w:pPr>
            <w:hyperlink r:id="rId222">
              <w:r>
                <w:rPr>
                  <w:rFonts w:ascii="Times New Roman" w:cs="Times New Roman" w:eastAsia="Times New Roman" w:hAnsi="Times New Roman"/>
                  <w:sz w:val="13"/>
                  <w:szCs w:val="13"/>
                  <w:color w:val="0000EE"/>
                  <w:w w:val="99"/>
                </w:rPr>
                <w:t>herein by reference to Exhibit 4.11 of our Annual Report on Form 20-F for the year ended December 31, 2020 (File No. 001-39151) filed</w:t>
              </w:r>
            </w:hyperlink>
          </w:p>
        </w:tc>
        <w:tc>
          <w:tcPr>
            <w:tcW w:w="140" w:type="dxa"/>
            <w:vAlign w:val="bottom"/>
            <w:gridSpan w:val="7"/>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60" w:type="dxa"/>
            <w:vAlign w:val="bottom"/>
            <w:tcBorders>
              <w:bottom w:val="single" w:sz="8" w:color="0000EE"/>
            </w:tcBorders>
            <w:gridSpan w:val="5"/>
          </w:tcPr>
          <w:p>
            <w:pPr>
              <w:spacing w:after="0" w:line="136" w:lineRule="exact"/>
              <w:rPr>
                <w:rFonts w:ascii="Times New Roman" w:cs="Times New Roman" w:eastAsia="Times New Roman" w:hAnsi="Times New Roman"/>
                <w:sz w:val="13"/>
                <w:szCs w:val="13"/>
                <w:color w:val="0000EE"/>
                <w:w w:val="98"/>
              </w:rPr>
            </w:pPr>
            <w:hyperlink r:id="rId222">
              <w:r>
                <w:rPr>
                  <w:rFonts w:ascii="Times New Roman" w:cs="Times New Roman" w:eastAsia="Times New Roman" w:hAnsi="Times New Roman"/>
                  <w:sz w:val="13"/>
                  <w:szCs w:val="13"/>
                  <w:color w:val="0000EE"/>
                  <w:w w:val="98"/>
                </w:rPr>
                <w:t>with the SEC on June 15, 2021)</w:t>
              </w:r>
            </w:hyperlink>
          </w:p>
        </w:tc>
        <w:tc>
          <w:tcPr>
            <w:tcW w:w="5620" w:type="dxa"/>
            <w:vAlign w:val="bottom"/>
            <w:gridSpan w:val="21"/>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4.12</w:t>
            </w:r>
          </w:p>
        </w:tc>
        <w:tc>
          <w:tcPr>
            <w:tcW w:w="280" w:type="dxa"/>
            <w:vAlign w:val="bottom"/>
          </w:tcPr>
          <w:p>
            <w:pPr>
              <w:spacing w:after="0"/>
              <w:rPr>
                <w:sz w:val="19"/>
                <w:szCs w:val="19"/>
                <w:color w:val="auto"/>
              </w:rPr>
            </w:pPr>
          </w:p>
        </w:tc>
        <w:tc>
          <w:tcPr>
            <w:tcW w:w="7280" w:type="dxa"/>
            <w:vAlign w:val="bottom"/>
            <w:gridSpan w:val="26"/>
          </w:tcPr>
          <w:p>
            <w:pPr>
              <w:spacing w:after="0"/>
              <w:rPr>
                <w:rFonts w:ascii="Times New Roman" w:cs="Times New Roman" w:eastAsia="Times New Roman" w:hAnsi="Times New Roman"/>
                <w:sz w:val="13"/>
                <w:szCs w:val="13"/>
                <w:color w:val="0000EE"/>
              </w:rPr>
            </w:pPr>
            <w:hyperlink r:id="rId223">
              <w:r>
                <w:rPr>
                  <w:rFonts w:ascii="Times New Roman" w:cs="Times New Roman" w:eastAsia="Times New Roman" w:hAnsi="Times New Roman"/>
                  <w:sz w:val="13"/>
                  <w:szCs w:val="13"/>
                  <w:color w:val="0000EE"/>
                </w:rPr>
                <w:t>English translation of the Distribution Agreement between EHang Intelligent and Shanghai Kunxiang Intelligent Technology Co., Ltd.</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20" w:type="dxa"/>
            <w:vAlign w:val="bottom"/>
            <w:tcBorders>
              <w:bottom w:val="single" w:sz="8" w:color="0000EE"/>
            </w:tcBorders>
            <w:gridSpan w:val="23"/>
          </w:tcPr>
          <w:p>
            <w:pPr>
              <w:spacing w:after="0" w:line="136" w:lineRule="exact"/>
              <w:rPr>
                <w:rFonts w:ascii="Times New Roman" w:cs="Times New Roman" w:eastAsia="Times New Roman" w:hAnsi="Times New Roman"/>
                <w:sz w:val="13"/>
                <w:szCs w:val="13"/>
                <w:color w:val="0000EE"/>
                <w:w w:val="99"/>
              </w:rPr>
            </w:pPr>
            <w:hyperlink r:id="rId223">
              <w:r>
                <w:rPr>
                  <w:rFonts w:ascii="Times New Roman" w:cs="Times New Roman" w:eastAsia="Times New Roman" w:hAnsi="Times New Roman"/>
                  <w:sz w:val="13"/>
                  <w:szCs w:val="13"/>
                  <w:color w:val="0000EE"/>
                  <w:w w:val="99"/>
                </w:rPr>
                <w:t>dated February 1, 2019 (incorporated herein by reference to Exhibit 10.15 to the registration statement on Form F-1 (File No. 333-234411)</w:t>
              </w:r>
            </w:hyperlink>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40" w:type="dxa"/>
            <w:vAlign w:val="bottom"/>
            <w:tcBorders>
              <w:bottom w:val="single" w:sz="8" w:color="0000EE"/>
            </w:tcBorders>
            <w:gridSpan w:val="7"/>
          </w:tcPr>
          <w:p>
            <w:pPr>
              <w:spacing w:after="0" w:line="136" w:lineRule="exact"/>
              <w:rPr>
                <w:rFonts w:ascii="Times New Roman" w:cs="Times New Roman" w:eastAsia="Times New Roman" w:hAnsi="Times New Roman"/>
                <w:sz w:val="13"/>
                <w:szCs w:val="13"/>
                <w:color w:val="0000EE"/>
                <w:w w:val="98"/>
              </w:rPr>
            </w:pPr>
            <w:hyperlink r:id="rId223">
              <w:r>
                <w:rPr>
                  <w:rFonts w:ascii="Times New Roman" w:cs="Times New Roman" w:eastAsia="Times New Roman" w:hAnsi="Times New Roman"/>
                  <w:sz w:val="13"/>
                  <w:szCs w:val="13"/>
                  <w:color w:val="0000EE"/>
                  <w:w w:val="98"/>
                </w:rPr>
                <w:t>with the SEC on October 31, 2019)</w:t>
              </w:r>
            </w:hyperlink>
          </w:p>
        </w:tc>
        <w:tc>
          <w:tcPr>
            <w:tcW w:w="5440" w:type="dxa"/>
            <w:vAlign w:val="bottom"/>
            <w:gridSpan w:val="19"/>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4.13</w:t>
            </w:r>
          </w:p>
        </w:tc>
        <w:tc>
          <w:tcPr>
            <w:tcW w:w="280" w:type="dxa"/>
            <w:vAlign w:val="bottom"/>
          </w:tcPr>
          <w:p>
            <w:pPr>
              <w:spacing w:after="0"/>
              <w:rPr>
                <w:sz w:val="18"/>
                <w:szCs w:val="18"/>
                <w:color w:val="auto"/>
              </w:rPr>
            </w:pPr>
          </w:p>
        </w:tc>
        <w:tc>
          <w:tcPr>
            <w:tcW w:w="6820" w:type="dxa"/>
            <w:vAlign w:val="bottom"/>
            <w:tcBorders>
              <w:bottom w:val="single" w:sz="8" w:color="0000EE"/>
            </w:tcBorders>
            <w:gridSpan w:val="13"/>
          </w:tcPr>
          <w:p>
            <w:pPr>
              <w:spacing w:after="0"/>
              <w:rPr>
                <w:rFonts w:ascii="Times New Roman" w:cs="Times New Roman" w:eastAsia="Times New Roman" w:hAnsi="Times New Roman"/>
                <w:sz w:val="13"/>
                <w:szCs w:val="13"/>
                <w:color w:val="0000EE"/>
                <w:w w:val="99"/>
              </w:rPr>
            </w:pPr>
            <w:hyperlink r:id="rId224">
              <w:r>
                <w:rPr>
                  <w:rFonts w:ascii="Times New Roman" w:cs="Times New Roman" w:eastAsia="Times New Roman" w:hAnsi="Times New Roman"/>
                  <w:sz w:val="13"/>
                  <w:szCs w:val="13"/>
                  <w:color w:val="0000EE"/>
                  <w:w w:val="99"/>
                </w:rPr>
                <w:t>English translation of the Sales Contract between EHang Intelligent and Shanghai Kunxiang Intelligent Technology Co., Ltd. dated</w:t>
              </w:r>
            </w:hyperlink>
          </w:p>
        </w:tc>
        <w:tc>
          <w:tcPr>
            <w:tcW w:w="46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80" w:type="dxa"/>
            <w:vAlign w:val="bottom"/>
            <w:gridSpan w:val="26"/>
          </w:tcPr>
          <w:p>
            <w:pPr>
              <w:spacing w:after="0" w:line="136" w:lineRule="exact"/>
              <w:rPr>
                <w:rFonts w:ascii="Times New Roman" w:cs="Times New Roman" w:eastAsia="Times New Roman" w:hAnsi="Times New Roman"/>
                <w:sz w:val="13"/>
                <w:szCs w:val="13"/>
                <w:color w:val="0000EE"/>
              </w:rPr>
            </w:pPr>
            <w:hyperlink r:id="rId224">
              <w:r>
                <w:rPr>
                  <w:rFonts w:ascii="Times New Roman" w:cs="Times New Roman" w:eastAsia="Times New Roman" w:hAnsi="Times New Roman"/>
                  <w:sz w:val="13"/>
                  <w:szCs w:val="13"/>
                  <w:color w:val="0000EE"/>
                </w:rPr>
                <w:t>February 1, 2019 (incorporated herein by reference to Exhibit 10.16 to the registration statement on Form F-1 (File No. 333-234411) filed</w:t>
              </w:r>
            </w:hyperlink>
          </w:p>
        </w:tc>
        <w:tc>
          <w:tcPr>
            <w:tcW w:w="0" w:type="dxa"/>
            <w:vAlign w:val="bottom"/>
          </w:tcPr>
          <w:p>
            <w:pPr>
              <w:spacing w:after="0"/>
              <w:rPr>
                <w:sz w:val="1"/>
                <w:szCs w:val="1"/>
                <w:color w:val="auto"/>
              </w:rPr>
            </w:pPr>
          </w:p>
        </w:tc>
      </w:tr>
      <w:tr>
        <w:trPr>
          <w:trHeight w:val="136"/>
        </w:trPr>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40" w:type="dxa"/>
            <w:vAlign w:val="bottom"/>
            <w:tcBorders>
              <w:top w:val="single" w:sz="8" w:color="0000EE"/>
              <w:bottom w:val="single" w:sz="8" w:color="0000EE"/>
            </w:tcBorders>
            <w:gridSpan w:val="7"/>
          </w:tcPr>
          <w:p>
            <w:pPr>
              <w:spacing w:after="0" w:line="136" w:lineRule="exact"/>
              <w:rPr>
                <w:rFonts w:ascii="Times New Roman" w:cs="Times New Roman" w:eastAsia="Times New Roman" w:hAnsi="Times New Roman"/>
                <w:sz w:val="13"/>
                <w:szCs w:val="13"/>
                <w:color w:val="0000EE"/>
                <w:w w:val="98"/>
              </w:rPr>
            </w:pPr>
            <w:hyperlink r:id="rId224">
              <w:r>
                <w:rPr>
                  <w:rFonts w:ascii="Times New Roman" w:cs="Times New Roman" w:eastAsia="Times New Roman" w:hAnsi="Times New Roman"/>
                  <w:sz w:val="13"/>
                  <w:szCs w:val="13"/>
                  <w:color w:val="0000EE"/>
                  <w:w w:val="98"/>
                </w:rPr>
                <w:t>with the SEC on October 31, 2019)</w:t>
              </w:r>
            </w:hyperlink>
          </w:p>
        </w:tc>
        <w:tc>
          <w:tcPr>
            <w:tcW w:w="5320" w:type="dxa"/>
            <w:vAlign w:val="bottom"/>
            <w:tcBorders>
              <w:top w:val="single" w:sz="8" w:color="0000EE"/>
            </w:tcBorders>
            <w:gridSpan w:val="13"/>
          </w:tcPr>
          <w:p>
            <w:pPr>
              <w:spacing w:after="0"/>
              <w:rPr>
                <w:sz w:val="11"/>
                <w:szCs w:val="11"/>
                <w:color w:val="auto"/>
              </w:rPr>
            </w:pPr>
          </w:p>
        </w:tc>
        <w:tc>
          <w:tcPr>
            <w:tcW w:w="120" w:type="dxa"/>
            <w:vAlign w:val="bottom"/>
            <w:gridSpan w:val="6"/>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4.14</w:t>
            </w:r>
          </w:p>
        </w:tc>
        <w:tc>
          <w:tcPr>
            <w:tcW w:w="280" w:type="dxa"/>
            <w:vAlign w:val="bottom"/>
          </w:tcPr>
          <w:p>
            <w:pPr>
              <w:spacing w:after="0"/>
              <w:rPr>
                <w:sz w:val="18"/>
                <w:szCs w:val="18"/>
                <w:color w:val="auto"/>
              </w:rPr>
            </w:pPr>
          </w:p>
        </w:tc>
        <w:tc>
          <w:tcPr>
            <w:tcW w:w="7220" w:type="dxa"/>
            <w:vAlign w:val="bottom"/>
            <w:tcBorders>
              <w:bottom w:val="single" w:sz="8" w:color="0000EE"/>
            </w:tcBorders>
            <w:gridSpan w:val="23"/>
          </w:tcPr>
          <w:p>
            <w:pPr>
              <w:spacing w:after="0"/>
              <w:rPr>
                <w:rFonts w:ascii="Times New Roman" w:cs="Times New Roman" w:eastAsia="Times New Roman" w:hAnsi="Times New Roman"/>
                <w:sz w:val="13"/>
                <w:szCs w:val="13"/>
                <w:color w:val="0000EE"/>
                <w:w w:val="99"/>
              </w:rPr>
            </w:pPr>
            <w:hyperlink r:id="rId225">
              <w:r>
                <w:rPr>
                  <w:rFonts w:ascii="Times New Roman" w:cs="Times New Roman" w:eastAsia="Times New Roman" w:hAnsi="Times New Roman"/>
                  <w:sz w:val="13"/>
                  <w:szCs w:val="13"/>
                  <w:color w:val="0000EE"/>
                  <w:w w:val="99"/>
                </w:rPr>
                <w:t>English translation of the Sales Contract between EHang Intelligent and Shanghai Kunxiang Intelligent Technology Co., Ltd. dated June 3,</w:t>
              </w:r>
            </w:hyperlink>
          </w:p>
        </w:tc>
        <w:tc>
          <w:tcPr>
            <w:tcW w:w="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80" w:type="dxa"/>
            <w:vAlign w:val="bottom"/>
            <w:tcBorders>
              <w:bottom w:val="single" w:sz="8" w:color="0000EE"/>
            </w:tcBorders>
            <w:gridSpan w:val="26"/>
          </w:tcPr>
          <w:p>
            <w:pPr>
              <w:spacing w:after="0" w:line="136" w:lineRule="exact"/>
              <w:rPr>
                <w:rFonts w:ascii="Times New Roman" w:cs="Times New Roman" w:eastAsia="Times New Roman" w:hAnsi="Times New Roman"/>
                <w:sz w:val="13"/>
                <w:szCs w:val="13"/>
                <w:color w:val="0000EE"/>
                <w:w w:val="99"/>
              </w:rPr>
            </w:pPr>
            <w:hyperlink r:id="rId225">
              <w:r>
                <w:rPr>
                  <w:rFonts w:ascii="Times New Roman" w:cs="Times New Roman" w:eastAsia="Times New Roman" w:hAnsi="Times New Roman"/>
                  <w:sz w:val="13"/>
                  <w:szCs w:val="13"/>
                  <w:color w:val="0000EE"/>
                  <w:w w:val="99"/>
                </w:rPr>
                <w:t>2019 (incorporated herein by reference to Exhibit 10.17 to the registration statement on Form F-1 (File No. 333-234411) filed with the SEC</w:t>
              </w:r>
            </w:hyperlink>
          </w:p>
        </w:tc>
        <w:tc>
          <w:tcPr>
            <w:tcW w:w="0" w:type="dxa"/>
            <w:vAlign w:val="bottom"/>
          </w:tcPr>
          <w:p>
            <w:pPr>
              <w:spacing w:after="0"/>
              <w:rPr>
                <w:sz w:val="1"/>
                <w:szCs w:val="1"/>
                <w:color w:val="auto"/>
              </w:rPr>
            </w:pPr>
          </w:p>
        </w:tc>
      </w:tr>
      <w:tr>
        <w:trPr>
          <w:trHeight w:val="136"/>
        </w:trPr>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Borders>
              <w:bottom w:val="single" w:sz="8" w:color="0000EE"/>
            </w:tcBorders>
            <w:gridSpan w:val="3"/>
          </w:tcPr>
          <w:p>
            <w:pPr>
              <w:spacing w:after="0" w:line="136" w:lineRule="exact"/>
              <w:rPr>
                <w:rFonts w:ascii="Times New Roman" w:cs="Times New Roman" w:eastAsia="Times New Roman" w:hAnsi="Times New Roman"/>
                <w:sz w:val="13"/>
                <w:szCs w:val="13"/>
                <w:color w:val="0000EE"/>
                <w:w w:val="98"/>
              </w:rPr>
            </w:pPr>
            <w:hyperlink r:id="rId225">
              <w:r>
                <w:rPr>
                  <w:rFonts w:ascii="Times New Roman" w:cs="Times New Roman" w:eastAsia="Times New Roman" w:hAnsi="Times New Roman"/>
                  <w:sz w:val="13"/>
                  <w:szCs w:val="13"/>
                  <w:color w:val="0000EE"/>
                  <w:w w:val="98"/>
                </w:rPr>
                <w:t>on October 31, 2019)</w:t>
              </w:r>
            </w:hyperlink>
          </w:p>
        </w:tc>
        <w:tc>
          <w:tcPr>
            <w:tcW w:w="6160" w:type="dxa"/>
            <w:vAlign w:val="bottom"/>
            <w:gridSpan w:val="23"/>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4.15</w:t>
            </w:r>
          </w:p>
        </w:tc>
        <w:tc>
          <w:tcPr>
            <w:tcW w:w="280" w:type="dxa"/>
            <w:vAlign w:val="bottom"/>
          </w:tcPr>
          <w:p>
            <w:pPr>
              <w:spacing w:after="0"/>
              <w:rPr>
                <w:sz w:val="18"/>
                <w:szCs w:val="18"/>
                <w:color w:val="auto"/>
              </w:rPr>
            </w:pPr>
          </w:p>
        </w:tc>
        <w:tc>
          <w:tcPr>
            <w:tcW w:w="7200" w:type="dxa"/>
            <w:vAlign w:val="bottom"/>
            <w:tcBorders>
              <w:bottom w:val="single" w:sz="8" w:color="0000EE"/>
            </w:tcBorders>
            <w:gridSpan w:val="22"/>
          </w:tcPr>
          <w:p>
            <w:pPr>
              <w:spacing w:after="0"/>
              <w:rPr>
                <w:rFonts w:ascii="Times New Roman" w:cs="Times New Roman" w:eastAsia="Times New Roman" w:hAnsi="Times New Roman"/>
                <w:sz w:val="13"/>
                <w:szCs w:val="13"/>
                <w:color w:val="0000EE"/>
                <w:w w:val="99"/>
              </w:rPr>
            </w:pPr>
            <w:hyperlink r:id="rId226">
              <w:r>
                <w:rPr>
                  <w:rFonts w:ascii="Times New Roman" w:cs="Times New Roman" w:eastAsia="Times New Roman" w:hAnsi="Times New Roman"/>
                  <w:sz w:val="13"/>
                  <w:szCs w:val="13"/>
                  <w:color w:val="0000EE"/>
                  <w:w w:val="99"/>
                </w:rPr>
                <w:t>English translation of the Sales Plan between EHang Intelligent and Shanghai Kunxiang Intelligent Technology Co., Ltd. dated August 29,</w:t>
              </w:r>
            </w:hyperlink>
          </w:p>
        </w:tc>
        <w:tc>
          <w:tcPr>
            <w:tcW w:w="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80" w:type="dxa"/>
            <w:vAlign w:val="bottom"/>
            <w:gridSpan w:val="26"/>
          </w:tcPr>
          <w:p>
            <w:pPr>
              <w:spacing w:after="0" w:line="136" w:lineRule="exact"/>
              <w:rPr>
                <w:rFonts w:ascii="Times New Roman" w:cs="Times New Roman" w:eastAsia="Times New Roman" w:hAnsi="Times New Roman"/>
                <w:sz w:val="13"/>
                <w:szCs w:val="13"/>
                <w:color w:val="0000EE"/>
              </w:rPr>
            </w:pPr>
            <w:hyperlink r:id="rId226">
              <w:r>
                <w:rPr>
                  <w:rFonts w:ascii="Times New Roman" w:cs="Times New Roman" w:eastAsia="Times New Roman" w:hAnsi="Times New Roman"/>
                  <w:sz w:val="13"/>
                  <w:szCs w:val="13"/>
                  <w:color w:val="0000EE"/>
                </w:rPr>
                <w:t>2019 (incorporated herein by reference to Exhibit 10.18 to the registration statement on Form F-1 (File No. 333-234411)filed with the SEC</w:t>
              </w:r>
            </w:hyperlink>
          </w:p>
        </w:tc>
        <w:tc>
          <w:tcPr>
            <w:tcW w:w="0" w:type="dxa"/>
            <w:vAlign w:val="bottom"/>
          </w:tcPr>
          <w:p>
            <w:pPr>
              <w:spacing w:after="0"/>
              <w:rPr>
                <w:sz w:val="1"/>
                <w:szCs w:val="1"/>
                <w:color w:val="auto"/>
              </w:rPr>
            </w:pPr>
          </w:p>
        </w:tc>
      </w:tr>
      <w:tr>
        <w:trPr>
          <w:trHeight w:val="136"/>
        </w:trPr>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Borders>
              <w:top w:val="single" w:sz="8" w:color="0000EE"/>
              <w:bottom w:val="single" w:sz="8" w:color="0000EE"/>
            </w:tcBorders>
            <w:gridSpan w:val="3"/>
          </w:tcPr>
          <w:p>
            <w:pPr>
              <w:spacing w:after="0" w:line="136" w:lineRule="exact"/>
              <w:rPr>
                <w:rFonts w:ascii="Times New Roman" w:cs="Times New Roman" w:eastAsia="Times New Roman" w:hAnsi="Times New Roman"/>
                <w:sz w:val="13"/>
                <w:szCs w:val="13"/>
                <w:color w:val="0000EE"/>
                <w:w w:val="98"/>
              </w:rPr>
            </w:pPr>
            <w:hyperlink r:id="rId226">
              <w:r>
                <w:rPr>
                  <w:rFonts w:ascii="Times New Roman" w:cs="Times New Roman" w:eastAsia="Times New Roman" w:hAnsi="Times New Roman"/>
                  <w:sz w:val="13"/>
                  <w:szCs w:val="13"/>
                  <w:color w:val="0000EE"/>
                  <w:w w:val="98"/>
                </w:rPr>
                <w:t>on October 31, 2019)</w:t>
              </w:r>
            </w:hyperlink>
          </w:p>
        </w:tc>
        <w:tc>
          <w:tcPr>
            <w:tcW w:w="6100" w:type="dxa"/>
            <w:vAlign w:val="bottom"/>
            <w:tcBorders>
              <w:top w:val="single" w:sz="8" w:color="0000EE"/>
            </w:tcBorders>
            <w:gridSpan w:val="20"/>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4.16</w:t>
            </w:r>
          </w:p>
        </w:tc>
        <w:tc>
          <w:tcPr>
            <w:tcW w:w="280" w:type="dxa"/>
            <w:vAlign w:val="bottom"/>
          </w:tcPr>
          <w:p>
            <w:pPr>
              <w:spacing w:after="0"/>
              <w:rPr>
                <w:sz w:val="18"/>
                <w:szCs w:val="18"/>
                <w:color w:val="auto"/>
              </w:rPr>
            </w:pPr>
          </w:p>
        </w:tc>
        <w:tc>
          <w:tcPr>
            <w:tcW w:w="6980" w:type="dxa"/>
            <w:vAlign w:val="bottom"/>
            <w:tcBorders>
              <w:bottom w:val="single" w:sz="8" w:color="0000EE"/>
            </w:tcBorders>
            <w:gridSpan w:val="14"/>
          </w:tcPr>
          <w:p>
            <w:pPr>
              <w:spacing w:after="0"/>
              <w:rPr>
                <w:rFonts w:ascii="Times New Roman" w:cs="Times New Roman" w:eastAsia="Times New Roman" w:hAnsi="Times New Roman"/>
                <w:sz w:val="13"/>
                <w:szCs w:val="13"/>
                <w:color w:val="0000EE"/>
              </w:rPr>
            </w:pPr>
            <w:hyperlink r:id="rId227">
              <w:r>
                <w:rPr>
                  <w:rFonts w:ascii="Times New Roman" w:cs="Times New Roman" w:eastAsia="Times New Roman" w:hAnsi="Times New Roman"/>
                  <w:sz w:val="13"/>
                  <w:szCs w:val="13"/>
                  <w:color w:val="0000EE"/>
                </w:rPr>
                <w:t>Subscription Agreement, dated as of January 27, 2021, between the Registrant and certain funds advised by Carmignac (incorporated</w:t>
              </w:r>
            </w:hyperlink>
          </w:p>
        </w:tc>
        <w:tc>
          <w:tcPr>
            <w:tcW w:w="30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180" w:type="dxa"/>
            <w:vAlign w:val="bottom"/>
            <w:tcBorders>
              <w:bottom w:val="single" w:sz="8" w:color="0000EE"/>
            </w:tcBorders>
            <w:gridSpan w:val="21"/>
          </w:tcPr>
          <w:p>
            <w:pPr>
              <w:spacing w:after="0" w:line="136" w:lineRule="exact"/>
              <w:rPr>
                <w:rFonts w:ascii="Times New Roman" w:cs="Times New Roman" w:eastAsia="Times New Roman" w:hAnsi="Times New Roman"/>
                <w:sz w:val="13"/>
                <w:szCs w:val="13"/>
                <w:color w:val="0000EE"/>
                <w:w w:val="99"/>
              </w:rPr>
            </w:pPr>
            <w:hyperlink r:id="rId227">
              <w:r>
                <w:rPr>
                  <w:rFonts w:ascii="Times New Roman" w:cs="Times New Roman" w:eastAsia="Times New Roman" w:hAnsi="Times New Roman"/>
                  <w:sz w:val="13"/>
                  <w:szCs w:val="13"/>
                  <w:color w:val="0000EE"/>
                  <w:w w:val="99"/>
                </w:rPr>
                <w:t>herein by reference to Exhibit 4.16 of our Annual Report on Form 20-F for the year ended December 31, 2020 (File No. 001- 39151) filed</w:t>
              </w:r>
            </w:hyperlink>
          </w:p>
        </w:tc>
        <w:tc>
          <w:tcPr>
            <w:tcW w:w="10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60" w:type="dxa"/>
            <w:vAlign w:val="bottom"/>
            <w:tcBorders>
              <w:bottom w:val="single" w:sz="8" w:color="0000EE"/>
            </w:tcBorders>
            <w:gridSpan w:val="5"/>
          </w:tcPr>
          <w:p>
            <w:pPr>
              <w:spacing w:after="0" w:line="136" w:lineRule="exact"/>
              <w:rPr>
                <w:rFonts w:ascii="Times New Roman" w:cs="Times New Roman" w:eastAsia="Times New Roman" w:hAnsi="Times New Roman"/>
                <w:sz w:val="13"/>
                <w:szCs w:val="13"/>
                <w:color w:val="0000EE"/>
                <w:w w:val="98"/>
              </w:rPr>
            </w:pPr>
            <w:hyperlink r:id="rId227">
              <w:r>
                <w:rPr>
                  <w:rFonts w:ascii="Times New Roman" w:cs="Times New Roman" w:eastAsia="Times New Roman" w:hAnsi="Times New Roman"/>
                  <w:sz w:val="13"/>
                  <w:szCs w:val="13"/>
                  <w:color w:val="0000EE"/>
                  <w:w w:val="98"/>
                </w:rPr>
                <w:t>with the SEC on June 15, 2021)</w:t>
              </w:r>
            </w:hyperlink>
          </w:p>
        </w:tc>
        <w:tc>
          <w:tcPr>
            <w:tcW w:w="5620" w:type="dxa"/>
            <w:vAlign w:val="bottom"/>
            <w:gridSpan w:val="21"/>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8.1*</w:t>
            </w:r>
          </w:p>
        </w:tc>
        <w:tc>
          <w:tcPr>
            <w:tcW w:w="280" w:type="dxa"/>
            <w:vAlign w:val="bottom"/>
          </w:tcPr>
          <w:p>
            <w:pPr>
              <w:spacing w:after="0"/>
              <w:rPr>
                <w:sz w:val="18"/>
                <w:szCs w:val="18"/>
                <w:color w:val="auto"/>
              </w:rPr>
            </w:pPr>
          </w:p>
        </w:tc>
        <w:tc>
          <w:tcPr>
            <w:tcW w:w="34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3"/>
                <w:szCs w:val="13"/>
                <w:color w:val="0000EE"/>
                <w:w w:val="99"/>
              </w:rPr>
              <w:t>List of Principal Subsidiaries and Consolidated Affiliated Entities</w:t>
            </w:r>
          </w:p>
        </w:tc>
        <w:tc>
          <w:tcPr>
            <w:tcW w:w="3860" w:type="dxa"/>
            <w:vAlign w:val="bottom"/>
            <w:gridSpan w:val="15"/>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11.1</w:t>
            </w:r>
          </w:p>
        </w:tc>
        <w:tc>
          <w:tcPr>
            <w:tcW w:w="280" w:type="dxa"/>
            <w:vAlign w:val="bottom"/>
          </w:tcPr>
          <w:p>
            <w:pPr>
              <w:spacing w:after="0"/>
              <w:rPr>
                <w:sz w:val="18"/>
                <w:szCs w:val="18"/>
                <w:color w:val="auto"/>
              </w:rPr>
            </w:pPr>
          </w:p>
        </w:tc>
        <w:tc>
          <w:tcPr>
            <w:tcW w:w="7280" w:type="dxa"/>
            <w:vAlign w:val="bottom"/>
            <w:gridSpan w:val="26"/>
          </w:tcPr>
          <w:p>
            <w:pPr>
              <w:spacing w:after="0"/>
              <w:rPr>
                <w:rFonts w:ascii="Times New Roman" w:cs="Times New Roman" w:eastAsia="Times New Roman" w:hAnsi="Times New Roman"/>
                <w:sz w:val="13"/>
                <w:szCs w:val="13"/>
                <w:color w:val="0000EE"/>
              </w:rPr>
            </w:pPr>
            <w:hyperlink r:id="rId228">
              <w:r>
                <w:rPr>
                  <w:rFonts w:ascii="Times New Roman" w:cs="Times New Roman" w:eastAsia="Times New Roman" w:hAnsi="Times New Roman"/>
                  <w:sz w:val="13"/>
                  <w:szCs w:val="13"/>
                  <w:color w:val="0000EE"/>
                </w:rPr>
                <w:t>Code of Business Conduct and Ethics of the Registrant (incorporated herein by reference to Exhibit 99.1 to the registration statement on</w:t>
              </w:r>
            </w:hyperlink>
          </w:p>
        </w:tc>
        <w:tc>
          <w:tcPr>
            <w:tcW w:w="0" w:type="dxa"/>
            <w:vAlign w:val="bottom"/>
          </w:tcPr>
          <w:p>
            <w:pPr>
              <w:spacing w:after="0"/>
              <w:rPr>
                <w:sz w:val="1"/>
                <w:szCs w:val="1"/>
                <w:color w:val="auto"/>
              </w:rPr>
            </w:pPr>
          </w:p>
        </w:tc>
      </w:tr>
      <w:tr>
        <w:trPr>
          <w:trHeight w:val="136"/>
        </w:trPr>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40" w:type="dxa"/>
            <w:vAlign w:val="bottom"/>
            <w:tcBorders>
              <w:top w:val="single" w:sz="8" w:color="0000EE"/>
              <w:bottom w:val="single" w:sz="8" w:color="0000EE"/>
            </w:tcBorders>
            <w:gridSpan w:val="12"/>
          </w:tcPr>
          <w:p>
            <w:pPr>
              <w:spacing w:after="0" w:line="136" w:lineRule="exact"/>
              <w:rPr>
                <w:rFonts w:ascii="Times New Roman" w:cs="Times New Roman" w:eastAsia="Times New Roman" w:hAnsi="Times New Roman"/>
                <w:sz w:val="13"/>
                <w:szCs w:val="13"/>
                <w:color w:val="0000EE"/>
                <w:w w:val="99"/>
              </w:rPr>
            </w:pPr>
            <w:hyperlink r:id="rId228">
              <w:r>
                <w:rPr>
                  <w:rFonts w:ascii="Times New Roman" w:cs="Times New Roman" w:eastAsia="Times New Roman" w:hAnsi="Times New Roman"/>
                  <w:sz w:val="13"/>
                  <w:szCs w:val="13"/>
                  <w:color w:val="0000EE"/>
                  <w:w w:val="99"/>
                </w:rPr>
                <w:t>Form F-1 (File No. 333-234411) filed with the SEC on October 31, 2019)</w:t>
              </w:r>
            </w:hyperlink>
          </w:p>
        </w:tc>
        <w:tc>
          <w:tcPr>
            <w:tcW w:w="3220" w:type="dxa"/>
            <w:vAlign w:val="bottom"/>
            <w:tcBorders>
              <w:top w:val="single" w:sz="8" w:color="0000EE"/>
            </w:tcBorders>
            <w:gridSpan w:val="4"/>
          </w:tcPr>
          <w:p>
            <w:pPr>
              <w:spacing w:after="0"/>
              <w:rPr>
                <w:sz w:val="11"/>
                <w:szCs w:val="11"/>
                <w:color w:val="auto"/>
              </w:rPr>
            </w:pPr>
          </w:p>
        </w:tc>
        <w:tc>
          <w:tcPr>
            <w:tcW w:w="220" w:type="dxa"/>
            <w:vAlign w:val="bottom"/>
            <w:gridSpan w:val="10"/>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12.1*</w:t>
            </w:r>
          </w:p>
        </w:tc>
        <w:tc>
          <w:tcPr>
            <w:tcW w:w="280" w:type="dxa"/>
            <w:vAlign w:val="bottom"/>
          </w:tcPr>
          <w:p>
            <w:pPr>
              <w:spacing w:after="0"/>
              <w:rPr>
                <w:sz w:val="18"/>
                <w:szCs w:val="18"/>
                <w:color w:val="auto"/>
              </w:rPr>
            </w:pPr>
          </w:p>
        </w:tc>
        <w:tc>
          <w:tcPr>
            <w:tcW w:w="712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3"/>
                <w:szCs w:val="13"/>
                <w:color w:val="0000EE"/>
                <w:w w:val="99"/>
              </w:rPr>
              <w:t>Certification of Chief Executive Officer pursuant to Exchange Act Rules 13a-14(a) and 15d-14(a), as adopted pursuant to Section 302 of</w:t>
            </w:r>
          </w:p>
        </w:tc>
        <w:tc>
          <w:tcPr>
            <w:tcW w:w="16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80" w:type="dxa"/>
            <w:vAlign w:val="bottom"/>
            <w:tcBorders>
              <w:bottom w:val="single" w:sz="8" w:color="0000EE"/>
            </w:tcBorders>
            <w:gridSpan w:val="6"/>
          </w:tcPr>
          <w:p>
            <w:pPr>
              <w:spacing w:after="0" w:line="136" w:lineRule="exact"/>
              <w:rPr>
                <w:sz w:val="20"/>
                <w:szCs w:val="20"/>
                <w:color w:val="auto"/>
              </w:rPr>
            </w:pPr>
            <w:r>
              <w:rPr>
                <w:rFonts w:ascii="Times New Roman" w:cs="Times New Roman" w:eastAsia="Times New Roman" w:hAnsi="Times New Roman"/>
                <w:sz w:val="13"/>
                <w:szCs w:val="13"/>
                <w:color w:val="0000EE"/>
                <w:w w:val="99"/>
              </w:rPr>
              <w:t>the Sarbanes-Oxley Act of 2002</w:t>
            </w:r>
          </w:p>
        </w:tc>
        <w:tc>
          <w:tcPr>
            <w:tcW w:w="5600" w:type="dxa"/>
            <w:vAlign w:val="bottom"/>
            <w:gridSpan w:val="20"/>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12.2*</w:t>
            </w:r>
          </w:p>
        </w:tc>
        <w:tc>
          <w:tcPr>
            <w:tcW w:w="280" w:type="dxa"/>
            <w:vAlign w:val="bottom"/>
          </w:tcPr>
          <w:p>
            <w:pPr>
              <w:spacing w:after="0"/>
              <w:rPr>
                <w:sz w:val="18"/>
                <w:szCs w:val="18"/>
                <w:color w:val="auto"/>
              </w:rPr>
            </w:pPr>
          </w:p>
        </w:tc>
        <w:tc>
          <w:tcPr>
            <w:tcW w:w="726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3"/>
                <w:szCs w:val="13"/>
                <w:color w:val="0000EE"/>
                <w:w w:val="99"/>
              </w:rPr>
              <w:t>Certification of Chief Financial Officer pursuant to Exchange Act Rules 13a-14(a) and 15d-14(a), as adopted pursuant to Section 302 of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80" w:type="dxa"/>
            <w:vAlign w:val="bottom"/>
            <w:gridSpan w:val="26"/>
          </w:tcPr>
          <w:p>
            <w:pPr>
              <w:spacing w:after="0" w:line="136" w:lineRule="exact"/>
              <w:rPr>
                <w:sz w:val="20"/>
                <w:szCs w:val="20"/>
                <w:color w:val="auto"/>
              </w:rPr>
            </w:pPr>
            <w:r>
              <w:rPr>
                <w:rFonts w:ascii="Times New Roman" w:cs="Times New Roman" w:eastAsia="Times New Roman" w:hAnsi="Times New Roman"/>
                <w:sz w:val="13"/>
                <w:szCs w:val="13"/>
                <w:color w:val="0000EE"/>
              </w:rPr>
              <w:t>Sarbanes-Oxley Act of 2002</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5760" w:type="dxa"/>
            <w:vAlign w:val="bottom"/>
            <w:gridSpan w:val="2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13.1**</w:t>
            </w:r>
          </w:p>
        </w:tc>
        <w:tc>
          <w:tcPr>
            <w:tcW w:w="280" w:type="dxa"/>
            <w:vAlign w:val="bottom"/>
          </w:tcPr>
          <w:p>
            <w:pPr>
              <w:spacing w:after="0"/>
              <w:rPr>
                <w:sz w:val="18"/>
                <w:szCs w:val="18"/>
                <w:color w:val="auto"/>
              </w:rPr>
            </w:pPr>
          </w:p>
        </w:tc>
        <w:tc>
          <w:tcPr>
            <w:tcW w:w="724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3"/>
                <w:szCs w:val="13"/>
                <w:color w:val="0000EE"/>
                <w:w w:val="99"/>
              </w:rPr>
              <w:t>Certification of Chief Executive Officer pursuant to 18 U.S.C. Section 1350, as adopted pursuant to Section 906 of the Sarbanes-Oxley Act</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80" w:type="dxa"/>
            <w:vAlign w:val="bottom"/>
            <w:gridSpan w:val="26"/>
          </w:tcPr>
          <w:p>
            <w:pPr>
              <w:spacing w:after="0" w:line="136" w:lineRule="exact"/>
              <w:rPr>
                <w:sz w:val="20"/>
                <w:szCs w:val="20"/>
                <w:color w:val="auto"/>
              </w:rPr>
            </w:pPr>
            <w:r>
              <w:rPr>
                <w:rFonts w:ascii="Times New Roman" w:cs="Times New Roman" w:eastAsia="Times New Roman" w:hAnsi="Times New Roman"/>
                <w:sz w:val="13"/>
                <w:szCs w:val="13"/>
                <w:color w:val="0000EE"/>
              </w:rPr>
              <w:t>of 2002</w:t>
            </w:r>
          </w:p>
        </w:tc>
        <w:tc>
          <w:tcPr>
            <w:tcW w:w="0" w:type="dxa"/>
            <w:vAlign w:val="bottom"/>
          </w:tcPr>
          <w:p>
            <w:pPr>
              <w:spacing w:after="0"/>
              <w:rPr>
                <w:sz w:val="1"/>
                <w:szCs w:val="1"/>
                <w:color w:val="auto"/>
              </w:rPr>
            </w:pPr>
          </w:p>
        </w:tc>
      </w:tr>
      <w:tr>
        <w:trPr>
          <w:trHeight w:val="271"/>
        </w:trPr>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0" w:type="dxa"/>
            <w:vAlign w:val="bottom"/>
            <w:tcBorders>
              <w:top w:val="single" w:sz="8" w:color="0000EE"/>
            </w:tcBorders>
            <w:gridSpan w:val="2"/>
          </w:tcPr>
          <w:p>
            <w:pPr>
              <w:spacing w:after="0"/>
              <w:rPr>
                <w:sz w:val="23"/>
                <w:szCs w:val="23"/>
                <w:color w:val="auto"/>
              </w:rPr>
            </w:pPr>
          </w:p>
        </w:tc>
        <w:tc>
          <w:tcPr>
            <w:tcW w:w="3020" w:type="dxa"/>
            <w:vAlign w:val="bottom"/>
            <w:gridSpan w:val="9"/>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42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8" w:right="1440"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9">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10"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5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540" w:type="dxa"/>
            <w:vAlign w:val="bottom"/>
            <w:gridSpan w:val="3"/>
            <w:vMerge w:val="restart"/>
          </w:tcPr>
          <w:p>
            <w:pPr>
              <w:ind w:left="320"/>
              <w:spacing w:after="0"/>
              <w:rPr>
                <w:sz w:val="20"/>
                <w:szCs w:val="20"/>
                <w:color w:val="auto"/>
              </w:rPr>
            </w:pPr>
            <w:r>
              <w:rPr>
                <w:rFonts w:ascii="Times New Roman" w:cs="Times New Roman" w:eastAsia="Times New Roman" w:hAnsi="Times New Roman"/>
                <w:sz w:val="10"/>
                <w:szCs w:val="10"/>
                <w:b w:val="1"/>
                <w:bCs w:val="1"/>
                <w:color w:val="auto"/>
              </w:rPr>
              <w:t>Description of Document</w:t>
            </w:r>
          </w:p>
        </w:tc>
        <w:tc>
          <w:tcPr>
            <w:tcW w:w="0" w:type="dxa"/>
            <w:vAlign w:val="bottom"/>
          </w:tcPr>
          <w:p>
            <w:pPr>
              <w:spacing w:after="0"/>
              <w:rPr>
                <w:sz w:val="1"/>
                <w:szCs w:val="1"/>
                <w:color w:val="auto"/>
              </w:rPr>
            </w:pPr>
          </w:p>
        </w:tc>
      </w:tr>
      <w:tr>
        <w:trPr>
          <w:trHeight w:val="124"/>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6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540" w:type="dxa"/>
            <w:vAlign w:val="bottom"/>
            <w:tcBorders>
              <w:bottom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13.2**</w:t>
            </w:r>
          </w:p>
        </w:tc>
        <w:tc>
          <w:tcPr>
            <w:tcW w:w="60" w:type="dxa"/>
            <w:vAlign w:val="bottom"/>
          </w:tcPr>
          <w:p>
            <w:pPr>
              <w:spacing w:after="0"/>
              <w:rPr>
                <w:sz w:val="16"/>
                <w:szCs w:val="16"/>
                <w:color w:val="auto"/>
              </w:rPr>
            </w:pPr>
          </w:p>
        </w:tc>
        <w:tc>
          <w:tcPr>
            <w:tcW w:w="7320" w:type="dxa"/>
            <w:vAlign w:val="bottom"/>
            <w:gridSpan w:val="8"/>
          </w:tcPr>
          <w:p>
            <w:pPr>
              <w:spacing w:after="0"/>
              <w:rPr>
                <w:sz w:val="20"/>
                <w:szCs w:val="20"/>
                <w:color w:val="auto"/>
              </w:rPr>
            </w:pPr>
            <w:r>
              <w:rPr>
                <w:rFonts w:ascii="Times New Roman" w:cs="Times New Roman" w:eastAsia="Times New Roman" w:hAnsi="Times New Roman"/>
                <w:sz w:val="13"/>
                <w:szCs w:val="13"/>
                <w:color w:val="0000EE"/>
              </w:rPr>
              <w:t>Certification of Chief Financial Officer pursuant to 18 U.S.C. Section 1350, as adopted pursuant to Section 906 of the Sarbanes-Oxley Act</w:t>
            </w:r>
          </w:p>
        </w:tc>
        <w:tc>
          <w:tcPr>
            <w:tcW w:w="0" w:type="dxa"/>
            <w:vAlign w:val="bottom"/>
          </w:tcPr>
          <w:p>
            <w:pPr>
              <w:spacing w:after="0"/>
              <w:rPr>
                <w:sz w:val="1"/>
                <w:szCs w:val="1"/>
                <w:color w:val="auto"/>
              </w:rPr>
            </w:pPr>
          </w:p>
        </w:tc>
      </w:tr>
      <w:tr>
        <w:trPr>
          <w:trHeight w:val="136"/>
        </w:trPr>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Borders>
              <w:top w:val="single" w:sz="8" w:color="0000EE"/>
              <w:bottom w:val="single" w:sz="8" w:color="0000EE"/>
            </w:tcBorders>
          </w:tcPr>
          <w:p>
            <w:pPr>
              <w:spacing w:after="0" w:line="136" w:lineRule="exact"/>
              <w:rPr>
                <w:sz w:val="20"/>
                <w:szCs w:val="20"/>
                <w:color w:val="auto"/>
              </w:rPr>
            </w:pPr>
            <w:r>
              <w:rPr>
                <w:rFonts w:ascii="Times New Roman" w:cs="Times New Roman" w:eastAsia="Times New Roman" w:hAnsi="Times New Roman"/>
                <w:sz w:val="13"/>
                <w:szCs w:val="13"/>
                <w:color w:val="0000EE"/>
                <w:w w:val="94"/>
              </w:rPr>
              <w:t>of 2002</w:t>
            </w:r>
          </w:p>
        </w:tc>
        <w:tc>
          <w:tcPr>
            <w:tcW w:w="6780" w:type="dxa"/>
            <w:vAlign w:val="bottom"/>
            <w:tcBorders>
              <w:top w:val="single" w:sz="8" w:color="0000EE"/>
            </w:tcBorders>
            <w:gridSpan w:val="6"/>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15.1*</w:t>
            </w:r>
          </w:p>
        </w:tc>
        <w:tc>
          <w:tcPr>
            <w:tcW w:w="60" w:type="dxa"/>
            <w:vAlign w:val="bottom"/>
          </w:tcPr>
          <w:p>
            <w:pPr>
              <w:spacing w:after="0"/>
              <w:rPr>
                <w:sz w:val="18"/>
                <w:szCs w:val="18"/>
                <w:color w:val="auto"/>
              </w:rPr>
            </w:pPr>
          </w:p>
        </w:tc>
        <w:tc>
          <w:tcPr>
            <w:tcW w:w="22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3"/>
                <w:szCs w:val="13"/>
                <w:color w:val="0000EE"/>
                <w:w w:val="98"/>
              </w:rPr>
              <w:t>Consent of Ernst &amp; Young Hua Ming LLP</w:t>
            </w:r>
          </w:p>
        </w:tc>
        <w:tc>
          <w:tcPr>
            <w:tcW w:w="512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15.2*</w:t>
            </w:r>
          </w:p>
        </w:tc>
        <w:tc>
          <w:tcPr>
            <w:tcW w:w="60" w:type="dxa"/>
            <w:vAlign w:val="bottom"/>
          </w:tcPr>
          <w:p>
            <w:pPr>
              <w:spacing w:after="0"/>
              <w:rPr>
                <w:sz w:val="18"/>
                <w:szCs w:val="18"/>
                <w:color w:val="auto"/>
              </w:rPr>
            </w:pPr>
          </w:p>
        </w:tc>
        <w:tc>
          <w:tcPr>
            <w:tcW w:w="7320" w:type="dxa"/>
            <w:vAlign w:val="bottom"/>
            <w:gridSpan w:val="8"/>
          </w:tcPr>
          <w:p>
            <w:pPr>
              <w:spacing w:after="0"/>
              <w:rPr>
                <w:sz w:val="20"/>
                <w:szCs w:val="20"/>
                <w:color w:val="auto"/>
              </w:rPr>
            </w:pPr>
            <w:r>
              <w:rPr>
                <w:rFonts w:ascii="Times New Roman" w:cs="Times New Roman" w:eastAsia="Times New Roman" w:hAnsi="Times New Roman"/>
                <w:sz w:val="13"/>
                <w:szCs w:val="13"/>
                <w:color w:val="0000EE"/>
              </w:rPr>
              <w:t>Consent of PricewaterhouseCoopers Zhong Tian LLP</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15.3*</w:t>
            </w:r>
          </w:p>
        </w:tc>
        <w:tc>
          <w:tcPr>
            <w:tcW w:w="60" w:type="dxa"/>
            <w:vAlign w:val="bottom"/>
          </w:tcPr>
          <w:p>
            <w:pPr>
              <w:spacing w:after="0"/>
              <w:rPr>
                <w:sz w:val="18"/>
                <w:szCs w:val="18"/>
                <w:color w:val="auto"/>
              </w:rPr>
            </w:pPr>
          </w:p>
        </w:tc>
        <w:tc>
          <w:tcPr>
            <w:tcW w:w="278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3"/>
                <w:szCs w:val="13"/>
                <w:color w:val="0000EE"/>
              </w:rPr>
              <w:t>Consent of AllBright Law Offices</w:t>
            </w:r>
          </w:p>
        </w:tc>
        <w:tc>
          <w:tcPr>
            <w:tcW w:w="45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15.4*</w:t>
            </w:r>
          </w:p>
        </w:tc>
        <w:tc>
          <w:tcPr>
            <w:tcW w:w="60" w:type="dxa"/>
            <w:vAlign w:val="bottom"/>
          </w:tcPr>
          <w:p>
            <w:pPr>
              <w:spacing w:after="0"/>
              <w:rPr>
                <w:sz w:val="18"/>
                <w:szCs w:val="18"/>
                <w:color w:val="auto"/>
              </w:rPr>
            </w:pPr>
          </w:p>
        </w:tc>
        <w:tc>
          <w:tcPr>
            <w:tcW w:w="7320" w:type="dxa"/>
            <w:vAlign w:val="bottom"/>
            <w:gridSpan w:val="8"/>
          </w:tcPr>
          <w:p>
            <w:pPr>
              <w:spacing w:after="0"/>
              <w:rPr>
                <w:sz w:val="20"/>
                <w:szCs w:val="20"/>
                <w:color w:val="auto"/>
              </w:rPr>
            </w:pPr>
            <w:r>
              <w:rPr>
                <w:rFonts w:ascii="Times New Roman" w:cs="Times New Roman" w:eastAsia="Times New Roman" w:hAnsi="Times New Roman"/>
                <w:sz w:val="13"/>
                <w:szCs w:val="13"/>
                <w:color w:val="0000EE"/>
              </w:rPr>
              <w:t>Consent of Maples and Calder (Hong Kong) LLP</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16.1*</w:t>
            </w:r>
          </w:p>
        </w:tc>
        <w:tc>
          <w:tcPr>
            <w:tcW w:w="60" w:type="dxa"/>
            <w:vAlign w:val="bottom"/>
          </w:tcPr>
          <w:p>
            <w:pPr>
              <w:spacing w:after="0"/>
              <w:rPr>
                <w:sz w:val="18"/>
                <w:szCs w:val="18"/>
                <w:color w:val="auto"/>
              </w:rPr>
            </w:pPr>
          </w:p>
        </w:tc>
        <w:tc>
          <w:tcPr>
            <w:tcW w:w="7320" w:type="dxa"/>
            <w:vAlign w:val="bottom"/>
            <w:gridSpan w:val="8"/>
          </w:tcPr>
          <w:p>
            <w:pPr>
              <w:spacing w:after="0"/>
              <w:rPr>
                <w:sz w:val="20"/>
                <w:szCs w:val="20"/>
                <w:color w:val="auto"/>
              </w:rPr>
            </w:pPr>
            <w:r>
              <w:rPr>
                <w:rFonts w:ascii="Times New Roman" w:cs="Times New Roman" w:eastAsia="Times New Roman" w:hAnsi="Times New Roman"/>
                <w:sz w:val="13"/>
                <w:szCs w:val="13"/>
                <w:color w:val="0000EE"/>
              </w:rPr>
              <w:t>Letter from EY addressed to the Securities and Exchange Commission dated April 28, 2022</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60" w:type="dxa"/>
            <w:vAlign w:val="bottom"/>
            <w:gridSpan w:val="6"/>
            <w:shd w:val="clear" w:color="auto" w:fill="0000EE"/>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101.INS*</w:t>
            </w:r>
          </w:p>
        </w:tc>
        <w:tc>
          <w:tcPr>
            <w:tcW w:w="60" w:type="dxa"/>
            <w:vAlign w:val="bottom"/>
          </w:tcPr>
          <w:p>
            <w:pPr>
              <w:spacing w:after="0"/>
              <w:rPr>
                <w:sz w:val="21"/>
                <w:szCs w:val="21"/>
                <w:color w:val="auto"/>
              </w:rPr>
            </w:pPr>
          </w:p>
        </w:tc>
        <w:tc>
          <w:tcPr>
            <w:tcW w:w="732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Inline XBRL Instance Document (the cover page XBRL tags are embedded within the Inline XBRL document)</w:t>
            </w:r>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w w:val="98"/>
              </w:rPr>
              <w:t>101.SCH*</w:t>
            </w:r>
          </w:p>
        </w:tc>
        <w:tc>
          <w:tcPr>
            <w:tcW w:w="60" w:type="dxa"/>
            <w:vAlign w:val="bottom"/>
          </w:tcPr>
          <w:p>
            <w:pPr>
              <w:spacing w:after="0"/>
              <w:rPr>
                <w:sz w:val="20"/>
                <w:szCs w:val="20"/>
                <w:color w:val="auto"/>
              </w:rPr>
            </w:pPr>
          </w:p>
        </w:tc>
        <w:tc>
          <w:tcPr>
            <w:tcW w:w="732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Inline XBRL Taxonomy Extension Schema Document</w:t>
            </w:r>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w w:val="97"/>
              </w:rPr>
              <w:t>101.CAL*</w:t>
            </w:r>
          </w:p>
        </w:tc>
        <w:tc>
          <w:tcPr>
            <w:tcW w:w="60" w:type="dxa"/>
            <w:vAlign w:val="bottom"/>
          </w:tcPr>
          <w:p>
            <w:pPr>
              <w:spacing w:after="0"/>
              <w:rPr>
                <w:sz w:val="20"/>
                <w:szCs w:val="20"/>
                <w:color w:val="auto"/>
              </w:rPr>
            </w:pPr>
          </w:p>
        </w:tc>
        <w:tc>
          <w:tcPr>
            <w:tcW w:w="732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Inline XBRL Taxonomy Extension Calculation Linkbase Document</w:t>
            </w:r>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101.DEF*</w:t>
            </w:r>
          </w:p>
        </w:tc>
        <w:tc>
          <w:tcPr>
            <w:tcW w:w="60" w:type="dxa"/>
            <w:vAlign w:val="bottom"/>
          </w:tcPr>
          <w:p>
            <w:pPr>
              <w:spacing w:after="0"/>
              <w:rPr>
                <w:sz w:val="20"/>
                <w:szCs w:val="20"/>
                <w:color w:val="auto"/>
              </w:rPr>
            </w:pPr>
          </w:p>
        </w:tc>
        <w:tc>
          <w:tcPr>
            <w:tcW w:w="732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Inline XBRL Taxonomy Extension Definition Linkbase Document</w:t>
            </w:r>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w w:val="97"/>
              </w:rPr>
              <w:t>101.LAB*</w:t>
            </w:r>
          </w:p>
        </w:tc>
        <w:tc>
          <w:tcPr>
            <w:tcW w:w="60" w:type="dxa"/>
            <w:vAlign w:val="bottom"/>
          </w:tcPr>
          <w:p>
            <w:pPr>
              <w:spacing w:after="0"/>
              <w:rPr>
                <w:sz w:val="20"/>
                <w:szCs w:val="20"/>
                <w:color w:val="auto"/>
              </w:rPr>
            </w:pPr>
          </w:p>
        </w:tc>
        <w:tc>
          <w:tcPr>
            <w:tcW w:w="732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Inline XBRL Taxonomy Extension Label Linkbase Document</w:t>
            </w:r>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101.PRE*</w:t>
            </w:r>
          </w:p>
        </w:tc>
        <w:tc>
          <w:tcPr>
            <w:tcW w:w="60" w:type="dxa"/>
            <w:vAlign w:val="bottom"/>
          </w:tcPr>
          <w:p>
            <w:pPr>
              <w:spacing w:after="0"/>
              <w:rPr>
                <w:sz w:val="20"/>
                <w:szCs w:val="20"/>
                <w:color w:val="auto"/>
              </w:rPr>
            </w:pPr>
          </w:p>
        </w:tc>
        <w:tc>
          <w:tcPr>
            <w:tcW w:w="732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Inline XBRL Taxonomy Extension Presentation Linkbase Document</w:t>
            </w:r>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60" w:type="dxa"/>
            <w:vAlign w:val="bottom"/>
          </w:tcPr>
          <w:p>
            <w:pPr>
              <w:spacing w:after="0"/>
              <w:rPr>
                <w:sz w:val="20"/>
                <w:szCs w:val="20"/>
                <w:color w:val="auto"/>
              </w:rPr>
            </w:pPr>
          </w:p>
        </w:tc>
        <w:tc>
          <w:tcPr>
            <w:tcW w:w="732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Cover Page Interactive Data File (the cover page XBRL tags are embedded within the Exhibit 101 Inline XBRL document set)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68580</wp:posOffset>
            </wp:positionV>
            <wp:extent cx="549910"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0">
                      <a:extLst>
                        <a:ext uri="{28A0092B-C50C-407E-A947-70E740481C1C}"/>
                      </a:extLst>
                    </a:blip>
                    <a:srcRect/>
                    <a:stretch>
                      <a:fillRect/>
                    </a:stretch>
                  </pic:blipFill>
                  <pic:spPr bwMode="auto">
                    <a:xfrm>
                      <a:off x="0" y="0"/>
                      <a:ext cx="549910" cy="6350"/>
                    </a:xfrm>
                    <a:prstGeom prst="rect">
                      <a:avLst/>
                    </a:prstGeom>
                    <a:noFill/>
                  </pic:spPr>
                </pic:pic>
              </a:graphicData>
            </a:graphic>
          </wp:anchor>
        </w:drawing>
      </w:r>
    </w:p>
    <w:p>
      <w:pPr>
        <w:spacing w:after="0" w:line="114" w:lineRule="exact"/>
        <w:rPr>
          <w:sz w:val="20"/>
          <w:szCs w:val="20"/>
          <w:color w:val="auto"/>
        </w:rPr>
      </w:pPr>
    </w:p>
    <w:p>
      <w:pPr>
        <w:ind w:left="1980" w:hanging="304"/>
        <w:spacing w:after="0"/>
        <w:tabs>
          <w:tab w:leader="none" w:pos="198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Filed herewith</w:t>
      </w:r>
    </w:p>
    <w:p>
      <w:pPr>
        <w:spacing w:after="0" w:line="18" w:lineRule="exact"/>
        <w:rPr>
          <w:sz w:val="20"/>
          <w:szCs w:val="20"/>
          <w:color w:val="auto"/>
        </w:rPr>
      </w:pPr>
    </w:p>
    <w:p>
      <w:pPr>
        <w:ind w:left="1980" w:hanging="304"/>
        <w:spacing w:after="0"/>
        <w:tabs>
          <w:tab w:leader="none" w:pos="198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Furnished herewith</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164</w:t>
      </w:r>
    </w:p>
    <w:p>
      <w:pPr>
        <w:sectPr>
          <w:pgSz w:w="11900" w:h="16838" w:orient="portrait"/>
          <w:cols w:equalWidth="0" w:num="1">
            <w:col w:w="10159"/>
          </w:cols>
          <w:pgMar w:left="300" w:top="388" w:right="1440"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1">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64" w:lineRule="exact"/>
        <w:rPr>
          <w:sz w:val="20"/>
          <w:szCs w:val="20"/>
          <w:color w:val="auto"/>
        </w:rPr>
      </w:pPr>
    </w:p>
    <w:p>
      <w:pPr>
        <w:ind w:left="1680" w:right="1099" w:firstLine="317"/>
        <w:spacing w:after="0" w:line="278" w:lineRule="auto"/>
        <w:rPr>
          <w:sz w:val="20"/>
          <w:szCs w:val="20"/>
          <w:color w:val="auto"/>
        </w:rPr>
      </w:pPr>
      <w:r>
        <w:rPr>
          <w:rFonts w:ascii="Times New Roman" w:cs="Times New Roman" w:eastAsia="Times New Roman" w:hAnsi="Times New Roman"/>
          <w:sz w:val="13"/>
          <w:szCs w:val="13"/>
          <w:color w:val="auto"/>
        </w:rPr>
        <w:t>The registrant hereby certifies that it meets all of the requirements for filing on Form 20-F and that it has duly caused and authorized the undersigned to sign this annual report on its behalf.</w:t>
      </w:r>
    </w:p>
    <w:p>
      <w:pPr>
        <w:spacing w:after="0" w:line="138"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164" w:lineRule="exact"/>
        <w:rPr>
          <w:sz w:val="20"/>
          <w:szCs w:val="20"/>
          <w:color w:val="auto"/>
        </w:rPr>
      </w:pPr>
    </w:p>
    <w:p>
      <w:pPr>
        <w:ind w:left="6440"/>
        <w:spacing w:after="0"/>
        <w:tabs>
          <w:tab w:leader="none" w:pos="684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Huazhi 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12065</wp:posOffset>
            </wp:positionV>
            <wp:extent cx="1748155"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2">
                      <a:extLst>
                        <a:ext uri="{28A0092B-C50C-407E-A947-70E740481C1C}"/>
                      </a:extLst>
                    </a:blip>
                    <a:srcRect/>
                    <a:stretch>
                      <a:fillRect/>
                    </a:stretch>
                  </pic:blipFill>
                  <pic:spPr bwMode="auto">
                    <a:xfrm>
                      <a:off x="0" y="0"/>
                      <a:ext cx="1748155" cy="6350"/>
                    </a:xfrm>
                    <a:prstGeom prst="rect">
                      <a:avLst/>
                    </a:prstGeom>
                    <a:noFill/>
                  </pic:spPr>
                </pic:pic>
              </a:graphicData>
            </a:graphic>
          </wp:anchor>
        </w:drawing>
      </w:r>
    </w:p>
    <w:p>
      <w:pPr>
        <w:spacing w:after="0" w:line="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3"/>
          <w:szCs w:val="13"/>
          <w:color w:val="auto"/>
        </w:rPr>
        <w:t>Name: Huazhi Hu</w:t>
      </w:r>
    </w:p>
    <w:p>
      <w:pPr>
        <w:spacing w:after="0" w:line="18" w:lineRule="exact"/>
        <w:rPr>
          <w:sz w:val="20"/>
          <w:szCs w:val="20"/>
          <w:color w:val="auto"/>
        </w:rPr>
      </w:pPr>
    </w:p>
    <w:p>
      <w:pPr>
        <w:jc w:val="both"/>
        <w:ind w:left="6440"/>
        <w:spacing w:after="0"/>
        <w:tabs>
          <w:tab w:leader="none" w:pos="6840" w:val="left"/>
        </w:tabs>
        <w:rPr>
          <w:sz w:val="20"/>
          <w:szCs w:val="20"/>
          <w:color w:val="auto"/>
        </w:rPr>
      </w:pPr>
      <w:r>
        <w:rPr>
          <w:rFonts w:ascii="Times New Roman" w:cs="Times New Roman" w:eastAsia="Times New Roman" w:hAnsi="Times New Roman"/>
          <w:sz w:val="13"/>
          <w:szCs w:val="13"/>
          <w:color w:val="auto"/>
        </w:rPr>
        <w:t>Title:</w:t>
        <w:tab/>
        <w:t>Chairman of the Board of Directors and Chief</w:t>
      </w:r>
    </w:p>
    <w:p>
      <w:pPr>
        <w:spacing w:after="0" w:line="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3"/>
          <w:szCs w:val="13"/>
          <w:color w:val="auto"/>
        </w:rPr>
        <w:t>Executive Officer</w:t>
      </w:r>
    </w:p>
    <w:p>
      <w:pPr>
        <w:spacing w:after="0" w:line="15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Date: April 28, 2022</w:t>
      </w:r>
    </w:p>
    <w:p>
      <w:pPr>
        <w:spacing w:after="0" w:line="11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165</w:t>
      </w:r>
    </w:p>
    <w:p>
      <w:pPr>
        <w:sectPr>
          <w:pgSz w:w="11900" w:h="16838" w:orient="portrait"/>
          <w:cols w:equalWidth="0" w:num="1">
            <w:col w:w="10159"/>
          </w:cols>
          <w:pgMar w:left="300" w:top="388" w:right="1440"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3">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INDEX TO CONSOLIDATED FINANCIAL STATEMENTS</w:t>
      </w:r>
    </w:p>
    <w:p>
      <w:pPr>
        <w:spacing w:after="0" w:line="161"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4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tcPr>
          <w:p>
            <w:pPr>
              <w:jc w:val="right"/>
              <w:ind w:right="17"/>
              <w:spacing w:after="0"/>
              <w:rPr>
                <w:sz w:val="20"/>
                <w:szCs w:val="20"/>
                <w:color w:val="auto"/>
              </w:rPr>
            </w:pPr>
            <w:r>
              <w:rPr>
                <w:rFonts w:ascii="Times New Roman" w:cs="Times New Roman" w:eastAsia="Times New Roman" w:hAnsi="Times New Roman"/>
                <w:sz w:val="10"/>
                <w:szCs w:val="10"/>
                <w:b w:val="1"/>
                <w:bCs w:val="1"/>
                <w:color w:val="auto"/>
              </w:rPr>
              <w:t>PAGE(S)</w:t>
            </w:r>
          </w:p>
        </w:tc>
      </w:tr>
      <w:tr>
        <w:trPr>
          <w:trHeight w:val="139"/>
        </w:trPr>
        <w:tc>
          <w:tcPr>
            <w:tcW w:w="6740" w:type="dxa"/>
            <w:vAlign w:val="bottom"/>
            <w:gridSpan w:val="7"/>
          </w:tcPr>
          <w:p>
            <w:pPr>
              <w:spacing w:after="0" w:line="139" w:lineRule="exact"/>
              <w:rPr>
                <w:sz w:val="20"/>
                <w:szCs w:val="20"/>
                <w:color w:val="auto"/>
              </w:rPr>
            </w:pPr>
            <w:r>
              <w:rPr>
                <w:rFonts w:ascii="Times New Roman" w:cs="Times New Roman" w:eastAsia="Times New Roman" w:hAnsi="Times New Roman"/>
                <w:sz w:val="13"/>
                <w:szCs w:val="13"/>
                <w:color w:val="0000EE"/>
              </w:rPr>
              <w:t>Report of Independent Registered Public Accounting Firm (PCAOB ID 1424)</w:t>
            </w:r>
          </w:p>
        </w:tc>
        <w:tc>
          <w:tcPr>
            <w:tcW w:w="114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F-2</w:t>
            </w:r>
          </w:p>
        </w:tc>
      </w:tr>
      <w:tr>
        <w:trPr>
          <w:trHeight w:val="20"/>
        </w:trPr>
        <w:tc>
          <w:tcPr>
            <w:tcW w:w="24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36"/>
        </w:trPr>
        <w:tc>
          <w:tcPr>
            <w:tcW w:w="6740" w:type="dxa"/>
            <w:vAlign w:val="bottom"/>
            <w:gridSpan w:val="7"/>
          </w:tcPr>
          <w:p>
            <w:pPr>
              <w:spacing w:after="0" w:line="136" w:lineRule="exact"/>
              <w:rPr>
                <w:sz w:val="20"/>
                <w:szCs w:val="20"/>
                <w:color w:val="auto"/>
              </w:rPr>
            </w:pPr>
            <w:r>
              <w:rPr>
                <w:rFonts w:ascii="Times New Roman" w:cs="Times New Roman" w:eastAsia="Times New Roman" w:hAnsi="Times New Roman"/>
                <w:sz w:val="13"/>
                <w:szCs w:val="13"/>
                <w:color w:val="0000EE"/>
              </w:rPr>
              <w:t>Report of Independent Registered Public Accounting Firm (PCAOB ID 1408)</w:t>
            </w: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F-3</w:t>
            </w:r>
          </w:p>
        </w:tc>
      </w:tr>
      <w:tr>
        <w:trPr>
          <w:trHeight w:val="136"/>
        </w:trPr>
        <w:tc>
          <w:tcPr>
            <w:tcW w:w="4040" w:type="dxa"/>
            <w:vAlign w:val="bottom"/>
            <w:tcBorders>
              <w:top w:val="single" w:sz="8" w:color="0000EE"/>
            </w:tcBorders>
            <w:gridSpan w:val="3"/>
          </w:tcPr>
          <w:p>
            <w:pPr>
              <w:spacing w:after="0" w:line="136" w:lineRule="exact"/>
              <w:rPr>
                <w:sz w:val="20"/>
                <w:szCs w:val="20"/>
                <w:color w:val="auto"/>
              </w:rPr>
            </w:pPr>
            <w:r>
              <w:rPr>
                <w:rFonts w:ascii="Times New Roman" w:cs="Times New Roman" w:eastAsia="Times New Roman" w:hAnsi="Times New Roman"/>
                <w:sz w:val="13"/>
                <w:szCs w:val="13"/>
                <w:color w:val="0000EE"/>
              </w:rPr>
              <w:t>Consolidated Balance Sheets as of December 31, 2020 and 2021</w:t>
            </w:r>
          </w:p>
        </w:tc>
        <w:tc>
          <w:tcPr>
            <w:tcW w:w="2700" w:type="dxa"/>
            <w:vAlign w:val="bottom"/>
            <w:gridSpan w:val="4"/>
          </w:tcPr>
          <w:p>
            <w:pPr>
              <w:spacing w:after="0"/>
              <w:rPr>
                <w:sz w:val="11"/>
                <w:szCs w:val="11"/>
                <w:color w:val="auto"/>
              </w:rPr>
            </w:pP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F-4-F-6</w:t>
            </w:r>
          </w:p>
        </w:tc>
      </w:tr>
      <w:tr>
        <w:trPr>
          <w:trHeight w:val="20"/>
        </w:trPr>
        <w:tc>
          <w:tcPr>
            <w:tcW w:w="24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36"/>
        </w:trPr>
        <w:tc>
          <w:tcPr>
            <w:tcW w:w="5500" w:type="dxa"/>
            <w:vAlign w:val="bottom"/>
            <w:tcBorders>
              <w:bottom w:val="single" w:sz="8" w:color="0000EE"/>
            </w:tcBorders>
            <w:gridSpan w:val="5"/>
          </w:tcPr>
          <w:p>
            <w:pPr>
              <w:spacing w:after="0" w:line="136" w:lineRule="exact"/>
              <w:rPr>
                <w:sz w:val="20"/>
                <w:szCs w:val="20"/>
                <w:color w:val="auto"/>
              </w:rPr>
            </w:pPr>
            <w:r>
              <w:rPr>
                <w:rFonts w:ascii="Times New Roman" w:cs="Times New Roman" w:eastAsia="Times New Roman" w:hAnsi="Times New Roman"/>
                <w:sz w:val="13"/>
                <w:szCs w:val="13"/>
                <w:color w:val="0000EE"/>
                <w:w w:val="99"/>
              </w:rPr>
              <w:t>Consolidated Statements of Comprehensive Loss for the Years Ended December 31, 2019, 2020 and 2021</w:t>
            </w:r>
          </w:p>
        </w:tc>
        <w:tc>
          <w:tcPr>
            <w:tcW w:w="1240" w:type="dxa"/>
            <w:vAlign w:val="bottom"/>
            <w:gridSpan w:val="2"/>
          </w:tcPr>
          <w:p>
            <w:pPr>
              <w:spacing w:after="0"/>
              <w:rPr>
                <w:sz w:val="11"/>
                <w:szCs w:val="11"/>
                <w:color w:val="auto"/>
              </w:rPr>
            </w:pP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F-7-F-8</w:t>
            </w:r>
          </w:p>
        </w:tc>
      </w:tr>
      <w:tr>
        <w:trPr>
          <w:trHeight w:val="136"/>
        </w:trPr>
        <w:tc>
          <w:tcPr>
            <w:tcW w:w="6120" w:type="dxa"/>
            <w:vAlign w:val="bottom"/>
            <w:tcBorders>
              <w:bottom w:val="single" w:sz="8" w:color="0000EE"/>
            </w:tcBorders>
            <w:gridSpan w:val="6"/>
          </w:tcPr>
          <w:p>
            <w:pPr>
              <w:spacing w:after="0" w:line="136" w:lineRule="exact"/>
              <w:rPr>
                <w:sz w:val="20"/>
                <w:szCs w:val="20"/>
                <w:color w:val="auto"/>
              </w:rPr>
            </w:pPr>
            <w:r>
              <w:rPr>
                <w:rFonts w:ascii="Times New Roman" w:cs="Times New Roman" w:eastAsia="Times New Roman" w:hAnsi="Times New Roman"/>
                <w:sz w:val="13"/>
                <w:szCs w:val="13"/>
                <w:color w:val="0000EE"/>
                <w:w w:val="99"/>
              </w:rPr>
              <w:t>Consolidated Statements of Changes in Shareholders’ Equity for the Years Ended December 31, 2019, 2020 and 2021</w:t>
            </w:r>
          </w:p>
        </w:tc>
        <w:tc>
          <w:tcPr>
            <w:tcW w:w="620" w:type="dxa"/>
            <w:vAlign w:val="bottom"/>
          </w:tcPr>
          <w:p>
            <w:pPr>
              <w:spacing w:after="0"/>
              <w:rPr>
                <w:sz w:val="11"/>
                <w:szCs w:val="11"/>
                <w:color w:val="auto"/>
              </w:rPr>
            </w:pP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F-9-F-11</w:t>
            </w:r>
          </w:p>
        </w:tc>
      </w:tr>
      <w:tr>
        <w:trPr>
          <w:trHeight w:val="136"/>
        </w:trPr>
        <w:tc>
          <w:tcPr>
            <w:tcW w:w="6740" w:type="dxa"/>
            <w:vAlign w:val="bottom"/>
            <w:gridSpan w:val="7"/>
          </w:tcPr>
          <w:p>
            <w:pPr>
              <w:spacing w:after="0" w:line="136" w:lineRule="exact"/>
              <w:rPr>
                <w:sz w:val="20"/>
                <w:szCs w:val="20"/>
                <w:color w:val="auto"/>
              </w:rPr>
            </w:pPr>
            <w:r>
              <w:rPr>
                <w:rFonts w:ascii="Times New Roman" w:cs="Times New Roman" w:eastAsia="Times New Roman" w:hAnsi="Times New Roman"/>
                <w:sz w:val="13"/>
                <w:szCs w:val="13"/>
                <w:color w:val="0000EE"/>
              </w:rPr>
              <w:t>Consolidated Statements of Cash Flows for the Years Ended December 31, 2019, 2020 and 2021</w:t>
            </w: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F-12-F-14</w:t>
            </w:r>
          </w:p>
        </w:tc>
      </w:tr>
      <w:tr>
        <w:trPr>
          <w:trHeight w:val="136"/>
        </w:trPr>
        <w:tc>
          <w:tcPr>
            <w:tcW w:w="5000" w:type="dxa"/>
            <w:vAlign w:val="bottom"/>
            <w:tcBorders>
              <w:top w:val="single" w:sz="8" w:color="0000EE"/>
            </w:tcBorders>
            <w:gridSpan w:val="4"/>
          </w:tcPr>
          <w:p>
            <w:pPr>
              <w:spacing w:after="0" w:line="136" w:lineRule="exact"/>
              <w:rPr>
                <w:sz w:val="20"/>
                <w:szCs w:val="20"/>
                <w:color w:val="auto"/>
              </w:rPr>
            </w:pPr>
            <w:r>
              <w:rPr>
                <w:rFonts w:ascii="Times New Roman" w:cs="Times New Roman" w:eastAsia="Times New Roman" w:hAnsi="Times New Roman"/>
                <w:sz w:val="13"/>
                <w:szCs w:val="13"/>
                <w:color w:val="0000EE"/>
              </w:rPr>
              <w:t>Notes to the Consolidated Financial Statements</w:t>
            </w:r>
          </w:p>
        </w:tc>
        <w:tc>
          <w:tcPr>
            <w:tcW w:w="1740" w:type="dxa"/>
            <w:vAlign w:val="bottom"/>
            <w:gridSpan w:val="3"/>
          </w:tcPr>
          <w:p>
            <w:pPr>
              <w:spacing w:after="0"/>
              <w:rPr>
                <w:sz w:val="11"/>
                <w:szCs w:val="11"/>
                <w:color w:val="auto"/>
              </w:rPr>
            </w:pP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F-15-F-62</w:t>
            </w:r>
          </w:p>
        </w:tc>
      </w:tr>
      <w:tr>
        <w:trPr>
          <w:trHeight w:val="271"/>
        </w:trPr>
        <w:tc>
          <w:tcPr>
            <w:tcW w:w="2460" w:type="dxa"/>
            <w:vAlign w:val="bottom"/>
            <w:tcBorders>
              <w:top w:val="single" w:sz="8" w:color="0000EE"/>
            </w:tcBorders>
          </w:tcPr>
          <w:p>
            <w:pPr>
              <w:spacing w:after="0"/>
              <w:rPr>
                <w:sz w:val="23"/>
                <w:szCs w:val="23"/>
                <w:color w:val="auto"/>
              </w:rPr>
            </w:pPr>
          </w:p>
        </w:tc>
        <w:tc>
          <w:tcPr>
            <w:tcW w:w="880" w:type="dxa"/>
            <w:vAlign w:val="bottom"/>
          </w:tcPr>
          <w:p>
            <w:pPr>
              <w:spacing w:after="0"/>
              <w:rPr>
                <w:sz w:val="23"/>
                <w:szCs w:val="23"/>
                <w:color w:val="auto"/>
              </w:rPr>
            </w:pPr>
          </w:p>
        </w:tc>
        <w:tc>
          <w:tcPr>
            <w:tcW w:w="3400" w:type="dxa"/>
            <w:vAlign w:val="bottom"/>
            <w:gridSpan w:val="5"/>
          </w:tcPr>
          <w:p>
            <w:pPr>
              <w:ind w:left="520"/>
              <w:spacing w:after="0"/>
              <w:rPr>
                <w:sz w:val="20"/>
                <w:szCs w:val="20"/>
                <w:color w:val="auto"/>
              </w:rPr>
            </w:pPr>
            <w:r>
              <w:rPr>
                <w:rFonts w:ascii="Times New Roman" w:cs="Times New Roman" w:eastAsia="Times New Roman" w:hAnsi="Times New Roman"/>
                <w:sz w:val="13"/>
                <w:szCs w:val="13"/>
                <w:color w:val="auto"/>
              </w:rPr>
              <w:t>F- 1</w:t>
            </w:r>
          </w:p>
        </w:tc>
        <w:tc>
          <w:tcPr>
            <w:tcW w:w="1140" w:type="dxa"/>
            <w:vAlign w:val="bottom"/>
          </w:tcPr>
          <w:p>
            <w:pPr>
              <w:spacing w:after="0"/>
              <w:rPr>
                <w:sz w:val="23"/>
                <w:szCs w:val="23"/>
                <w:color w:val="auto"/>
              </w:rPr>
            </w:pPr>
          </w:p>
        </w:tc>
      </w:tr>
    </w:tbl>
    <w:p>
      <w:pPr>
        <w:sectPr>
          <w:pgSz w:w="11900" w:h="16838" w:orient="portrait"/>
          <w:cols w:equalWidth="0" w:num="1">
            <w:col w:w="10159"/>
          </w:cols>
          <w:pgMar w:left="300" w:top="388" w:right="1440"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4">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3"/>
          <w:szCs w:val="13"/>
          <w:b w:val="1"/>
          <w:bCs w:val="1"/>
          <w:color w:val="auto"/>
        </w:rPr>
        <w:t>REPORT OF INDEPENDENT REGISTERED PUBLIC ACCOUNTING FIRM</w:t>
      </w:r>
    </w:p>
    <w:p>
      <w:pPr>
        <w:spacing w:after="0" w:line="16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To the Board of Directors and Shareholders of EHang Holdings Limited</w:t>
      </w:r>
    </w:p>
    <w:p>
      <w:pPr>
        <w:spacing w:after="0" w:line="23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Opinion on the Financial Statements</w:t>
      </w:r>
    </w:p>
    <w:p>
      <w:pPr>
        <w:spacing w:after="0" w:line="88" w:lineRule="exact"/>
        <w:rPr>
          <w:sz w:val="20"/>
          <w:szCs w:val="20"/>
          <w:color w:val="auto"/>
        </w:rPr>
      </w:pPr>
    </w:p>
    <w:p>
      <w:pPr>
        <w:ind w:left="1680" w:right="579"/>
        <w:spacing w:after="0" w:line="257" w:lineRule="auto"/>
        <w:rPr>
          <w:sz w:val="20"/>
          <w:szCs w:val="20"/>
          <w:color w:val="auto"/>
        </w:rPr>
      </w:pPr>
      <w:r>
        <w:rPr>
          <w:rFonts w:ascii="Times New Roman" w:cs="Times New Roman" w:eastAsia="Times New Roman" w:hAnsi="Times New Roman"/>
          <w:sz w:val="13"/>
          <w:szCs w:val="13"/>
          <w:color w:val="auto"/>
        </w:rPr>
        <w:t>We have audited the accompanying consolidated balance sheet of EHang Holdings Limited and its subsidiaries (the “Company’) as of December 31, 2021, and the related consolidated statements of comprehensive loss, of changes in shareholders’ equity and of cash flows for the year then ended, including the related notes (collectively referred to as the “consolidated financial statements”). In our opinion, the consolidated financial statements present fairly, in all material respects, the financial position of the Company as of December 31, 2021, and the results of its operations and its cash flows for the year then ended in conformity with accounting principles generally accepted in the United States of America.</w:t>
      </w:r>
    </w:p>
    <w:p>
      <w:pPr>
        <w:spacing w:after="0" w:line="20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Basis for Opinion</w:t>
      </w:r>
    </w:p>
    <w:p>
      <w:pPr>
        <w:spacing w:after="0" w:line="88" w:lineRule="exact"/>
        <w:rPr>
          <w:sz w:val="20"/>
          <w:szCs w:val="20"/>
          <w:color w:val="auto"/>
        </w:rPr>
      </w:pPr>
    </w:p>
    <w:p>
      <w:pPr>
        <w:ind w:left="1680" w:right="899"/>
        <w:spacing w:after="0" w:line="259" w:lineRule="auto"/>
        <w:rPr>
          <w:sz w:val="20"/>
          <w:szCs w:val="20"/>
          <w:color w:val="auto"/>
        </w:rPr>
      </w:pPr>
      <w:r>
        <w:rPr>
          <w:rFonts w:ascii="Times New Roman" w:cs="Times New Roman" w:eastAsia="Times New Roman" w:hAnsi="Times New Roman"/>
          <w:sz w:val="13"/>
          <w:szCs w:val="13"/>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ind w:left="1680" w:right="579"/>
        <w:spacing w:after="0" w:line="257" w:lineRule="auto"/>
        <w:rPr>
          <w:sz w:val="20"/>
          <w:szCs w:val="20"/>
          <w:color w:val="auto"/>
        </w:rPr>
      </w:pPr>
      <w:r>
        <w:rPr>
          <w:rFonts w:ascii="Times New Roman" w:cs="Times New Roman" w:eastAsia="Times New Roman" w:hAnsi="Times New Roman"/>
          <w:sz w:val="13"/>
          <w:szCs w:val="13"/>
          <w:color w:val="auto"/>
        </w:rPr>
        <w:t>We conducted our audit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3" w:lineRule="exact"/>
        <w:rPr>
          <w:sz w:val="20"/>
          <w:szCs w:val="20"/>
          <w:color w:val="auto"/>
        </w:rPr>
      </w:pPr>
    </w:p>
    <w:p>
      <w:pPr>
        <w:ind w:left="1680" w:right="579"/>
        <w:spacing w:after="0" w:line="257" w:lineRule="auto"/>
        <w:rPr>
          <w:sz w:val="20"/>
          <w:szCs w:val="20"/>
          <w:color w:val="auto"/>
        </w:rPr>
      </w:pPr>
      <w:r>
        <w:rPr>
          <w:rFonts w:ascii="Times New Roman" w:cs="Times New Roman" w:eastAsia="Times New Roman" w:hAnsi="Times New Roman"/>
          <w:sz w:val="13"/>
          <w:szCs w:val="13"/>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3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/s/ PricewaterhouseCoopers Zhong Tian LLP</w:t>
      </w:r>
    </w:p>
    <w:p>
      <w:pPr>
        <w:spacing w:after="0" w:line="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Guangzhou, the People’s Republic of China</w:t>
      </w:r>
    </w:p>
    <w:p>
      <w:pPr>
        <w:spacing w:after="0" w:line="15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April 28, 2022</w:t>
      </w:r>
    </w:p>
    <w:p>
      <w:pPr>
        <w:spacing w:after="0" w:line="16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We have served as the Company’s auditor since 2021.</w:t>
      </w:r>
    </w:p>
    <w:p>
      <w:pPr>
        <w:spacing w:after="0" w:line="11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F- 2</w:t>
      </w:r>
    </w:p>
    <w:p>
      <w:pPr>
        <w:sectPr>
          <w:pgSz w:w="11900" w:h="16838" w:orient="portrait"/>
          <w:cols w:equalWidth="0" w:num="1">
            <w:col w:w="10159"/>
          </w:cols>
          <w:pgMar w:left="300" w:top="388" w:right="1440"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5">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3"/>
          <w:szCs w:val="13"/>
          <w:b w:val="1"/>
          <w:bCs w:val="1"/>
          <w:color w:val="auto"/>
        </w:rPr>
        <w:t>REPORT OF INDEPENDENT REGISTERED PUBLIC ACCOUNTING FIRM</w:t>
      </w:r>
    </w:p>
    <w:p>
      <w:pPr>
        <w:spacing w:after="0" w:line="16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To the Shareholders and the Board of Directors of EHang Holdings Limited</w:t>
      </w:r>
    </w:p>
    <w:p>
      <w:pPr>
        <w:spacing w:after="0" w:line="23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Opinion on the Financial Statements</w:t>
      </w:r>
    </w:p>
    <w:p>
      <w:pPr>
        <w:spacing w:after="0" w:line="86" w:lineRule="exact"/>
        <w:rPr>
          <w:sz w:val="20"/>
          <w:szCs w:val="20"/>
          <w:color w:val="auto"/>
        </w:rPr>
      </w:pPr>
    </w:p>
    <w:p>
      <w:pPr>
        <w:ind w:left="1680" w:right="619"/>
        <w:spacing w:after="0" w:line="283" w:lineRule="auto"/>
        <w:rPr>
          <w:sz w:val="20"/>
          <w:szCs w:val="20"/>
          <w:color w:val="auto"/>
        </w:rPr>
      </w:pPr>
      <w:r>
        <w:rPr>
          <w:rFonts w:ascii="Times New Roman" w:cs="Times New Roman" w:eastAsia="Times New Roman" w:hAnsi="Times New Roman"/>
          <w:sz w:val="12"/>
          <w:szCs w:val="12"/>
          <w:color w:val="auto"/>
        </w:rPr>
        <w:t>We have audited the accompanying consolidated balance sheet of EHang Holdings Limited (the “Company”) as of December 31, 2020, the related consolidated statements of comprehensive loss, changes in shareholders’ (deficit)/equity and cash flows for each of the two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the results of its operations and its cash flows for each of the two years in the period ended December 31, 2020, in conformity with U.S. generally accepted accounting principles.</w:t>
      </w:r>
    </w:p>
    <w:p>
      <w:pPr>
        <w:spacing w:after="0" w:line="19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Adoption of New Accounting Standard</w:t>
      </w:r>
    </w:p>
    <w:p>
      <w:pPr>
        <w:spacing w:after="0" w:line="86" w:lineRule="exact"/>
        <w:rPr>
          <w:sz w:val="20"/>
          <w:szCs w:val="20"/>
          <w:color w:val="auto"/>
        </w:rPr>
      </w:pPr>
    </w:p>
    <w:p>
      <w:pPr>
        <w:ind w:left="1680" w:right="959"/>
        <w:spacing w:after="0" w:line="278" w:lineRule="auto"/>
        <w:rPr>
          <w:sz w:val="20"/>
          <w:szCs w:val="20"/>
          <w:color w:val="auto"/>
        </w:rPr>
      </w:pPr>
      <w:r>
        <w:rPr>
          <w:rFonts w:ascii="Times New Roman" w:cs="Times New Roman" w:eastAsia="Times New Roman" w:hAnsi="Times New Roman"/>
          <w:sz w:val="13"/>
          <w:szCs w:val="13"/>
          <w:color w:val="auto"/>
        </w:rPr>
        <w:t>As discussed in Note 2 to the consolidated financial statements, the Company changed its method for accounting for revenue from contracts with customers using the modified retrospective approach in the year ended December 31, 2019.</w:t>
      </w:r>
    </w:p>
    <w:p>
      <w:pPr>
        <w:spacing w:after="0" w:line="19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Basis for Opinion</w:t>
      </w:r>
    </w:p>
    <w:p>
      <w:pPr>
        <w:spacing w:after="0" w:line="86" w:lineRule="exact"/>
        <w:rPr>
          <w:sz w:val="20"/>
          <w:szCs w:val="20"/>
          <w:color w:val="auto"/>
        </w:rPr>
      </w:pPr>
    </w:p>
    <w:p>
      <w:pPr>
        <w:ind w:left="1680" w:right="599"/>
        <w:spacing w:after="0" w:line="259" w:lineRule="auto"/>
        <w:rPr>
          <w:sz w:val="20"/>
          <w:szCs w:val="20"/>
          <w:color w:val="auto"/>
        </w:rPr>
      </w:pPr>
      <w:r>
        <w:rPr>
          <w:rFonts w:ascii="Times New Roman" w:cs="Times New Roman" w:eastAsia="Times New Roman" w:hAnsi="Times New Roman"/>
          <w:sz w:val="13"/>
          <w:szCs w:val="13"/>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ind w:left="1680" w:right="579"/>
        <w:spacing w:after="0" w:line="257" w:lineRule="auto"/>
        <w:rPr>
          <w:sz w:val="20"/>
          <w:szCs w:val="20"/>
          <w:color w:val="auto"/>
        </w:rPr>
      </w:pPr>
      <w:r>
        <w:rPr>
          <w:rFonts w:ascii="Times New Roman" w:cs="Times New Roman" w:eastAsia="Times New Roman" w:hAnsi="Times New Roman"/>
          <w:sz w:val="13"/>
          <w:szCs w:val="13"/>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3" w:lineRule="exact"/>
        <w:rPr>
          <w:sz w:val="20"/>
          <w:szCs w:val="20"/>
          <w:color w:val="auto"/>
        </w:rPr>
      </w:pPr>
    </w:p>
    <w:p>
      <w:pPr>
        <w:ind w:left="1680" w:right="559"/>
        <w:spacing w:after="0" w:line="259" w:lineRule="auto"/>
        <w:rPr>
          <w:sz w:val="20"/>
          <w:szCs w:val="20"/>
          <w:color w:val="auto"/>
        </w:rPr>
      </w:pPr>
      <w:r>
        <w:rPr>
          <w:rFonts w:ascii="Times New Roman" w:cs="Times New Roman" w:eastAsia="Times New Roman" w:hAnsi="Times New Roman"/>
          <w:sz w:val="13"/>
          <w:szCs w:val="13"/>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/s/ Ernst &amp; Young Hua Ming LLP</w:t>
      </w:r>
    </w:p>
    <w:p>
      <w:pPr>
        <w:spacing w:after="0" w:line="16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We have served as the Company’s auditor from 2018 to 2021.</w:t>
      </w:r>
    </w:p>
    <w:p>
      <w:pPr>
        <w:spacing w:after="0" w:line="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Shanghai, the People’s Republic of China</w:t>
      </w:r>
    </w:p>
    <w:p>
      <w:pPr>
        <w:spacing w:after="0" w:line="15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June 15, 2021</w:t>
      </w:r>
    </w:p>
    <w:p>
      <w:pPr>
        <w:spacing w:after="0" w:line="11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F- 3</w:t>
      </w:r>
    </w:p>
    <w:p>
      <w:pPr>
        <w:sectPr>
          <w:pgSz w:w="11900" w:h="16838" w:orient="portrait"/>
          <w:cols w:equalWidth="0" w:num="1">
            <w:col w:w="10159"/>
          </w:cols>
          <w:pgMar w:left="300" w:top="388" w:right="1440"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6">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EHANG HOLDINGS LIMITED CONSOLIDATED BALANCE SHEETS</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7">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223" w:lineRule="exact"/>
        <w:rPr>
          <w:sz w:val="20"/>
          <w:szCs w:val="20"/>
          <w:color w:val="auto"/>
        </w:rPr>
      </w:pPr>
    </w:p>
    <w:tbl>
      <w:tblPr>
        <w:tblLayout w:type="fixed"/>
        <w:tblInd w:w="1680" w:type="dxa"/>
        <w:tblCellMar>
          <w:top w:w="0" w:type="dxa"/>
          <w:left w:w="0" w:type="dxa"/>
          <w:bottom w:w="0" w:type="dxa"/>
          <w:right w:w="0" w:type="dxa"/>
        </w:tblCellMar>
      </w:tblPr>
      <w:tr>
        <w:trPr>
          <w:trHeight w:val="124"/>
        </w:trPr>
        <w:tc>
          <w:tcPr>
            <w:tcW w:w="5520" w:type="dxa"/>
            <w:vAlign w:val="bottom"/>
          </w:tcPr>
          <w:p>
            <w:pPr>
              <w:spacing w:after="0"/>
              <w:rPr>
                <w:sz w:val="10"/>
                <w:szCs w:val="10"/>
                <w:color w:val="auto"/>
              </w:rPr>
            </w:pPr>
          </w:p>
        </w:tc>
        <w:tc>
          <w:tcPr>
            <w:tcW w:w="640" w:type="dxa"/>
            <w:vAlign w:val="bottom"/>
            <w:vMerge w:val="restart"/>
          </w:tcPr>
          <w:p>
            <w:pPr>
              <w:jc w:val="right"/>
              <w:ind w:right="276"/>
              <w:spacing w:after="0"/>
              <w:rPr>
                <w:sz w:val="20"/>
                <w:szCs w:val="20"/>
                <w:color w:val="auto"/>
              </w:rPr>
            </w:pPr>
            <w:r>
              <w:rPr>
                <w:rFonts w:ascii="Times New Roman" w:cs="Times New Roman" w:eastAsia="Times New Roman" w:hAnsi="Times New Roman"/>
                <w:sz w:val="10"/>
                <w:szCs w:val="10"/>
                <w:b w:val="1"/>
                <w:bCs w:val="1"/>
                <w:color w:val="auto"/>
              </w:rPr>
              <w:t>Note</w:t>
            </w:r>
          </w:p>
        </w:tc>
        <w:tc>
          <w:tcPr>
            <w:tcW w:w="13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As of December 31,</w:t>
            </w:r>
          </w:p>
        </w:tc>
        <w:tc>
          <w:tcPr>
            <w:tcW w:w="4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55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480" w:type="dxa"/>
            <w:vAlign w:val="bottom"/>
          </w:tcPr>
          <w:p>
            <w:pPr>
              <w:jc w:val="right"/>
              <w:ind w:right="77"/>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840" w:type="dxa"/>
            <w:vAlign w:val="bottom"/>
            <w:gridSpan w:val="3"/>
          </w:tcPr>
          <w:p>
            <w:pPr>
              <w:jc w:val="right"/>
              <w:ind w:right="20"/>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5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Borders>
              <w:top w:val="single" w:sz="8" w:color="auto"/>
            </w:tcBorders>
          </w:tcPr>
          <w:p>
            <w:pPr>
              <w:jc w:val="right"/>
              <w:ind w:right="57"/>
              <w:spacing w:after="0" w:line="80" w:lineRule="exact"/>
              <w:rPr>
                <w:sz w:val="20"/>
                <w:szCs w:val="20"/>
                <w:color w:val="auto"/>
              </w:rPr>
            </w:pPr>
            <w:r>
              <w:rPr>
                <w:rFonts w:ascii="Times New Roman" w:cs="Times New Roman" w:eastAsia="Times New Roman" w:hAnsi="Times New Roman"/>
                <w:sz w:val="9"/>
                <w:szCs w:val="9"/>
                <w:b w:val="1"/>
                <w:bCs w:val="1"/>
                <w:color w:val="auto"/>
              </w:rPr>
              <w:t>RMB</w:t>
            </w:r>
          </w:p>
        </w:tc>
        <w:tc>
          <w:tcPr>
            <w:tcW w:w="180" w:type="dxa"/>
            <w:vAlign w:val="bottom"/>
          </w:tcPr>
          <w:p>
            <w:pPr>
              <w:spacing w:after="0"/>
              <w:rPr>
                <w:sz w:val="6"/>
                <w:szCs w:val="6"/>
                <w:color w:val="auto"/>
              </w:rPr>
            </w:pPr>
          </w:p>
        </w:tc>
        <w:tc>
          <w:tcPr>
            <w:tcW w:w="660" w:type="dxa"/>
            <w:vAlign w:val="bottom"/>
            <w:tcBorders>
              <w:top w:val="single" w:sz="8" w:color="auto"/>
            </w:tcBorders>
            <w:gridSpan w:val="2"/>
          </w:tcPr>
          <w:p>
            <w:pPr>
              <w:jc w:val="right"/>
              <w:ind w:right="300"/>
              <w:spacing w:after="0" w:line="80" w:lineRule="exact"/>
              <w:rPr>
                <w:sz w:val="20"/>
                <w:szCs w:val="20"/>
                <w:color w:val="auto"/>
              </w:rPr>
            </w:pPr>
            <w:r>
              <w:rPr>
                <w:rFonts w:ascii="Times New Roman" w:cs="Times New Roman" w:eastAsia="Times New Roman" w:hAnsi="Times New Roman"/>
                <w:sz w:val="9"/>
                <w:szCs w:val="9"/>
                <w:b w:val="1"/>
                <w:bCs w:val="1"/>
                <w:color w:val="auto"/>
              </w:rPr>
              <w:t>RMB</w:t>
            </w:r>
          </w:p>
        </w:tc>
        <w:tc>
          <w:tcPr>
            <w:tcW w:w="420" w:type="dxa"/>
            <w:vAlign w:val="bottom"/>
            <w:tcBorders>
              <w:top w:val="single" w:sz="8" w:color="auto"/>
            </w:tcBorders>
          </w:tcPr>
          <w:p>
            <w:pPr>
              <w:jc w:val="center"/>
              <w:spacing w:after="0" w:line="80" w:lineRule="exact"/>
              <w:rPr>
                <w:sz w:val="20"/>
                <w:szCs w:val="20"/>
                <w:color w:val="auto"/>
              </w:rPr>
            </w:pPr>
            <w:r>
              <w:rPr>
                <w:rFonts w:ascii="Times New Roman" w:cs="Times New Roman" w:eastAsia="Times New Roman" w:hAnsi="Times New Roman"/>
                <w:sz w:val="9"/>
                <w:szCs w:val="9"/>
                <w:b w:val="1"/>
                <w:bCs w:val="1"/>
                <w:color w:val="auto"/>
              </w:rPr>
              <w:t>US$</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5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Note 2(e)</w:t>
            </w:r>
          </w:p>
        </w:tc>
        <w:tc>
          <w:tcPr>
            <w:tcW w:w="0" w:type="dxa"/>
            <w:vAlign w:val="bottom"/>
          </w:tcPr>
          <w:p>
            <w:pPr>
              <w:spacing w:after="0"/>
              <w:rPr>
                <w:sz w:val="1"/>
                <w:szCs w:val="1"/>
                <w:color w:val="auto"/>
              </w:rPr>
            </w:pPr>
          </w:p>
        </w:tc>
      </w:tr>
      <w:tr>
        <w:trPr>
          <w:trHeight w:val="15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6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6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137,840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246,863</w:t>
            </w: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38,738</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20" w:type="dxa"/>
            <w:vAlign w:val="bottom"/>
          </w:tcPr>
          <w:p>
            <w:pPr>
              <w:spacing w:after="0"/>
              <w:rPr>
                <w:sz w:val="20"/>
                <w:szCs w:val="20"/>
                <w:color w:val="auto"/>
              </w:rPr>
            </w:pPr>
            <w:r>
              <w:rPr>
                <w:rFonts w:ascii="Times New Roman" w:cs="Times New Roman" w:eastAsia="Times New Roman" w:hAnsi="Times New Roman"/>
                <w:sz w:val="13"/>
                <w:szCs w:val="13"/>
                <w:color w:val="auto"/>
              </w:rPr>
              <w:t>Restricted cash</w:t>
            </w:r>
          </w:p>
        </w:tc>
        <w:tc>
          <w:tcPr>
            <w:tcW w:w="64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2(g)</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2,333</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1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Short-term investments</w:t>
            </w:r>
          </w:p>
        </w:tc>
        <w:tc>
          <w:tcPr>
            <w:tcW w:w="6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rPr>
              <w:t>4</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49,271</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65,108</w:t>
            </w: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10,217</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52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Accounts receivable, net of allowance of RMB10,051 and RMB69,417 (US$10,893) as of December 31,</w:t>
            </w: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5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2020 and 2021, respectively</w:t>
            </w:r>
          </w:p>
        </w:tc>
        <w:tc>
          <w:tcPr>
            <w:tcW w:w="64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rPr>
              <w:t>5</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163,146</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56,189</w:t>
            </w: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and estimated earnings in excess of billings</w:t>
            </w:r>
          </w:p>
        </w:tc>
        <w:tc>
          <w:tcPr>
            <w:tcW w:w="6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2(k)</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w:t>
            </w:r>
          </w:p>
        </w:tc>
        <w:tc>
          <w:tcPr>
            <w:tcW w:w="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5520" w:type="dxa"/>
            <w:vAlign w:val="bottom"/>
          </w:tcPr>
          <w:p>
            <w:pPr>
              <w:spacing w:after="0"/>
              <w:rPr>
                <w:sz w:val="20"/>
                <w:szCs w:val="20"/>
                <w:color w:val="auto"/>
              </w:rPr>
            </w:pPr>
            <w:r>
              <w:rPr>
                <w:rFonts w:ascii="Times New Roman" w:cs="Times New Roman" w:eastAsia="Times New Roman" w:hAnsi="Times New Roman"/>
                <w:sz w:val="13"/>
                <w:szCs w:val="13"/>
                <w:color w:val="auto"/>
              </w:rPr>
              <w:t>Inventories</w:t>
            </w:r>
          </w:p>
        </w:tc>
        <w:tc>
          <w:tcPr>
            <w:tcW w:w="64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rPr>
              <w:t>6</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47,094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78,075</w:t>
            </w:r>
          </w:p>
        </w:tc>
        <w:tc>
          <w:tcPr>
            <w:tcW w:w="1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12,252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Prepayments and other current assets</w:t>
            </w:r>
          </w:p>
        </w:tc>
        <w:tc>
          <w:tcPr>
            <w:tcW w:w="6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rPr>
              <w:t>7</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21,421</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29,395</w:t>
            </w: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4,614</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20" w:type="dxa"/>
            <w:vAlign w:val="bottom"/>
          </w:tcPr>
          <w:p>
            <w:pPr>
              <w:spacing w:after="0"/>
              <w:rPr>
                <w:sz w:val="20"/>
                <w:szCs w:val="20"/>
                <w:color w:val="auto"/>
              </w:rPr>
            </w:pPr>
            <w:r>
              <w:rPr>
                <w:rFonts w:ascii="Times New Roman" w:cs="Times New Roman" w:eastAsia="Times New Roman" w:hAnsi="Times New Roman"/>
                <w:sz w:val="13"/>
                <w:szCs w:val="13"/>
                <w:color w:val="auto"/>
              </w:rPr>
              <w:t>Amount due from a related party</w:t>
            </w:r>
          </w:p>
        </w:tc>
        <w:tc>
          <w:tcPr>
            <w:tcW w:w="64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rPr>
              <w:t>17</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2,639</w:t>
            </w:r>
          </w:p>
        </w:tc>
        <w:tc>
          <w:tcPr>
            <w:tcW w:w="180" w:type="dxa"/>
            <w:vAlign w:val="bottom"/>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1,360</w:t>
            </w:r>
          </w:p>
        </w:tc>
        <w:tc>
          <w:tcPr>
            <w:tcW w:w="180" w:type="dxa"/>
            <w:vAlign w:val="bottom"/>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current assets</w:t>
            </w:r>
          </w:p>
        </w:tc>
        <w:tc>
          <w:tcPr>
            <w:tcW w:w="6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424,461</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477,150</w:t>
            </w: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74,876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5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Non-current assets</w:t>
            </w:r>
          </w:p>
        </w:tc>
        <w:tc>
          <w:tcPr>
            <w:tcW w:w="64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6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rPr>
              <w:t>8</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20,869</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33,821</w:t>
            </w: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5,307</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20" w:type="dxa"/>
            <w:vAlign w:val="bottom"/>
          </w:tcPr>
          <w:p>
            <w:pPr>
              <w:spacing w:after="0"/>
              <w:rPr>
                <w:sz w:val="20"/>
                <w:szCs w:val="20"/>
                <w:color w:val="auto"/>
              </w:rPr>
            </w:pPr>
            <w:r>
              <w:rPr>
                <w:rFonts w:ascii="Times New Roman" w:cs="Times New Roman" w:eastAsia="Times New Roman" w:hAnsi="Times New Roman"/>
                <w:sz w:val="13"/>
                <w:szCs w:val="13"/>
                <w:color w:val="auto"/>
              </w:rPr>
              <w:t>Intangible assets, net</w:t>
            </w:r>
          </w:p>
        </w:tc>
        <w:tc>
          <w:tcPr>
            <w:tcW w:w="6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745</w:t>
            </w:r>
          </w:p>
        </w:tc>
        <w:tc>
          <w:tcPr>
            <w:tcW w:w="1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Long-term loans receivable</w:t>
            </w:r>
          </w:p>
        </w:tc>
        <w:tc>
          <w:tcPr>
            <w:tcW w:w="6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rPr>
              <w:t>9</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14,934</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15,208</w:t>
            </w: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20" w:type="dxa"/>
            <w:vAlign w:val="bottom"/>
          </w:tcPr>
          <w:p>
            <w:pPr>
              <w:spacing w:after="0"/>
              <w:rPr>
                <w:sz w:val="20"/>
                <w:szCs w:val="20"/>
                <w:color w:val="auto"/>
              </w:rPr>
            </w:pPr>
            <w:r>
              <w:rPr>
                <w:rFonts w:ascii="Times New Roman" w:cs="Times New Roman" w:eastAsia="Times New Roman" w:hAnsi="Times New Roman"/>
                <w:sz w:val="13"/>
                <w:szCs w:val="13"/>
                <w:color w:val="auto"/>
              </w:rPr>
              <w:t>Long-term investments</w:t>
            </w:r>
          </w:p>
        </w:tc>
        <w:tc>
          <w:tcPr>
            <w:tcW w:w="64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rPr>
              <w:t>10</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2,919</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6,143</w:t>
            </w:r>
          </w:p>
        </w:tc>
        <w:tc>
          <w:tcPr>
            <w:tcW w:w="1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non-current assets</w:t>
            </w:r>
          </w:p>
        </w:tc>
        <w:tc>
          <w:tcPr>
            <w:tcW w:w="6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20,304</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2,367</w:t>
            </w: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5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non-current assets</w:t>
            </w:r>
          </w:p>
        </w:tc>
        <w:tc>
          <w:tcPr>
            <w:tcW w:w="64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60,088</w:t>
            </w:r>
          </w:p>
        </w:tc>
        <w:tc>
          <w:tcPr>
            <w:tcW w:w="18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58,284</w:t>
            </w:r>
          </w:p>
        </w:tc>
        <w:tc>
          <w:tcPr>
            <w:tcW w:w="18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9,145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6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484,549</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535,434</w:t>
            </w: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84,021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5520" w:type="dxa"/>
            <w:vAlign w:val="bottom"/>
          </w:tcPr>
          <w:p>
            <w:pPr>
              <w:ind w:left="3860"/>
              <w:spacing w:after="0"/>
              <w:rPr>
                <w:sz w:val="20"/>
                <w:szCs w:val="20"/>
                <w:color w:val="auto"/>
              </w:rPr>
            </w:pPr>
            <w:r>
              <w:rPr>
                <w:rFonts w:ascii="Times New Roman" w:cs="Times New Roman" w:eastAsia="Times New Roman" w:hAnsi="Times New Roman"/>
                <w:sz w:val="13"/>
                <w:szCs w:val="13"/>
                <w:color w:val="auto"/>
              </w:rPr>
              <w:t>F- 4</w:t>
            </w:r>
          </w:p>
        </w:tc>
        <w:tc>
          <w:tcPr>
            <w:tcW w:w="640" w:type="dxa"/>
            <w:vAlign w:val="bottom"/>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8" w:right="1440"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8">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EHANG HOLDINGS LIMITED CONSOLIDATED BALANCE SHEETS (CONTINUED)</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9">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5" w:lineRule="exact"/>
        <w:rPr>
          <w:sz w:val="20"/>
          <w:szCs w:val="20"/>
          <w:color w:val="auto"/>
        </w:rPr>
      </w:pPr>
    </w:p>
    <w:tbl>
      <w:tblPr>
        <w:tblLayout w:type="fixed"/>
        <w:tblInd w:w="1680" w:type="dxa"/>
        <w:tblCellMar>
          <w:top w:w="0" w:type="dxa"/>
          <w:left w:w="0" w:type="dxa"/>
          <w:bottom w:w="0" w:type="dxa"/>
          <w:right w:w="0" w:type="dxa"/>
        </w:tblCellMar>
      </w:tblPr>
      <w:tr>
        <w:trPr>
          <w:trHeight w:val="124"/>
        </w:trPr>
        <w:tc>
          <w:tcPr>
            <w:tcW w:w="5800" w:type="dxa"/>
            <w:vAlign w:val="bottom"/>
          </w:tcPr>
          <w:p>
            <w:pPr>
              <w:spacing w:after="0"/>
              <w:rPr>
                <w:sz w:val="10"/>
                <w:szCs w:val="10"/>
                <w:color w:val="auto"/>
              </w:rPr>
            </w:pPr>
          </w:p>
        </w:tc>
        <w:tc>
          <w:tcPr>
            <w:tcW w:w="520" w:type="dxa"/>
            <w:vAlign w:val="bottom"/>
            <w:vMerge w:val="restart"/>
          </w:tcPr>
          <w:p>
            <w:pPr>
              <w:jc w:val="center"/>
              <w:ind w:right="97"/>
              <w:spacing w:after="0"/>
              <w:rPr>
                <w:sz w:val="20"/>
                <w:szCs w:val="20"/>
                <w:color w:val="auto"/>
              </w:rPr>
            </w:pPr>
            <w:r>
              <w:rPr>
                <w:rFonts w:ascii="Times New Roman" w:cs="Times New Roman" w:eastAsia="Times New Roman" w:hAnsi="Times New Roman"/>
                <w:sz w:val="10"/>
                <w:szCs w:val="10"/>
                <w:b w:val="1"/>
                <w:bCs w:val="1"/>
                <w:color w:val="auto"/>
                <w:w w:val="99"/>
              </w:rPr>
              <w:t>Note</w:t>
            </w:r>
          </w:p>
        </w:tc>
        <w:tc>
          <w:tcPr>
            <w:tcW w:w="12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0"/>
                <w:szCs w:val="10"/>
                <w:b w:val="1"/>
                <w:bCs w:val="1"/>
                <w:color w:val="auto"/>
              </w:rPr>
              <w:t>As of December 31,</w:t>
            </w:r>
          </w:p>
        </w:tc>
        <w:tc>
          <w:tcPr>
            <w:tcW w:w="3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58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460" w:type="dxa"/>
            <w:vAlign w:val="bottom"/>
          </w:tcPr>
          <w:p>
            <w:pPr>
              <w:jc w:val="right"/>
              <w:ind w:right="57"/>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760" w:type="dxa"/>
            <w:vAlign w:val="bottom"/>
            <w:gridSpan w:val="4"/>
          </w:tcPr>
          <w:p>
            <w:pPr>
              <w:jc w:val="right"/>
              <w:ind w:right="40"/>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58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Borders>
              <w:top w:val="single" w:sz="8" w:color="auto"/>
            </w:tcBorders>
          </w:tcPr>
          <w:p>
            <w:pPr>
              <w:jc w:val="right"/>
              <w:ind w:right="37"/>
              <w:spacing w:after="0" w:line="80" w:lineRule="exact"/>
              <w:rPr>
                <w:sz w:val="20"/>
                <w:szCs w:val="20"/>
                <w:color w:val="auto"/>
              </w:rPr>
            </w:pPr>
            <w:r>
              <w:rPr>
                <w:rFonts w:ascii="Times New Roman" w:cs="Times New Roman" w:eastAsia="Times New Roman" w:hAnsi="Times New Roman"/>
                <w:sz w:val="9"/>
                <w:szCs w:val="9"/>
                <w:b w:val="1"/>
                <w:bCs w:val="1"/>
                <w:color w:val="auto"/>
              </w:rPr>
              <w:t>RMB</w:t>
            </w:r>
          </w:p>
        </w:tc>
        <w:tc>
          <w:tcPr>
            <w:tcW w:w="120" w:type="dxa"/>
            <w:vAlign w:val="bottom"/>
          </w:tcPr>
          <w:p>
            <w:pPr>
              <w:spacing w:after="0"/>
              <w:rPr>
                <w:sz w:val="6"/>
                <w:szCs w:val="6"/>
                <w:color w:val="auto"/>
              </w:rPr>
            </w:pPr>
          </w:p>
        </w:tc>
        <w:tc>
          <w:tcPr>
            <w:tcW w:w="640" w:type="dxa"/>
            <w:vAlign w:val="bottom"/>
            <w:tcBorders>
              <w:top w:val="single" w:sz="8" w:color="auto"/>
            </w:tcBorders>
            <w:gridSpan w:val="3"/>
          </w:tcPr>
          <w:p>
            <w:pPr>
              <w:jc w:val="right"/>
              <w:ind w:right="280"/>
              <w:spacing w:after="0" w:line="80" w:lineRule="exact"/>
              <w:rPr>
                <w:sz w:val="20"/>
                <w:szCs w:val="20"/>
                <w:color w:val="auto"/>
              </w:rPr>
            </w:pPr>
            <w:r>
              <w:rPr>
                <w:rFonts w:ascii="Times New Roman" w:cs="Times New Roman" w:eastAsia="Times New Roman" w:hAnsi="Times New Roman"/>
                <w:sz w:val="9"/>
                <w:szCs w:val="9"/>
                <w:b w:val="1"/>
                <w:bCs w:val="1"/>
                <w:color w:val="auto"/>
              </w:rPr>
              <w:t>RMB</w:t>
            </w:r>
          </w:p>
        </w:tc>
        <w:tc>
          <w:tcPr>
            <w:tcW w:w="360" w:type="dxa"/>
            <w:vAlign w:val="bottom"/>
            <w:tcBorders>
              <w:top w:val="single" w:sz="8" w:color="auto"/>
            </w:tcBorders>
          </w:tcPr>
          <w:p>
            <w:pPr>
              <w:jc w:val="right"/>
              <w:ind w:right="56"/>
              <w:spacing w:after="0" w:line="80" w:lineRule="exact"/>
              <w:rPr>
                <w:sz w:val="20"/>
                <w:szCs w:val="20"/>
                <w:color w:val="auto"/>
              </w:rPr>
            </w:pPr>
            <w:r>
              <w:rPr>
                <w:rFonts w:ascii="Times New Roman" w:cs="Times New Roman" w:eastAsia="Times New Roman" w:hAnsi="Times New Roman"/>
                <w:sz w:val="9"/>
                <w:szCs w:val="9"/>
                <w:b w:val="1"/>
                <w:bCs w:val="1"/>
                <w:color w:val="auto"/>
              </w:rPr>
              <w:t>US$</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58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gridSpan w:val="4"/>
          </w:tcPr>
          <w:p>
            <w:pPr>
              <w:ind w:left="100"/>
              <w:spacing w:after="0"/>
              <w:rPr>
                <w:sz w:val="20"/>
                <w:szCs w:val="20"/>
                <w:color w:val="auto"/>
              </w:rPr>
            </w:pPr>
            <w:r>
              <w:rPr>
                <w:rFonts w:ascii="Times New Roman" w:cs="Times New Roman" w:eastAsia="Times New Roman" w:hAnsi="Times New Roman"/>
                <w:sz w:val="10"/>
                <w:szCs w:val="10"/>
                <w:b w:val="1"/>
                <w:bCs w:val="1"/>
                <w:color w:val="auto"/>
              </w:rPr>
              <w:t>Note 2(e)</w:t>
            </w:r>
          </w:p>
        </w:tc>
        <w:tc>
          <w:tcPr>
            <w:tcW w:w="0" w:type="dxa"/>
            <w:vAlign w:val="bottom"/>
          </w:tcPr>
          <w:p>
            <w:pPr>
              <w:spacing w:after="0"/>
              <w:rPr>
                <w:sz w:val="1"/>
                <w:szCs w:val="1"/>
                <w:color w:val="auto"/>
              </w:rPr>
            </w:pPr>
          </w:p>
        </w:tc>
      </w:tr>
      <w:tr>
        <w:trPr>
          <w:trHeight w:val="15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LIABILITIES AND SHAREHOLDERS’ EQUITY</w:t>
            </w:r>
          </w:p>
        </w:tc>
        <w:tc>
          <w:tcPr>
            <w:tcW w:w="5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800" w:type="dxa"/>
            <w:vAlign w:val="bottom"/>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 xml:space="preserve">Current liabilities </w:t>
            </w:r>
            <w:r>
              <w:rPr>
                <w:rFonts w:ascii="Times New Roman" w:cs="Times New Roman" w:eastAsia="Times New Roman" w:hAnsi="Times New Roman"/>
                <w:sz w:val="13"/>
                <w:szCs w:val="13"/>
                <w:color w:val="auto"/>
              </w:rPr>
              <w:t>(including current liabilities of the consolidated variable interest entity and its subsidiaries</w:t>
            </w: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8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(“VIEs”) without recourse to the Company of RMB28,261 and RMB23,755 (US$3,728) as of December 31,</w:t>
            </w: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8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2020 and 2021, respectively)</w:t>
            </w: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Short-term bank loans</w:t>
            </w:r>
          </w:p>
        </w:tc>
        <w:tc>
          <w:tcPr>
            <w:tcW w:w="520" w:type="dxa"/>
            <w:vAlign w:val="bottom"/>
            <w:shd w:val="clear" w:color="auto" w:fill="CCEEFF"/>
          </w:tcPr>
          <w:p>
            <w:pPr>
              <w:jc w:val="center"/>
              <w:ind w:right="97"/>
              <w:spacing w:after="0"/>
              <w:rPr>
                <w:sz w:val="20"/>
                <w:szCs w:val="20"/>
                <w:color w:val="auto"/>
              </w:rPr>
            </w:pPr>
            <w:r>
              <w:rPr>
                <w:rFonts w:ascii="Times New Roman" w:cs="Times New Roman" w:eastAsia="Times New Roman" w:hAnsi="Times New Roman"/>
                <w:sz w:val="13"/>
                <w:szCs w:val="13"/>
                <w:color w:val="auto"/>
                <w:w w:val="91"/>
              </w:rPr>
              <w:t>12</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1,569</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0" w:type="dxa"/>
            <w:vAlign w:val="bottom"/>
          </w:tcPr>
          <w:p>
            <w:pPr>
              <w:spacing w:after="0"/>
              <w:rPr>
                <w:sz w:val="20"/>
                <w:szCs w:val="20"/>
                <w:color w:val="auto"/>
              </w:rPr>
            </w:pPr>
            <w:r>
              <w:rPr>
                <w:rFonts w:ascii="Times New Roman" w:cs="Times New Roman" w:eastAsia="Times New Roman" w:hAnsi="Times New Roman"/>
                <w:sz w:val="13"/>
                <w:szCs w:val="13"/>
                <w:color w:val="auto"/>
              </w:rPr>
              <w:t>Accounts payable</w:t>
            </w:r>
          </w:p>
        </w:tc>
        <w:tc>
          <w:tcPr>
            <w:tcW w:w="5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53,147</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45,560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7,149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Contract liabilities</w:t>
            </w:r>
          </w:p>
        </w:tc>
        <w:tc>
          <w:tcPr>
            <w:tcW w:w="5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7,492</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14,831</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2,327</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0" w:type="dxa"/>
            <w:vAlign w:val="bottom"/>
          </w:tcPr>
          <w:p>
            <w:pPr>
              <w:spacing w:after="0"/>
              <w:rPr>
                <w:sz w:val="20"/>
                <w:szCs w:val="20"/>
                <w:color w:val="auto"/>
              </w:rPr>
            </w:pPr>
            <w:r>
              <w:rPr>
                <w:rFonts w:ascii="Times New Roman" w:cs="Times New Roman" w:eastAsia="Times New Roman" w:hAnsi="Times New Roman"/>
                <w:sz w:val="13"/>
                <w:szCs w:val="13"/>
                <w:color w:val="auto"/>
              </w:rPr>
              <w:t>Current portion of long-term bank loans</w:t>
            </w:r>
          </w:p>
        </w:tc>
        <w:tc>
          <w:tcPr>
            <w:tcW w:w="520" w:type="dxa"/>
            <w:vAlign w:val="bottom"/>
          </w:tcPr>
          <w:p>
            <w:pPr>
              <w:jc w:val="center"/>
              <w:ind w:right="97"/>
              <w:spacing w:after="0"/>
              <w:rPr>
                <w:sz w:val="20"/>
                <w:szCs w:val="20"/>
                <w:color w:val="auto"/>
              </w:rPr>
            </w:pPr>
            <w:r>
              <w:rPr>
                <w:rFonts w:ascii="Times New Roman" w:cs="Times New Roman" w:eastAsia="Times New Roman" w:hAnsi="Times New Roman"/>
                <w:sz w:val="13"/>
                <w:szCs w:val="13"/>
                <w:color w:val="auto"/>
                <w:w w:val="91"/>
              </w:rPr>
              <w:t>12</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3,000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520" w:type="dxa"/>
            <w:vAlign w:val="bottom"/>
            <w:shd w:val="clear" w:color="auto" w:fill="CCEEFF"/>
          </w:tcPr>
          <w:p>
            <w:pPr>
              <w:jc w:val="center"/>
              <w:ind w:right="97"/>
              <w:spacing w:after="0"/>
              <w:rPr>
                <w:sz w:val="20"/>
                <w:szCs w:val="20"/>
                <w:color w:val="auto"/>
              </w:rPr>
            </w:pPr>
            <w:r>
              <w:rPr>
                <w:rFonts w:ascii="Times New Roman" w:cs="Times New Roman" w:eastAsia="Times New Roman" w:hAnsi="Times New Roman"/>
                <w:sz w:val="13"/>
                <w:szCs w:val="13"/>
                <w:color w:val="auto"/>
                <w:w w:val="91"/>
              </w:rPr>
              <w:t>11</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81,578</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61,851</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9,706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0" w:type="dxa"/>
            <w:vAlign w:val="bottom"/>
          </w:tcPr>
          <w:p>
            <w:pPr>
              <w:spacing w:after="0"/>
              <w:rPr>
                <w:sz w:val="20"/>
                <w:szCs w:val="20"/>
                <w:color w:val="auto"/>
              </w:rPr>
            </w:pPr>
            <w:r>
              <w:rPr>
                <w:rFonts w:ascii="Times New Roman" w:cs="Times New Roman" w:eastAsia="Times New Roman" w:hAnsi="Times New Roman"/>
                <w:sz w:val="13"/>
                <w:szCs w:val="13"/>
                <w:color w:val="auto"/>
              </w:rPr>
              <w:t>Deferred income</w:t>
            </w:r>
          </w:p>
        </w:tc>
        <w:tc>
          <w:tcPr>
            <w:tcW w:w="5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733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government subsidies</w:t>
            </w:r>
          </w:p>
        </w:tc>
        <w:tc>
          <w:tcPr>
            <w:tcW w:w="5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Income taxes payable</w:t>
            </w:r>
          </w:p>
        </w:tc>
        <w:tc>
          <w:tcPr>
            <w:tcW w:w="52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5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158,047</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shd w:val="clear" w:color="auto" w:fill="CCEEFF"/>
              </w:rPr>
              <w:t>136,447</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4"/>
                <w:shd w:val="clear" w:color="auto" w:fill="CCEEFF"/>
              </w:rPr>
              <w:t>21,410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800" w:type="dxa"/>
            <w:vAlign w:val="bottom"/>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 xml:space="preserve">Non-current liabilities </w:t>
            </w:r>
            <w:r>
              <w:rPr>
                <w:rFonts w:ascii="Times New Roman" w:cs="Times New Roman" w:eastAsia="Times New Roman" w:hAnsi="Times New Roman"/>
                <w:sz w:val="13"/>
                <w:szCs w:val="13"/>
                <w:color w:val="auto"/>
              </w:rPr>
              <w:t>(including non-current liabilities of the VIEs without recourse to the Company of</w:t>
            </w:r>
          </w:p>
        </w:tc>
        <w:tc>
          <w:tcPr>
            <w:tcW w:w="5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8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RMB588 and RMB9,588 (US$1,504) as of December 31, 2020 and 2021, respectively)</w:t>
            </w: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Long-term bank loans</w:t>
            </w:r>
          </w:p>
        </w:tc>
        <w:tc>
          <w:tcPr>
            <w:tcW w:w="520" w:type="dxa"/>
            <w:vAlign w:val="bottom"/>
            <w:shd w:val="clear" w:color="auto" w:fill="CCEEFF"/>
          </w:tcPr>
          <w:p>
            <w:pPr>
              <w:jc w:val="center"/>
              <w:ind w:right="97"/>
              <w:spacing w:after="0"/>
              <w:rPr>
                <w:sz w:val="20"/>
                <w:szCs w:val="20"/>
                <w:color w:val="auto"/>
              </w:rPr>
            </w:pPr>
            <w:r>
              <w:rPr>
                <w:rFonts w:ascii="Times New Roman" w:cs="Times New Roman" w:eastAsia="Times New Roman" w:hAnsi="Times New Roman"/>
                <w:sz w:val="13"/>
                <w:szCs w:val="13"/>
                <w:color w:val="auto"/>
                <w:w w:val="91"/>
              </w:rPr>
              <w:t>12</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17,000</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2,668</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0" w:type="dxa"/>
            <w:vAlign w:val="bottom"/>
          </w:tcPr>
          <w:p>
            <w:pPr>
              <w:spacing w:after="0"/>
              <w:rPr>
                <w:sz w:val="20"/>
                <w:szCs w:val="20"/>
                <w:color w:val="auto"/>
              </w:rPr>
            </w:pPr>
            <w:r>
              <w:rPr>
                <w:rFonts w:ascii="Times New Roman" w:cs="Times New Roman" w:eastAsia="Times New Roman" w:hAnsi="Times New Roman"/>
                <w:sz w:val="13"/>
                <w:szCs w:val="13"/>
                <w:color w:val="auto"/>
              </w:rPr>
              <w:t>Mandatorily redeemable non-controlling interests</w:t>
            </w:r>
          </w:p>
        </w:tc>
        <w:tc>
          <w:tcPr>
            <w:tcW w:w="520" w:type="dxa"/>
            <w:vAlign w:val="bottom"/>
          </w:tcPr>
          <w:p>
            <w:pPr>
              <w:jc w:val="center"/>
              <w:ind w:right="97"/>
              <w:spacing w:after="0"/>
              <w:rPr>
                <w:sz w:val="20"/>
                <w:szCs w:val="20"/>
                <w:color w:val="auto"/>
              </w:rPr>
            </w:pPr>
            <w:r>
              <w:rPr>
                <w:rFonts w:ascii="Times New Roman" w:cs="Times New Roman" w:eastAsia="Times New Roman" w:hAnsi="Times New Roman"/>
                <w:sz w:val="13"/>
                <w:szCs w:val="13"/>
                <w:color w:val="auto"/>
                <w:w w:val="91"/>
              </w:rPr>
              <w:t>13</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40,000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6,277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tax liabilities</w:t>
            </w:r>
          </w:p>
        </w:tc>
        <w:tc>
          <w:tcPr>
            <w:tcW w:w="520" w:type="dxa"/>
            <w:vAlign w:val="bottom"/>
            <w:shd w:val="clear" w:color="auto" w:fill="CCEEFF"/>
          </w:tcPr>
          <w:p>
            <w:pPr>
              <w:jc w:val="center"/>
              <w:ind w:right="97"/>
              <w:spacing w:after="0"/>
              <w:rPr>
                <w:sz w:val="20"/>
                <w:szCs w:val="20"/>
                <w:color w:val="auto"/>
              </w:rPr>
            </w:pPr>
            <w:r>
              <w:rPr>
                <w:rFonts w:ascii="Times New Roman" w:cs="Times New Roman" w:eastAsia="Times New Roman" w:hAnsi="Times New Roman"/>
                <w:sz w:val="13"/>
                <w:szCs w:val="13"/>
                <w:color w:val="auto"/>
                <w:w w:val="91"/>
              </w:rPr>
              <w:t>16</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0" w:type="dxa"/>
            <w:vAlign w:val="bottom"/>
          </w:tcPr>
          <w:p>
            <w:pPr>
              <w:spacing w:after="0"/>
              <w:rPr>
                <w:sz w:val="20"/>
                <w:szCs w:val="20"/>
                <w:color w:val="auto"/>
              </w:rPr>
            </w:pPr>
            <w:r>
              <w:rPr>
                <w:rFonts w:ascii="Times New Roman" w:cs="Times New Roman" w:eastAsia="Times New Roman" w:hAnsi="Times New Roman"/>
                <w:sz w:val="13"/>
                <w:szCs w:val="13"/>
                <w:color w:val="auto"/>
              </w:rPr>
              <w:t>Unrecognized tax benefit</w:t>
            </w:r>
          </w:p>
        </w:tc>
        <w:tc>
          <w:tcPr>
            <w:tcW w:w="520" w:type="dxa"/>
            <w:vAlign w:val="bottom"/>
          </w:tcPr>
          <w:p>
            <w:pPr>
              <w:jc w:val="center"/>
              <w:ind w:right="97"/>
              <w:spacing w:after="0"/>
              <w:rPr>
                <w:sz w:val="20"/>
                <w:szCs w:val="20"/>
                <w:color w:val="auto"/>
              </w:rPr>
            </w:pPr>
            <w:r>
              <w:rPr>
                <w:rFonts w:ascii="Times New Roman" w:cs="Times New Roman" w:eastAsia="Times New Roman" w:hAnsi="Times New Roman"/>
                <w:sz w:val="13"/>
                <w:szCs w:val="13"/>
                <w:color w:val="auto"/>
                <w:w w:val="91"/>
              </w:rPr>
              <w:t>16</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5,480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income</w:t>
            </w:r>
          </w:p>
        </w:tc>
        <w:tc>
          <w:tcPr>
            <w:tcW w:w="5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2,169</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Deferred government subsidies</w:t>
            </w:r>
          </w:p>
        </w:tc>
        <w:tc>
          <w:tcPr>
            <w:tcW w:w="52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2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non-current liabilities</w:t>
            </w:r>
          </w:p>
        </w:tc>
        <w:tc>
          <w:tcPr>
            <w:tcW w:w="5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48,802</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shd w:val="clear" w:color="auto" w:fill="CCEEFF"/>
              </w:rPr>
              <w:t>64,941</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4"/>
                <w:shd w:val="clear" w:color="auto" w:fill="CCEEFF"/>
              </w:rPr>
              <w:t>10,191</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520" w:type="dxa"/>
            <w:vAlign w:val="bottom"/>
            <w:tcBorders>
              <w:bottom w:val="single" w:sz="8" w:color="CCEEFF"/>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206,849</w:t>
            </w:r>
          </w:p>
        </w:tc>
        <w:tc>
          <w:tcPr>
            <w:tcW w:w="120" w:type="dxa"/>
            <w:vAlign w:val="bottom"/>
            <w:tcBorders>
              <w:bottom w:val="single" w:sz="8" w:color="CCEEFF"/>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201,388</w:t>
            </w:r>
          </w:p>
        </w:tc>
        <w:tc>
          <w:tcPr>
            <w:tcW w:w="10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31,601</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Commitments and Contingencies</w:t>
            </w:r>
          </w:p>
        </w:tc>
        <w:tc>
          <w:tcPr>
            <w:tcW w:w="520" w:type="dxa"/>
            <w:vAlign w:val="bottom"/>
            <w:shd w:val="clear" w:color="auto" w:fill="CCEEFF"/>
          </w:tcPr>
          <w:p>
            <w:pPr>
              <w:jc w:val="center"/>
              <w:ind w:right="97"/>
              <w:spacing w:after="0"/>
              <w:rPr>
                <w:sz w:val="20"/>
                <w:szCs w:val="20"/>
                <w:color w:val="auto"/>
              </w:rPr>
            </w:pPr>
            <w:r>
              <w:rPr>
                <w:rFonts w:ascii="Times New Roman" w:cs="Times New Roman" w:eastAsia="Times New Roman" w:hAnsi="Times New Roman"/>
                <w:sz w:val="13"/>
                <w:szCs w:val="13"/>
                <w:color w:val="auto"/>
                <w:w w:val="91"/>
              </w:rPr>
              <w:t>23</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5800" w:type="dxa"/>
            <w:vAlign w:val="bottom"/>
          </w:tcPr>
          <w:p>
            <w:pPr>
              <w:ind w:left="3860"/>
              <w:spacing w:after="0"/>
              <w:rPr>
                <w:sz w:val="20"/>
                <w:szCs w:val="20"/>
                <w:color w:val="auto"/>
              </w:rPr>
            </w:pPr>
            <w:r>
              <w:rPr>
                <w:rFonts w:ascii="Times New Roman" w:cs="Times New Roman" w:eastAsia="Times New Roman" w:hAnsi="Times New Roman"/>
                <w:sz w:val="13"/>
                <w:szCs w:val="13"/>
                <w:color w:val="auto"/>
              </w:rPr>
              <w:t>F- 5</w:t>
            </w: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8" w:right="1440"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0">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EHANG HOLDINGS LIMITED CONSOLIDATED BALANCE SHEETS (CONTINUED)</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1">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5" w:lineRule="exact"/>
        <w:rPr>
          <w:sz w:val="20"/>
          <w:szCs w:val="20"/>
          <w:color w:val="auto"/>
        </w:rPr>
      </w:pPr>
    </w:p>
    <w:tbl>
      <w:tblPr>
        <w:tblLayout w:type="fixed"/>
        <w:tblInd w:w="1680" w:type="dxa"/>
        <w:tblCellMar>
          <w:top w:w="0" w:type="dxa"/>
          <w:left w:w="0" w:type="dxa"/>
          <w:bottom w:w="0" w:type="dxa"/>
          <w:right w:w="0" w:type="dxa"/>
        </w:tblCellMar>
      </w:tblPr>
      <w:tr>
        <w:trPr>
          <w:trHeight w:val="124"/>
        </w:trPr>
        <w:tc>
          <w:tcPr>
            <w:tcW w:w="5300" w:type="dxa"/>
            <w:vAlign w:val="bottom"/>
          </w:tcPr>
          <w:p>
            <w:pPr>
              <w:spacing w:after="0"/>
              <w:rPr>
                <w:sz w:val="10"/>
                <w:szCs w:val="10"/>
                <w:color w:val="auto"/>
              </w:rPr>
            </w:pPr>
          </w:p>
        </w:tc>
        <w:tc>
          <w:tcPr>
            <w:tcW w:w="580" w:type="dxa"/>
            <w:vAlign w:val="bottom"/>
            <w:vMerge w:val="restart"/>
          </w:tcPr>
          <w:p>
            <w:pPr>
              <w:jc w:val="center"/>
              <w:ind w:right="198"/>
              <w:spacing w:after="0"/>
              <w:rPr>
                <w:sz w:val="20"/>
                <w:szCs w:val="20"/>
                <w:color w:val="auto"/>
              </w:rPr>
            </w:pPr>
            <w:r>
              <w:rPr>
                <w:rFonts w:ascii="Times New Roman" w:cs="Times New Roman" w:eastAsia="Times New Roman" w:hAnsi="Times New Roman"/>
                <w:sz w:val="10"/>
                <w:szCs w:val="10"/>
                <w:b w:val="1"/>
                <w:bCs w:val="1"/>
                <w:color w:val="auto"/>
                <w:w w:val="99"/>
              </w:rPr>
              <w:t>Note</w:t>
            </w:r>
          </w:p>
        </w:tc>
        <w:tc>
          <w:tcPr>
            <w:tcW w:w="14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As of December 31,</w:t>
            </w:r>
          </w:p>
        </w:tc>
        <w:tc>
          <w:tcPr>
            <w:tcW w:w="5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53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560" w:type="dxa"/>
            <w:vAlign w:val="bottom"/>
            <w:tcBorders>
              <w:bottom w:val="single" w:sz="8" w:color="auto"/>
            </w:tcBorders>
          </w:tcPr>
          <w:p>
            <w:pPr>
              <w:jc w:val="right"/>
              <w:ind w:right="119"/>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160" w:type="dxa"/>
            <w:vAlign w:val="bottom"/>
          </w:tcPr>
          <w:p>
            <w:pPr>
              <w:spacing w:after="0"/>
              <w:rPr>
                <w:sz w:val="8"/>
                <w:szCs w:val="8"/>
                <w:color w:val="auto"/>
              </w:rPr>
            </w:pPr>
          </w:p>
        </w:tc>
        <w:tc>
          <w:tcPr>
            <w:tcW w:w="760" w:type="dxa"/>
            <w:vAlign w:val="bottom"/>
            <w:tcBorders>
              <w:bottom w:val="single" w:sz="8" w:color="auto"/>
            </w:tcBorders>
            <w:gridSpan w:val="2"/>
          </w:tcPr>
          <w:p>
            <w:pPr>
              <w:jc w:val="right"/>
              <w:ind w:right="40"/>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5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jc w:val="right"/>
              <w:ind w:right="99"/>
              <w:spacing w:after="0" w:line="80" w:lineRule="exact"/>
              <w:rPr>
                <w:sz w:val="20"/>
                <w:szCs w:val="20"/>
                <w:color w:val="auto"/>
              </w:rPr>
            </w:pPr>
            <w:r>
              <w:rPr>
                <w:rFonts w:ascii="Times New Roman" w:cs="Times New Roman" w:eastAsia="Times New Roman" w:hAnsi="Times New Roman"/>
                <w:sz w:val="9"/>
                <w:szCs w:val="9"/>
                <w:b w:val="1"/>
                <w:bCs w:val="1"/>
                <w:color w:val="auto"/>
              </w:rPr>
              <w:t>RMB</w:t>
            </w:r>
          </w:p>
        </w:tc>
        <w:tc>
          <w:tcPr>
            <w:tcW w:w="160" w:type="dxa"/>
            <w:vAlign w:val="bottom"/>
          </w:tcPr>
          <w:p>
            <w:pPr>
              <w:spacing w:after="0"/>
              <w:rPr>
                <w:sz w:val="6"/>
                <w:szCs w:val="6"/>
                <w:color w:val="auto"/>
              </w:rPr>
            </w:pPr>
          </w:p>
        </w:tc>
        <w:tc>
          <w:tcPr>
            <w:tcW w:w="760" w:type="dxa"/>
            <w:vAlign w:val="bottom"/>
            <w:gridSpan w:val="2"/>
          </w:tcPr>
          <w:p>
            <w:pPr>
              <w:jc w:val="right"/>
              <w:ind w:right="340"/>
              <w:spacing w:after="0" w:line="80" w:lineRule="exact"/>
              <w:rPr>
                <w:sz w:val="20"/>
                <w:szCs w:val="20"/>
                <w:color w:val="auto"/>
              </w:rPr>
            </w:pPr>
            <w:r>
              <w:rPr>
                <w:rFonts w:ascii="Times New Roman" w:cs="Times New Roman" w:eastAsia="Times New Roman" w:hAnsi="Times New Roman"/>
                <w:sz w:val="9"/>
                <w:szCs w:val="9"/>
                <w:b w:val="1"/>
                <w:bCs w:val="1"/>
                <w:color w:val="auto"/>
              </w:rPr>
              <w:t>RMB</w:t>
            </w:r>
          </w:p>
        </w:tc>
        <w:tc>
          <w:tcPr>
            <w:tcW w:w="500" w:type="dxa"/>
            <w:vAlign w:val="bottom"/>
          </w:tcPr>
          <w:p>
            <w:pPr>
              <w:jc w:val="right"/>
              <w:ind w:right="98"/>
              <w:spacing w:after="0" w:line="80" w:lineRule="exact"/>
              <w:rPr>
                <w:sz w:val="20"/>
                <w:szCs w:val="20"/>
                <w:color w:val="auto"/>
              </w:rPr>
            </w:pPr>
            <w:r>
              <w:rPr>
                <w:rFonts w:ascii="Times New Roman" w:cs="Times New Roman" w:eastAsia="Times New Roman" w:hAnsi="Times New Roman"/>
                <w:sz w:val="9"/>
                <w:szCs w:val="9"/>
                <w:b w:val="1"/>
                <w:bCs w:val="1"/>
                <w:color w:val="auto"/>
              </w:rPr>
              <w:t>US$</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5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Note 2(e)</w:t>
            </w:r>
          </w:p>
        </w:tc>
        <w:tc>
          <w:tcPr>
            <w:tcW w:w="0" w:type="dxa"/>
            <w:vAlign w:val="bottom"/>
          </w:tcPr>
          <w:p>
            <w:pPr>
              <w:spacing w:after="0"/>
              <w:rPr>
                <w:sz w:val="1"/>
                <w:szCs w:val="1"/>
                <w:color w:val="auto"/>
              </w:rPr>
            </w:pPr>
          </w:p>
        </w:tc>
      </w:tr>
      <w:tr>
        <w:trPr>
          <w:trHeight w:val="15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Shareholders’ equity:</w:t>
            </w:r>
          </w:p>
        </w:tc>
        <w:tc>
          <w:tcPr>
            <w:tcW w:w="5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30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Class A ordinary shares (US$0.0001 par value; 1,904,577,337shares authorized, 64,688,479 shares</w:t>
            </w: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issued and 64,634,743 shares outstanding as of December 31, 2020; 1,904,577,337 shares</w:t>
            </w: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authorized, 74,309,007 shares issued and 73,723,637 shares outstanding as of December 31, 2021)</w:t>
            </w:r>
          </w:p>
        </w:tc>
        <w:tc>
          <w:tcPr>
            <w:tcW w:w="580" w:type="dxa"/>
            <w:vAlign w:val="bottom"/>
          </w:tcPr>
          <w:p>
            <w:pPr>
              <w:jc w:val="center"/>
              <w:ind w:right="198"/>
              <w:spacing w:after="0"/>
              <w:rPr>
                <w:sz w:val="20"/>
                <w:szCs w:val="20"/>
                <w:color w:val="auto"/>
              </w:rPr>
            </w:pPr>
            <w:r>
              <w:rPr>
                <w:rFonts w:ascii="Times New Roman" w:cs="Times New Roman" w:eastAsia="Times New Roman" w:hAnsi="Times New Roman"/>
                <w:sz w:val="13"/>
                <w:szCs w:val="13"/>
                <w:color w:val="auto"/>
                <w:w w:val="91"/>
              </w:rPr>
              <w:t>19</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3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Class B ordinary shares (US$0.0001 par value; 45,422,663 shares authorized, 44,992,555 shares</w:t>
            </w:r>
          </w:p>
        </w:tc>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issued and outstanding as of December 31, 2020; 45,422,663 shares authorized, 40,136,560 shares</w:t>
            </w:r>
          </w:p>
        </w:tc>
        <w:tc>
          <w:tcPr>
            <w:tcW w:w="5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issued and outstanding as of December 31, 2021)</w:t>
            </w:r>
          </w:p>
        </w:tc>
        <w:tc>
          <w:tcPr>
            <w:tcW w:w="580" w:type="dxa"/>
            <w:vAlign w:val="bottom"/>
            <w:shd w:val="clear" w:color="auto" w:fill="CCEEFF"/>
          </w:tcPr>
          <w:p>
            <w:pPr>
              <w:jc w:val="center"/>
              <w:ind w:right="198"/>
              <w:spacing w:after="0"/>
              <w:rPr>
                <w:sz w:val="20"/>
                <w:szCs w:val="20"/>
                <w:color w:val="auto"/>
              </w:rPr>
            </w:pPr>
            <w:r>
              <w:rPr>
                <w:rFonts w:ascii="Times New Roman" w:cs="Times New Roman" w:eastAsia="Times New Roman" w:hAnsi="Times New Roman"/>
                <w:sz w:val="13"/>
                <w:szCs w:val="13"/>
                <w:color w:val="auto"/>
                <w:w w:val="91"/>
              </w:rPr>
              <w:t>19</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Additional paid-in capital</w:t>
            </w:r>
          </w:p>
        </w:tc>
        <w:tc>
          <w:tcPr>
            <w:tcW w:w="5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1,081,299</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1,459,374</w:t>
            </w:r>
          </w:p>
        </w:tc>
        <w:tc>
          <w:tcPr>
            <w:tcW w:w="1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229,008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Statutory reserves</w:t>
            </w:r>
          </w:p>
        </w:tc>
        <w:tc>
          <w:tcPr>
            <w:tcW w:w="5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1,035</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1,191</w:t>
            </w: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Accumulated deficit</w:t>
            </w:r>
          </w:p>
        </w:tc>
        <w:tc>
          <w:tcPr>
            <w:tcW w:w="5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(808,038)</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(1,122,153)</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(176,090)</w:t>
            </w:r>
          </w:p>
        </w:tc>
        <w:tc>
          <w:tcPr>
            <w:tcW w:w="0" w:type="dxa"/>
            <w:vAlign w:val="bottom"/>
          </w:tcPr>
          <w:p>
            <w:pPr>
              <w:spacing w:after="0"/>
              <w:rPr>
                <w:sz w:val="1"/>
                <w:szCs w:val="1"/>
                <w:color w:val="auto"/>
              </w:rPr>
            </w:pPr>
          </w:p>
        </w:tc>
      </w:tr>
      <w:tr>
        <w:trPr>
          <w:trHeight w:val="15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Accumulated other comprehensive income (loss)</w:t>
            </w:r>
          </w:p>
        </w:tc>
        <w:tc>
          <w:tcPr>
            <w:tcW w:w="580" w:type="dxa"/>
            <w:vAlign w:val="bottom"/>
            <w:shd w:val="clear" w:color="auto" w:fill="CCEEFF"/>
          </w:tcPr>
          <w:p>
            <w:pPr>
              <w:jc w:val="center"/>
              <w:ind w:right="198"/>
              <w:spacing w:after="0" w:line="155" w:lineRule="exact"/>
              <w:rPr>
                <w:sz w:val="20"/>
                <w:szCs w:val="20"/>
                <w:color w:val="auto"/>
              </w:rPr>
            </w:pPr>
            <w:r>
              <w:rPr>
                <w:rFonts w:ascii="Calibri" w:cs="Calibri" w:eastAsia="Calibri" w:hAnsi="Calibri"/>
                <w:sz w:val="13"/>
                <w:szCs w:val="13"/>
                <w:color w:val="auto"/>
                <w:w w:val="90"/>
              </w:rPr>
              <w:t>19</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1,950</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(5,886)</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(924)</w:t>
            </w:r>
          </w:p>
        </w:tc>
        <w:tc>
          <w:tcPr>
            <w:tcW w:w="0" w:type="dxa"/>
            <w:vAlign w:val="bottom"/>
          </w:tcPr>
          <w:p>
            <w:pPr>
              <w:spacing w:after="0"/>
              <w:rPr>
                <w:sz w:val="1"/>
                <w:szCs w:val="1"/>
                <w:color w:val="auto"/>
              </w:rPr>
            </w:pPr>
          </w:p>
        </w:tc>
      </w:tr>
      <w:tr>
        <w:trPr>
          <w:trHeight w:val="155"/>
        </w:trPr>
        <w:tc>
          <w:tcPr>
            <w:tcW w:w="5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EHang Holdings Limited shareholders’ equity</w:t>
            </w:r>
          </w:p>
        </w:tc>
        <w:tc>
          <w:tcPr>
            <w:tcW w:w="580" w:type="dxa"/>
            <w:vAlign w:val="bottom"/>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276,318</w:t>
            </w:r>
          </w:p>
        </w:tc>
        <w:tc>
          <w:tcPr>
            <w:tcW w:w="160" w:type="dxa"/>
            <w:vAlign w:val="bottom"/>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332,601</w:t>
            </w:r>
          </w:p>
        </w:tc>
        <w:tc>
          <w:tcPr>
            <w:tcW w:w="16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52,193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Non-controlling interests</w:t>
            </w:r>
          </w:p>
        </w:tc>
        <w:tc>
          <w:tcPr>
            <w:tcW w:w="58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1,382</w:t>
            </w:r>
          </w:p>
        </w:tc>
        <w:tc>
          <w:tcPr>
            <w:tcW w:w="16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1,445</w:t>
            </w:r>
          </w:p>
        </w:tc>
        <w:tc>
          <w:tcPr>
            <w:tcW w:w="16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shareholders’ equity</w:t>
            </w:r>
          </w:p>
        </w:tc>
        <w:tc>
          <w:tcPr>
            <w:tcW w:w="580" w:type="dxa"/>
            <w:vAlign w:val="bottom"/>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277,700</w:t>
            </w:r>
          </w:p>
        </w:tc>
        <w:tc>
          <w:tcPr>
            <w:tcW w:w="160" w:type="dxa"/>
            <w:vAlign w:val="bottom"/>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334,046</w:t>
            </w:r>
          </w:p>
        </w:tc>
        <w:tc>
          <w:tcPr>
            <w:tcW w:w="160" w:type="dxa"/>
            <w:vAlign w:val="bottom"/>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52,420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liabilities and shareholders’ equity</w:t>
            </w:r>
          </w:p>
        </w:tc>
        <w:tc>
          <w:tcPr>
            <w:tcW w:w="58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484,549</w:t>
            </w:r>
          </w:p>
        </w:tc>
        <w:tc>
          <w:tcPr>
            <w:tcW w:w="16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535,434</w:t>
            </w:r>
          </w:p>
        </w:tc>
        <w:tc>
          <w:tcPr>
            <w:tcW w:w="16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84,021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p>
    <w:p>
      <w:pPr>
        <w:spacing w:after="0" w:line="11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F- 6</w:t>
      </w:r>
    </w:p>
    <w:p>
      <w:pPr>
        <w:sectPr>
          <w:pgSz w:w="11900" w:h="16838" w:orient="portrait"/>
          <w:cols w:equalWidth="0" w:num="1">
            <w:col w:w="10159"/>
          </w:cols>
          <w:pgMar w:left="300" w:top="388" w:right="1440"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2">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left="1960" w:right="1200"/>
        <w:spacing w:after="0" w:line="265" w:lineRule="auto"/>
        <w:rPr>
          <w:sz w:val="20"/>
          <w:szCs w:val="20"/>
          <w:color w:val="auto"/>
        </w:rPr>
      </w:pPr>
      <w:r>
        <w:rPr>
          <w:rFonts w:ascii="Times New Roman" w:cs="Times New Roman" w:eastAsia="Times New Roman" w:hAnsi="Times New Roman"/>
          <w:sz w:val="13"/>
          <w:szCs w:val="13"/>
          <w:b w:val="1"/>
          <w:bCs w:val="1"/>
          <w:color w:val="auto"/>
        </w:rPr>
        <w:t>EHANG HOLDINGS LIMITED CONSOLIDATED STATEMENTS OF COMPREHENSIVE LOSS (Amounts in thousands of Renminbi (“RMB”) and U.S. dollars (“US$”), except for per share data and per ADS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15875</wp:posOffset>
            </wp:positionV>
            <wp:extent cx="5039995" cy="6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3">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203" w:lineRule="exact"/>
        <w:rPr>
          <w:sz w:val="20"/>
          <w:szCs w:val="20"/>
          <w:color w:val="auto"/>
        </w:rPr>
      </w:pPr>
    </w:p>
    <w:tbl>
      <w:tblPr>
        <w:tblLayout w:type="fixed"/>
        <w:tblInd w:w="1680" w:type="dxa"/>
        <w:tblCellMar>
          <w:top w:w="0" w:type="dxa"/>
          <w:left w:w="0" w:type="dxa"/>
          <w:bottom w:w="0" w:type="dxa"/>
          <w:right w:w="0" w:type="dxa"/>
        </w:tblCellMar>
      </w:tblPr>
      <w:tr>
        <w:trPr>
          <w:trHeight w:val="124"/>
        </w:trPr>
        <w:tc>
          <w:tcPr>
            <w:tcW w:w="4580" w:type="dxa"/>
            <w:vAlign w:val="bottom"/>
          </w:tcPr>
          <w:p>
            <w:pPr>
              <w:spacing w:after="0"/>
              <w:rPr>
                <w:sz w:val="10"/>
                <w:szCs w:val="10"/>
                <w:color w:val="auto"/>
              </w:rPr>
            </w:pPr>
          </w:p>
        </w:tc>
        <w:tc>
          <w:tcPr>
            <w:tcW w:w="840" w:type="dxa"/>
            <w:vAlign w:val="bottom"/>
            <w:vMerge w:val="restart"/>
          </w:tcPr>
          <w:p>
            <w:pPr>
              <w:jc w:val="right"/>
              <w:ind w:right="58"/>
              <w:spacing w:after="0"/>
              <w:rPr>
                <w:sz w:val="20"/>
                <w:szCs w:val="20"/>
                <w:color w:val="auto"/>
              </w:rPr>
            </w:pPr>
            <w:r>
              <w:rPr>
                <w:rFonts w:ascii="Times New Roman" w:cs="Times New Roman" w:eastAsia="Times New Roman" w:hAnsi="Times New Roman"/>
                <w:sz w:val="10"/>
                <w:szCs w:val="10"/>
                <w:b w:val="1"/>
                <w:bCs w:val="1"/>
                <w:color w:val="auto"/>
              </w:rPr>
              <w:t>Note</w:t>
            </w:r>
          </w:p>
        </w:tc>
        <w:tc>
          <w:tcPr>
            <w:tcW w:w="2000" w:type="dxa"/>
            <w:vAlign w:val="bottom"/>
            <w:tcBorders>
              <w:bottom w:val="single" w:sz="8" w:color="auto"/>
            </w:tcBorders>
            <w:gridSpan w:val="6"/>
          </w:tcPr>
          <w:p>
            <w:pPr>
              <w:jc w:val="right"/>
              <w:ind w:right="2"/>
              <w:spacing w:after="0"/>
              <w:rPr>
                <w:sz w:val="20"/>
                <w:szCs w:val="20"/>
                <w:color w:val="auto"/>
              </w:rPr>
            </w:pPr>
            <w:r>
              <w:rPr>
                <w:rFonts w:ascii="Times New Roman" w:cs="Times New Roman" w:eastAsia="Times New Roman" w:hAnsi="Times New Roman"/>
                <w:sz w:val="10"/>
                <w:szCs w:val="10"/>
                <w:b w:val="1"/>
                <w:bCs w:val="1"/>
                <w:color w:val="auto"/>
              </w:rPr>
              <w:t>For the year ended December 31,</w:t>
            </w:r>
          </w:p>
        </w:tc>
        <w:tc>
          <w:tcPr>
            <w:tcW w:w="4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45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520" w:type="dxa"/>
            <w:vAlign w:val="bottom"/>
            <w:tcBorders>
              <w:bottom w:val="single" w:sz="8" w:color="auto"/>
            </w:tcBorders>
          </w:tcPr>
          <w:p>
            <w:pPr>
              <w:jc w:val="right"/>
              <w:ind w:right="97"/>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40" w:type="dxa"/>
            <w:vAlign w:val="bottom"/>
          </w:tcPr>
          <w:p>
            <w:pPr>
              <w:spacing w:after="0"/>
              <w:rPr>
                <w:sz w:val="8"/>
                <w:szCs w:val="8"/>
                <w:color w:val="auto"/>
              </w:rPr>
            </w:pPr>
          </w:p>
        </w:tc>
        <w:tc>
          <w:tcPr>
            <w:tcW w:w="520" w:type="dxa"/>
            <w:vAlign w:val="bottom"/>
            <w:tcBorders>
              <w:bottom w:val="single" w:sz="8" w:color="auto"/>
            </w:tcBorders>
          </w:tcPr>
          <w:p>
            <w:pPr>
              <w:jc w:val="right"/>
              <w:ind w:right="96"/>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160" w:type="dxa"/>
            <w:vAlign w:val="bottom"/>
          </w:tcPr>
          <w:p>
            <w:pPr>
              <w:spacing w:after="0"/>
              <w:rPr>
                <w:sz w:val="8"/>
                <w:szCs w:val="8"/>
                <w:color w:val="auto"/>
              </w:rPr>
            </w:pPr>
          </w:p>
        </w:tc>
        <w:tc>
          <w:tcPr>
            <w:tcW w:w="660" w:type="dxa"/>
            <w:vAlign w:val="bottom"/>
            <w:tcBorders>
              <w:bottom w:val="single" w:sz="8" w:color="auto"/>
            </w:tcBorders>
            <w:gridSpan w:val="2"/>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4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4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20" w:type="dxa"/>
            <w:vAlign w:val="bottom"/>
          </w:tcPr>
          <w:p>
            <w:pPr>
              <w:jc w:val="right"/>
              <w:ind w:right="77"/>
              <w:spacing w:after="0" w:line="80" w:lineRule="exact"/>
              <w:rPr>
                <w:sz w:val="20"/>
                <w:szCs w:val="20"/>
                <w:color w:val="auto"/>
              </w:rPr>
            </w:pPr>
            <w:r>
              <w:rPr>
                <w:rFonts w:ascii="Times New Roman" w:cs="Times New Roman" w:eastAsia="Times New Roman" w:hAnsi="Times New Roman"/>
                <w:sz w:val="9"/>
                <w:szCs w:val="9"/>
                <w:b w:val="1"/>
                <w:bCs w:val="1"/>
                <w:color w:val="auto"/>
              </w:rPr>
              <w:t>RMB</w:t>
            </w:r>
          </w:p>
        </w:tc>
        <w:tc>
          <w:tcPr>
            <w:tcW w:w="140" w:type="dxa"/>
            <w:vAlign w:val="bottom"/>
          </w:tcPr>
          <w:p>
            <w:pPr>
              <w:spacing w:after="0"/>
              <w:rPr>
                <w:sz w:val="6"/>
                <w:szCs w:val="6"/>
                <w:color w:val="auto"/>
              </w:rPr>
            </w:pPr>
          </w:p>
        </w:tc>
        <w:tc>
          <w:tcPr>
            <w:tcW w:w="520" w:type="dxa"/>
            <w:vAlign w:val="bottom"/>
          </w:tcPr>
          <w:p>
            <w:pPr>
              <w:jc w:val="right"/>
              <w:ind w:right="76"/>
              <w:spacing w:after="0" w:line="80" w:lineRule="exact"/>
              <w:rPr>
                <w:sz w:val="20"/>
                <w:szCs w:val="20"/>
                <w:color w:val="auto"/>
              </w:rPr>
            </w:pPr>
            <w:r>
              <w:rPr>
                <w:rFonts w:ascii="Times New Roman" w:cs="Times New Roman" w:eastAsia="Times New Roman" w:hAnsi="Times New Roman"/>
                <w:sz w:val="9"/>
                <w:szCs w:val="9"/>
                <w:b w:val="1"/>
                <w:bCs w:val="1"/>
                <w:color w:val="auto"/>
              </w:rPr>
              <w:t>RMB</w:t>
            </w:r>
          </w:p>
        </w:tc>
        <w:tc>
          <w:tcPr>
            <w:tcW w:w="160" w:type="dxa"/>
            <w:vAlign w:val="bottom"/>
          </w:tcPr>
          <w:p>
            <w:pPr>
              <w:spacing w:after="0"/>
              <w:rPr>
                <w:sz w:val="6"/>
                <w:szCs w:val="6"/>
                <w:color w:val="auto"/>
              </w:rPr>
            </w:pPr>
          </w:p>
        </w:tc>
        <w:tc>
          <w:tcPr>
            <w:tcW w:w="660" w:type="dxa"/>
            <w:vAlign w:val="bottom"/>
            <w:gridSpan w:val="2"/>
          </w:tcPr>
          <w:p>
            <w:pPr>
              <w:jc w:val="right"/>
              <w:ind w:right="262"/>
              <w:spacing w:after="0" w:line="80" w:lineRule="exact"/>
              <w:rPr>
                <w:sz w:val="20"/>
                <w:szCs w:val="20"/>
                <w:color w:val="auto"/>
              </w:rPr>
            </w:pPr>
            <w:r>
              <w:rPr>
                <w:rFonts w:ascii="Times New Roman" w:cs="Times New Roman" w:eastAsia="Times New Roman" w:hAnsi="Times New Roman"/>
                <w:sz w:val="9"/>
                <w:szCs w:val="9"/>
                <w:b w:val="1"/>
                <w:bCs w:val="1"/>
                <w:color w:val="auto"/>
              </w:rPr>
              <w:t>RMB</w:t>
            </w:r>
          </w:p>
        </w:tc>
        <w:tc>
          <w:tcPr>
            <w:tcW w:w="440" w:type="dxa"/>
            <w:vAlign w:val="bottom"/>
          </w:tcPr>
          <w:p>
            <w:pPr>
              <w:jc w:val="right"/>
              <w:ind w:right="76"/>
              <w:spacing w:after="0" w:line="80" w:lineRule="exact"/>
              <w:rPr>
                <w:sz w:val="20"/>
                <w:szCs w:val="20"/>
                <w:color w:val="auto"/>
              </w:rPr>
            </w:pPr>
            <w:r>
              <w:rPr>
                <w:rFonts w:ascii="Times New Roman" w:cs="Times New Roman" w:eastAsia="Times New Roman" w:hAnsi="Times New Roman"/>
                <w:sz w:val="9"/>
                <w:szCs w:val="9"/>
                <w:b w:val="1"/>
                <w:bCs w:val="1"/>
                <w:color w:val="auto"/>
              </w:rPr>
              <w:t>US$</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4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gridSpan w:val="2"/>
          </w:tcPr>
          <w:p>
            <w:pPr>
              <w:jc w:val="right"/>
              <w:ind w:right="62"/>
              <w:spacing w:after="0"/>
              <w:rPr>
                <w:sz w:val="20"/>
                <w:szCs w:val="20"/>
                <w:color w:val="auto"/>
              </w:rPr>
            </w:pPr>
            <w:r>
              <w:rPr>
                <w:rFonts w:ascii="Times New Roman" w:cs="Times New Roman" w:eastAsia="Times New Roman" w:hAnsi="Times New Roman"/>
                <w:sz w:val="10"/>
                <w:szCs w:val="10"/>
                <w:b w:val="1"/>
                <w:bCs w:val="1"/>
                <w:color w:val="auto"/>
              </w:rPr>
              <w:t>Note 2(e)</w:t>
            </w:r>
          </w:p>
        </w:tc>
        <w:tc>
          <w:tcPr>
            <w:tcW w:w="0" w:type="dxa"/>
            <w:vAlign w:val="bottom"/>
          </w:tcPr>
          <w:p>
            <w:pPr>
              <w:spacing w:after="0"/>
              <w:rPr>
                <w:sz w:val="1"/>
                <w:szCs w:val="1"/>
                <w:color w:val="auto"/>
              </w:rPr>
            </w:pPr>
          </w:p>
        </w:tc>
      </w:tr>
      <w:tr>
        <w:trPr>
          <w:trHeight w:val="15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8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Products</w:t>
            </w:r>
          </w:p>
        </w:tc>
        <w:tc>
          <w:tcPr>
            <w:tcW w:w="84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14</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90,843</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176,060</w:t>
            </w:r>
          </w:p>
        </w:tc>
        <w:tc>
          <w:tcPr>
            <w:tcW w:w="1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54,923</w:t>
            </w: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8,619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Services</w:t>
            </w:r>
          </w:p>
        </w:tc>
        <w:tc>
          <w:tcPr>
            <w:tcW w:w="8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rPr>
              <w:t>14</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30,971</w:t>
            </w:r>
          </w:p>
        </w:tc>
        <w:tc>
          <w:tcPr>
            <w:tcW w:w="14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4,033</w:t>
            </w:r>
          </w:p>
        </w:tc>
        <w:tc>
          <w:tcPr>
            <w:tcW w:w="16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1,884</w:t>
            </w:r>
          </w:p>
        </w:tc>
        <w:tc>
          <w:tcPr>
            <w:tcW w:w="16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revenues</w:t>
            </w:r>
          </w:p>
        </w:tc>
        <w:tc>
          <w:tcPr>
            <w:tcW w:w="840" w:type="dxa"/>
            <w:vAlign w:val="bottom"/>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121,814</w:t>
            </w:r>
          </w:p>
        </w:tc>
        <w:tc>
          <w:tcPr>
            <w:tcW w:w="140" w:type="dxa"/>
            <w:vAlign w:val="bottom"/>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180,093</w:t>
            </w:r>
          </w:p>
        </w:tc>
        <w:tc>
          <w:tcPr>
            <w:tcW w:w="160" w:type="dxa"/>
            <w:vAlign w:val="bottom"/>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56,807</w:t>
            </w:r>
          </w:p>
        </w:tc>
        <w:tc>
          <w:tcPr>
            <w:tcW w:w="160" w:type="dxa"/>
            <w:vAlign w:val="bottom"/>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8,914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Cost of revenues:</w:t>
            </w:r>
          </w:p>
        </w:tc>
        <w:tc>
          <w:tcPr>
            <w:tcW w:w="8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Products</w:t>
            </w:r>
          </w:p>
        </w:tc>
        <w:tc>
          <w:tcPr>
            <w:tcW w:w="84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(38,847)</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(72,082)</w:t>
            </w:r>
          </w:p>
        </w:tc>
        <w:tc>
          <w:tcPr>
            <w:tcW w:w="66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color w:val="auto"/>
              </w:rPr>
              <w:t>(19,991)</w:t>
            </w:r>
          </w:p>
        </w:tc>
        <w:tc>
          <w:tcPr>
            <w:tcW w:w="52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rPr>
              <w:t>(3,137)</w:t>
            </w:r>
          </w:p>
        </w:tc>
        <w:tc>
          <w:tcPr>
            <w:tcW w:w="0" w:type="dxa"/>
            <w:vAlign w:val="bottom"/>
          </w:tcPr>
          <w:p>
            <w:pPr>
              <w:spacing w:after="0"/>
              <w:rPr>
                <w:sz w:val="1"/>
                <w:szCs w:val="1"/>
                <w:color w:val="auto"/>
              </w:rPr>
            </w:pPr>
          </w:p>
        </w:tc>
      </w:tr>
      <w:tr>
        <w:trPr>
          <w:trHeight w:val="156"/>
        </w:trPr>
        <w:tc>
          <w:tcPr>
            <w:tcW w:w="4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Services</w:t>
            </w:r>
          </w:p>
        </w:tc>
        <w:tc>
          <w:tcPr>
            <w:tcW w:w="8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(11,749)</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(1,832)</w:t>
            </w:r>
          </w:p>
        </w:tc>
        <w:tc>
          <w:tcPr>
            <w:tcW w:w="6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3"/>
                <w:szCs w:val="13"/>
                <w:color w:val="auto"/>
              </w:rPr>
              <w:t>(786)</w:t>
            </w:r>
          </w:p>
        </w:tc>
        <w:tc>
          <w:tcPr>
            <w:tcW w:w="5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(123)</w:t>
            </w:r>
          </w:p>
        </w:tc>
        <w:tc>
          <w:tcPr>
            <w:tcW w:w="0" w:type="dxa"/>
            <w:vAlign w:val="bottom"/>
          </w:tcPr>
          <w:p>
            <w:pPr>
              <w:spacing w:after="0"/>
              <w:rPr>
                <w:sz w:val="1"/>
                <w:szCs w:val="1"/>
                <w:color w:val="auto"/>
              </w:rPr>
            </w:pPr>
          </w:p>
        </w:tc>
      </w:tr>
      <w:tr>
        <w:trPr>
          <w:trHeight w:val="155"/>
        </w:trPr>
        <w:tc>
          <w:tcPr>
            <w:tcW w:w="4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cost of revenues</w:t>
            </w:r>
          </w:p>
        </w:tc>
        <w:tc>
          <w:tcPr>
            <w:tcW w:w="84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(50,596)</w:t>
            </w:r>
          </w:p>
        </w:tc>
        <w:tc>
          <w:tcPr>
            <w:tcW w:w="14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(73,914)</w:t>
            </w:r>
          </w:p>
        </w:tc>
        <w:tc>
          <w:tcPr>
            <w:tcW w:w="16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(20,777)</w:t>
            </w:r>
          </w:p>
        </w:tc>
        <w:tc>
          <w:tcPr>
            <w:tcW w:w="16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(3,260)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8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71,218</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106,179</w:t>
            </w: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36,030</w:t>
            </w: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5,654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Sales and marketing expenses</w:t>
            </w:r>
          </w:p>
        </w:tc>
        <w:tc>
          <w:tcPr>
            <w:tcW w:w="8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(26,855)</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(37,186)</w:t>
            </w:r>
          </w:p>
        </w:tc>
        <w:tc>
          <w:tcPr>
            <w:tcW w:w="6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3"/>
                <w:szCs w:val="13"/>
                <w:color w:val="auto"/>
              </w:rPr>
              <w:t>(43,229)</w:t>
            </w:r>
          </w:p>
        </w:tc>
        <w:tc>
          <w:tcPr>
            <w:tcW w:w="5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(6,784)</w:t>
            </w:r>
          </w:p>
        </w:tc>
        <w:tc>
          <w:tcPr>
            <w:tcW w:w="0" w:type="dxa"/>
            <w:vAlign w:val="bottom"/>
          </w:tcPr>
          <w:p>
            <w:pPr>
              <w:spacing w:after="0"/>
              <w:rPr>
                <w:sz w:val="1"/>
                <w:szCs w:val="1"/>
                <w:color w:val="auto"/>
              </w:rPr>
            </w:pPr>
          </w:p>
        </w:tc>
      </w:tr>
      <w:tr>
        <w:trPr>
          <w:trHeight w:val="156"/>
        </w:trPr>
        <w:tc>
          <w:tcPr>
            <w:tcW w:w="4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84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(36,948)</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(61,613)</w:t>
            </w:r>
          </w:p>
        </w:tc>
        <w:tc>
          <w:tcPr>
            <w:tcW w:w="66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color w:val="auto"/>
              </w:rPr>
              <w:t>(187,388)</w:t>
            </w:r>
          </w:p>
        </w:tc>
        <w:tc>
          <w:tcPr>
            <w:tcW w:w="52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rPr>
              <w:t>(29,405)</w:t>
            </w:r>
          </w:p>
        </w:tc>
        <w:tc>
          <w:tcPr>
            <w:tcW w:w="0" w:type="dxa"/>
            <w:vAlign w:val="bottom"/>
          </w:tcPr>
          <w:p>
            <w:pPr>
              <w:spacing w:after="0"/>
              <w:rPr>
                <w:sz w:val="1"/>
                <w:szCs w:val="1"/>
                <w:color w:val="auto"/>
              </w:rPr>
            </w:pPr>
          </w:p>
        </w:tc>
      </w:tr>
      <w:tr>
        <w:trPr>
          <w:trHeight w:val="156"/>
        </w:trPr>
        <w:tc>
          <w:tcPr>
            <w:tcW w:w="4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Research and development expenses</w:t>
            </w:r>
          </w:p>
        </w:tc>
        <w:tc>
          <w:tcPr>
            <w:tcW w:w="8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(57,167)</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(105,252)</w:t>
            </w:r>
          </w:p>
        </w:tc>
        <w:tc>
          <w:tcPr>
            <w:tcW w:w="6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3"/>
                <w:szCs w:val="13"/>
                <w:color w:val="auto"/>
              </w:rPr>
              <w:t>(137,148)</w:t>
            </w:r>
          </w:p>
        </w:tc>
        <w:tc>
          <w:tcPr>
            <w:tcW w:w="5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(21,522)</w:t>
            </w:r>
          </w:p>
        </w:tc>
        <w:tc>
          <w:tcPr>
            <w:tcW w:w="0" w:type="dxa"/>
            <w:vAlign w:val="bottom"/>
          </w:tcPr>
          <w:p>
            <w:pPr>
              <w:spacing w:after="0"/>
              <w:rPr>
                <w:sz w:val="1"/>
                <w:szCs w:val="1"/>
                <w:color w:val="auto"/>
              </w:rPr>
            </w:pPr>
          </w:p>
        </w:tc>
      </w:tr>
      <w:tr>
        <w:trPr>
          <w:trHeight w:val="155"/>
        </w:trPr>
        <w:tc>
          <w:tcPr>
            <w:tcW w:w="4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840" w:type="dxa"/>
            <w:vAlign w:val="bottom"/>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(120,970)</w:t>
            </w:r>
          </w:p>
        </w:tc>
        <w:tc>
          <w:tcPr>
            <w:tcW w:w="140" w:type="dxa"/>
            <w:vAlign w:val="bottom"/>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(204,051)</w:t>
            </w:r>
          </w:p>
        </w:tc>
        <w:tc>
          <w:tcPr>
            <w:tcW w:w="16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(367,765)</w:t>
            </w:r>
          </w:p>
        </w:tc>
        <w:tc>
          <w:tcPr>
            <w:tcW w:w="160" w:type="dxa"/>
            <w:vAlign w:val="bottom"/>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(57,711)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operating income</w:t>
            </w:r>
          </w:p>
        </w:tc>
        <w:tc>
          <w:tcPr>
            <w:tcW w:w="84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3,407</w:t>
            </w:r>
          </w:p>
        </w:tc>
        <w:tc>
          <w:tcPr>
            <w:tcW w:w="14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6,576</w:t>
            </w:r>
          </w:p>
        </w:tc>
        <w:tc>
          <w:tcPr>
            <w:tcW w:w="16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11,199</w:t>
            </w:r>
          </w:p>
        </w:tc>
        <w:tc>
          <w:tcPr>
            <w:tcW w:w="16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Operating loss</w:t>
            </w: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(46,345)</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(91,296)</w:t>
            </w:r>
          </w:p>
        </w:tc>
        <w:tc>
          <w:tcPr>
            <w:tcW w:w="1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(320,536)</w:t>
            </w: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(50,300)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Other income (expense)</w:t>
            </w:r>
          </w:p>
        </w:tc>
        <w:tc>
          <w:tcPr>
            <w:tcW w:w="8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Interest and investment income</w:t>
            </w: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883</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3,795</w:t>
            </w:r>
          </w:p>
        </w:tc>
        <w:tc>
          <w:tcPr>
            <w:tcW w:w="1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5,143</w:t>
            </w: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Interest expenses</w:t>
            </w:r>
          </w:p>
        </w:tc>
        <w:tc>
          <w:tcPr>
            <w:tcW w:w="8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(837)</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(2,337)</w:t>
            </w:r>
          </w:p>
        </w:tc>
        <w:tc>
          <w:tcPr>
            <w:tcW w:w="6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3"/>
                <w:szCs w:val="13"/>
                <w:color w:val="auto"/>
              </w:rPr>
              <w:t>(1,803)</w:t>
            </w:r>
          </w:p>
        </w:tc>
        <w:tc>
          <w:tcPr>
            <w:tcW w:w="5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(283)</w:t>
            </w:r>
          </w:p>
        </w:tc>
        <w:tc>
          <w:tcPr>
            <w:tcW w:w="0" w:type="dxa"/>
            <w:vAlign w:val="bottom"/>
          </w:tcPr>
          <w:p>
            <w:pPr>
              <w:spacing w:after="0"/>
              <w:rPr>
                <w:sz w:val="1"/>
                <w:szCs w:val="1"/>
                <w:color w:val="auto"/>
              </w:rPr>
            </w:pPr>
          </w:p>
        </w:tc>
      </w:tr>
      <w:tr>
        <w:trPr>
          <w:trHeight w:val="156"/>
        </w:trPr>
        <w:tc>
          <w:tcPr>
            <w:tcW w:w="4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Foreign exchange gain (loss)</w:t>
            </w: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4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(333)</w:t>
            </w:r>
          </w:p>
        </w:tc>
        <w:tc>
          <w:tcPr>
            <w:tcW w:w="66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color w:val="auto"/>
              </w:rPr>
              <w:t>(827)</w:t>
            </w:r>
          </w:p>
        </w:tc>
        <w:tc>
          <w:tcPr>
            <w:tcW w:w="52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rPr>
              <w:t>(130)</w:t>
            </w:r>
          </w:p>
        </w:tc>
        <w:tc>
          <w:tcPr>
            <w:tcW w:w="0" w:type="dxa"/>
            <w:vAlign w:val="bottom"/>
          </w:tcPr>
          <w:p>
            <w:pPr>
              <w:spacing w:after="0"/>
              <w:rPr>
                <w:sz w:val="1"/>
                <w:szCs w:val="1"/>
                <w:color w:val="auto"/>
              </w:rPr>
            </w:pPr>
          </w:p>
        </w:tc>
      </w:tr>
      <w:tr>
        <w:trPr>
          <w:trHeight w:val="156"/>
        </w:trPr>
        <w:tc>
          <w:tcPr>
            <w:tcW w:w="4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income</w:t>
            </w:r>
          </w:p>
        </w:tc>
        <w:tc>
          <w:tcPr>
            <w:tcW w:w="8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1,227</w:t>
            </w: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6,086</w:t>
            </w: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expenses</w:t>
            </w:r>
          </w:p>
        </w:tc>
        <w:tc>
          <w:tcPr>
            <w:tcW w:w="84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(1,416)</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(3,127)</w:t>
            </w:r>
          </w:p>
        </w:tc>
        <w:tc>
          <w:tcPr>
            <w:tcW w:w="66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color w:val="auto"/>
              </w:rPr>
              <w:t>(1,549)</w:t>
            </w:r>
          </w:p>
        </w:tc>
        <w:tc>
          <w:tcPr>
            <w:tcW w:w="52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rPr>
              <w:t>(243)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other (expense) income</w:t>
            </w:r>
          </w:p>
        </w:tc>
        <w:tc>
          <w:tcPr>
            <w:tcW w:w="8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(821)</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(775)</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7,050</w:t>
            </w: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1,106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Loss before income tax and (loss) income from equity method investment</w:t>
            </w:r>
          </w:p>
        </w:tc>
        <w:tc>
          <w:tcPr>
            <w:tcW w:w="84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(47,166)</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(92,071)</w:t>
            </w:r>
          </w:p>
        </w:tc>
        <w:tc>
          <w:tcPr>
            <w:tcW w:w="66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(313,486)</w:t>
            </w:r>
          </w:p>
        </w:tc>
        <w:tc>
          <w:tcPr>
            <w:tcW w:w="52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b w:val="1"/>
                <w:bCs w:val="1"/>
                <w:color w:val="auto"/>
              </w:rPr>
              <w:t>(49,194)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 expenses</w:t>
            </w:r>
          </w:p>
        </w:tc>
        <w:tc>
          <w:tcPr>
            <w:tcW w:w="8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rPr>
              <w:t>16</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(754)</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(206)</w:t>
            </w:r>
          </w:p>
        </w:tc>
        <w:tc>
          <w:tcPr>
            <w:tcW w:w="6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3"/>
                <w:szCs w:val="13"/>
                <w:color w:val="auto"/>
              </w:rPr>
              <w:t>(134)</w:t>
            </w:r>
          </w:p>
        </w:tc>
        <w:tc>
          <w:tcPr>
            <w:tcW w:w="5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55"/>
        </w:trPr>
        <w:tc>
          <w:tcPr>
            <w:tcW w:w="4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Loss before (loss) income from equity method investment</w:t>
            </w:r>
          </w:p>
        </w:tc>
        <w:tc>
          <w:tcPr>
            <w:tcW w:w="840" w:type="dxa"/>
            <w:vAlign w:val="bottom"/>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(47,920)</w:t>
            </w:r>
          </w:p>
        </w:tc>
        <w:tc>
          <w:tcPr>
            <w:tcW w:w="140" w:type="dxa"/>
            <w:vAlign w:val="bottom"/>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(92,277)</w:t>
            </w:r>
          </w:p>
        </w:tc>
        <w:tc>
          <w:tcPr>
            <w:tcW w:w="16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(313,620)</w:t>
            </w:r>
          </w:p>
        </w:tc>
        <w:tc>
          <w:tcPr>
            <w:tcW w:w="160" w:type="dxa"/>
            <w:vAlign w:val="bottom"/>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(49,215)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(Loss) income from equity method investment</w:t>
            </w:r>
          </w:p>
        </w:tc>
        <w:tc>
          <w:tcPr>
            <w:tcW w:w="8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3"/>
                <w:szCs w:val="13"/>
                <w:color w:val="auto"/>
              </w:rPr>
              <w:t>(276)</w:t>
            </w:r>
          </w:p>
        </w:tc>
        <w:tc>
          <w:tcPr>
            <w:tcW w:w="5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55"/>
        </w:trPr>
        <w:tc>
          <w:tcPr>
            <w:tcW w:w="4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84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(47,994)</w:t>
            </w:r>
          </w:p>
        </w:tc>
        <w:tc>
          <w:tcPr>
            <w:tcW w:w="14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(92,041)</w:t>
            </w:r>
          </w:p>
        </w:tc>
        <w:tc>
          <w:tcPr>
            <w:tcW w:w="16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(313,896</w:t>
            </w:r>
          </w:p>
        </w:tc>
        <w:tc>
          <w:tcPr>
            <w:tcW w:w="160" w:type="dxa"/>
            <w:vAlign w:val="bottom"/>
          </w:tcPr>
          <w:p>
            <w:pPr>
              <w:jc w:val="right"/>
              <w:ind w:right="8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(49,258</w:t>
            </w:r>
          </w:p>
        </w:tc>
        <w:tc>
          <w:tcPr>
            <w:tcW w:w="80" w:type="dxa"/>
            <w:vAlign w:val="bottom"/>
          </w:tcPr>
          <w:p>
            <w:pPr>
              <w:jc w:val="right"/>
              <w:ind w:right="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61"/>
        </w:trPr>
        <w:tc>
          <w:tcPr>
            <w:tcW w:w="4580" w:type="dxa"/>
            <w:vAlign w:val="bottom"/>
          </w:tcPr>
          <w:p>
            <w:pPr>
              <w:ind w:left="3860"/>
              <w:spacing w:after="0"/>
              <w:rPr>
                <w:sz w:val="20"/>
                <w:szCs w:val="20"/>
                <w:color w:val="auto"/>
              </w:rPr>
            </w:pPr>
            <w:r>
              <w:rPr>
                <w:rFonts w:ascii="Times New Roman" w:cs="Times New Roman" w:eastAsia="Times New Roman" w:hAnsi="Times New Roman"/>
                <w:sz w:val="13"/>
                <w:szCs w:val="13"/>
                <w:color w:val="auto"/>
              </w:rPr>
              <w:t>F- 7</w:t>
            </w: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8" w:right="1440"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4">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CONSOLIDATED STATEMENTS OF COMPREHENSIVE LOSS (CONTINUED)</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except for per share data and per ADS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5">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5" w:lineRule="exact"/>
        <w:rPr>
          <w:sz w:val="20"/>
          <w:szCs w:val="20"/>
          <w:color w:val="auto"/>
        </w:rPr>
      </w:pPr>
    </w:p>
    <w:tbl>
      <w:tblPr>
        <w:tblLayout w:type="fixed"/>
        <w:tblInd w:w="1680" w:type="dxa"/>
        <w:tblCellMar>
          <w:top w:w="0" w:type="dxa"/>
          <w:left w:w="0" w:type="dxa"/>
          <w:bottom w:w="0" w:type="dxa"/>
          <w:right w:w="0" w:type="dxa"/>
        </w:tblCellMar>
      </w:tblPr>
      <w:tr>
        <w:trPr>
          <w:trHeight w:val="124"/>
        </w:trPr>
        <w:tc>
          <w:tcPr>
            <w:tcW w:w="4800" w:type="dxa"/>
            <w:vAlign w:val="bottom"/>
          </w:tcPr>
          <w:p>
            <w:pPr>
              <w:spacing w:after="0"/>
              <w:rPr>
                <w:sz w:val="10"/>
                <w:szCs w:val="10"/>
                <w:color w:val="auto"/>
              </w:rPr>
            </w:pPr>
          </w:p>
        </w:tc>
        <w:tc>
          <w:tcPr>
            <w:tcW w:w="680" w:type="dxa"/>
            <w:vAlign w:val="bottom"/>
            <w:vMerge w:val="restart"/>
          </w:tcPr>
          <w:p>
            <w:pPr>
              <w:jc w:val="center"/>
              <w:ind w:left="237"/>
              <w:spacing w:after="0"/>
              <w:rPr>
                <w:sz w:val="20"/>
                <w:szCs w:val="20"/>
                <w:color w:val="auto"/>
              </w:rPr>
            </w:pPr>
            <w:r>
              <w:rPr>
                <w:rFonts w:ascii="Times New Roman" w:cs="Times New Roman" w:eastAsia="Times New Roman" w:hAnsi="Times New Roman"/>
                <w:sz w:val="10"/>
                <w:szCs w:val="10"/>
                <w:b w:val="1"/>
                <w:bCs w:val="1"/>
                <w:color w:val="auto"/>
              </w:rPr>
              <w:t>Note</w:t>
            </w:r>
          </w:p>
        </w:tc>
        <w:tc>
          <w:tcPr>
            <w:tcW w:w="4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0"/>
                <w:szCs w:val="10"/>
                <w:b w:val="1"/>
                <w:bCs w:val="1"/>
                <w:color w:val="auto"/>
              </w:rPr>
              <w:t>For the year ended December 31,</w:t>
            </w:r>
          </w:p>
        </w:tc>
        <w:tc>
          <w:tcPr>
            <w:tcW w:w="4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48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440" w:type="dxa"/>
            <w:vAlign w:val="bottom"/>
            <w:tcBorders>
              <w:bottom w:val="single" w:sz="8" w:color="auto"/>
            </w:tcBorders>
          </w:tcPr>
          <w:p>
            <w:pPr>
              <w:jc w:val="right"/>
              <w:ind w:right="57"/>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60" w:type="dxa"/>
            <w:vAlign w:val="bottom"/>
          </w:tcPr>
          <w:p>
            <w:pPr>
              <w:spacing w:after="0"/>
              <w:rPr>
                <w:sz w:val="8"/>
                <w:szCs w:val="8"/>
                <w:color w:val="auto"/>
              </w:rPr>
            </w:pPr>
          </w:p>
        </w:tc>
        <w:tc>
          <w:tcPr>
            <w:tcW w:w="500" w:type="dxa"/>
            <w:vAlign w:val="bottom"/>
            <w:tcBorders>
              <w:bottom w:val="single" w:sz="8" w:color="auto"/>
            </w:tcBorders>
          </w:tcPr>
          <w:p>
            <w:pPr>
              <w:jc w:val="right"/>
              <w:ind w:right="77"/>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160" w:type="dxa"/>
            <w:vAlign w:val="bottom"/>
          </w:tcPr>
          <w:p>
            <w:pPr>
              <w:spacing w:after="0"/>
              <w:rPr>
                <w:sz w:val="8"/>
                <w:szCs w:val="8"/>
                <w:color w:val="auto"/>
              </w:rPr>
            </w:pPr>
          </w:p>
        </w:tc>
        <w:tc>
          <w:tcPr>
            <w:tcW w:w="660" w:type="dxa"/>
            <w:vAlign w:val="bottom"/>
            <w:tcBorders>
              <w:bottom w:val="single" w:sz="8" w:color="auto"/>
            </w:tcBorders>
            <w:gridSpan w:val="2"/>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48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jc w:val="right"/>
              <w:ind w:right="37"/>
              <w:spacing w:after="0" w:line="80" w:lineRule="exact"/>
              <w:rPr>
                <w:sz w:val="20"/>
                <w:szCs w:val="20"/>
                <w:color w:val="auto"/>
              </w:rPr>
            </w:pPr>
            <w:r>
              <w:rPr>
                <w:rFonts w:ascii="Times New Roman" w:cs="Times New Roman" w:eastAsia="Times New Roman" w:hAnsi="Times New Roman"/>
                <w:sz w:val="9"/>
                <w:szCs w:val="9"/>
                <w:b w:val="1"/>
                <w:bCs w:val="1"/>
                <w:color w:val="auto"/>
              </w:rPr>
              <w:t>RMB</w:t>
            </w:r>
          </w:p>
        </w:tc>
        <w:tc>
          <w:tcPr>
            <w:tcW w:w="160" w:type="dxa"/>
            <w:vAlign w:val="bottom"/>
          </w:tcPr>
          <w:p>
            <w:pPr>
              <w:spacing w:after="0"/>
              <w:rPr>
                <w:sz w:val="6"/>
                <w:szCs w:val="6"/>
                <w:color w:val="auto"/>
              </w:rPr>
            </w:pPr>
          </w:p>
        </w:tc>
        <w:tc>
          <w:tcPr>
            <w:tcW w:w="500" w:type="dxa"/>
            <w:vAlign w:val="bottom"/>
          </w:tcPr>
          <w:p>
            <w:pPr>
              <w:jc w:val="right"/>
              <w:ind w:right="77"/>
              <w:spacing w:after="0" w:line="80" w:lineRule="exact"/>
              <w:rPr>
                <w:sz w:val="20"/>
                <w:szCs w:val="20"/>
                <w:color w:val="auto"/>
              </w:rPr>
            </w:pPr>
            <w:r>
              <w:rPr>
                <w:rFonts w:ascii="Times New Roman" w:cs="Times New Roman" w:eastAsia="Times New Roman" w:hAnsi="Times New Roman"/>
                <w:sz w:val="9"/>
                <w:szCs w:val="9"/>
                <w:b w:val="1"/>
                <w:bCs w:val="1"/>
                <w:color w:val="auto"/>
              </w:rPr>
              <w:t>RMB</w:t>
            </w:r>
          </w:p>
        </w:tc>
        <w:tc>
          <w:tcPr>
            <w:tcW w:w="160" w:type="dxa"/>
            <w:vAlign w:val="bottom"/>
          </w:tcPr>
          <w:p>
            <w:pPr>
              <w:spacing w:after="0"/>
              <w:rPr>
                <w:sz w:val="6"/>
                <w:szCs w:val="6"/>
                <w:color w:val="auto"/>
              </w:rPr>
            </w:pPr>
          </w:p>
        </w:tc>
        <w:tc>
          <w:tcPr>
            <w:tcW w:w="660" w:type="dxa"/>
            <w:vAlign w:val="bottom"/>
            <w:gridSpan w:val="2"/>
          </w:tcPr>
          <w:p>
            <w:pPr>
              <w:jc w:val="right"/>
              <w:ind w:right="262"/>
              <w:spacing w:after="0" w:line="80" w:lineRule="exact"/>
              <w:rPr>
                <w:sz w:val="20"/>
                <w:szCs w:val="20"/>
                <w:color w:val="auto"/>
              </w:rPr>
            </w:pPr>
            <w:r>
              <w:rPr>
                <w:rFonts w:ascii="Times New Roman" w:cs="Times New Roman" w:eastAsia="Times New Roman" w:hAnsi="Times New Roman"/>
                <w:sz w:val="9"/>
                <w:szCs w:val="9"/>
                <w:b w:val="1"/>
                <w:bCs w:val="1"/>
                <w:color w:val="auto"/>
              </w:rPr>
              <w:t>RMB</w:t>
            </w:r>
          </w:p>
        </w:tc>
        <w:tc>
          <w:tcPr>
            <w:tcW w:w="460" w:type="dxa"/>
            <w:vAlign w:val="bottom"/>
          </w:tcPr>
          <w:p>
            <w:pPr>
              <w:jc w:val="right"/>
              <w:ind w:right="77"/>
              <w:spacing w:after="0" w:line="80" w:lineRule="exact"/>
              <w:rPr>
                <w:sz w:val="20"/>
                <w:szCs w:val="20"/>
                <w:color w:val="auto"/>
              </w:rPr>
            </w:pPr>
            <w:r>
              <w:rPr>
                <w:rFonts w:ascii="Times New Roman" w:cs="Times New Roman" w:eastAsia="Times New Roman" w:hAnsi="Times New Roman"/>
                <w:sz w:val="9"/>
                <w:szCs w:val="9"/>
                <w:b w:val="1"/>
                <w:bCs w:val="1"/>
                <w:color w:val="auto"/>
              </w:rPr>
              <w:t>US$</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4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gridSpan w:val="2"/>
          </w:tcPr>
          <w:p>
            <w:pPr>
              <w:jc w:val="right"/>
              <w:ind w:right="82"/>
              <w:spacing w:after="0"/>
              <w:rPr>
                <w:sz w:val="20"/>
                <w:szCs w:val="20"/>
                <w:color w:val="auto"/>
              </w:rPr>
            </w:pPr>
            <w:r>
              <w:rPr>
                <w:rFonts w:ascii="Times New Roman" w:cs="Times New Roman" w:eastAsia="Times New Roman" w:hAnsi="Times New Roman"/>
                <w:sz w:val="10"/>
                <w:szCs w:val="10"/>
                <w:b w:val="1"/>
                <w:bCs w:val="1"/>
                <w:color w:val="auto"/>
              </w:rPr>
              <w:t>Note 2(e)</w:t>
            </w:r>
          </w:p>
        </w:tc>
        <w:tc>
          <w:tcPr>
            <w:tcW w:w="0" w:type="dxa"/>
            <w:vAlign w:val="bottom"/>
          </w:tcPr>
          <w:p>
            <w:pPr>
              <w:spacing w:after="0"/>
              <w:rPr>
                <w:sz w:val="1"/>
                <w:szCs w:val="1"/>
                <w:color w:val="auto"/>
              </w:rPr>
            </w:pPr>
          </w:p>
        </w:tc>
      </w:tr>
      <w:tr>
        <w:trPr>
          <w:trHeight w:val="15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6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rPr>
              <w:t>(47,994)</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(92,041)</w:t>
            </w:r>
          </w:p>
        </w:tc>
        <w:tc>
          <w:tcPr>
            <w:tcW w:w="6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(313,896)</w:t>
            </w:r>
          </w:p>
        </w:tc>
        <w:tc>
          <w:tcPr>
            <w:tcW w:w="5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b w:val="1"/>
                <w:bCs w:val="1"/>
                <w:color w:val="auto"/>
              </w:rPr>
              <w:t>(49,258)</w:t>
            </w:r>
          </w:p>
        </w:tc>
        <w:tc>
          <w:tcPr>
            <w:tcW w:w="0" w:type="dxa"/>
            <w:vAlign w:val="bottom"/>
          </w:tcPr>
          <w:p>
            <w:pPr>
              <w:spacing w:after="0"/>
              <w:rPr>
                <w:sz w:val="1"/>
                <w:szCs w:val="1"/>
                <w:color w:val="auto"/>
              </w:rPr>
            </w:pPr>
          </w:p>
        </w:tc>
      </w:tr>
      <w:tr>
        <w:trPr>
          <w:trHeight w:val="156"/>
        </w:trPr>
        <w:tc>
          <w:tcPr>
            <w:tcW w:w="48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loss (income) attributable to non-controlling interests</w:t>
            </w:r>
          </w:p>
        </w:tc>
        <w:tc>
          <w:tcPr>
            <w:tcW w:w="680" w:type="dxa"/>
            <w:vAlign w:val="bottom"/>
          </w:tcPr>
          <w:p>
            <w:pPr>
              <w:spacing w:after="0"/>
              <w:rPr>
                <w:sz w:val="13"/>
                <w:szCs w:val="13"/>
                <w:color w:val="auto"/>
              </w:rPr>
            </w:pPr>
          </w:p>
        </w:tc>
        <w:tc>
          <w:tcPr>
            <w:tcW w:w="600" w:type="dxa"/>
            <w:vAlign w:val="bottom"/>
            <w:gridSpan w:val="2"/>
          </w:tcPr>
          <w:p>
            <w:pPr>
              <w:jc w:val="right"/>
              <w:ind w:right="75"/>
              <w:spacing w:after="0"/>
              <w:rPr>
                <w:sz w:val="20"/>
                <w:szCs w:val="20"/>
                <w:color w:val="auto"/>
              </w:rPr>
            </w:pPr>
            <w:r>
              <w:rPr>
                <w:rFonts w:ascii="Times New Roman" w:cs="Times New Roman" w:eastAsia="Times New Roman" w:hAnsi="Times New Roman"/>
                <w:sz w:val="13"/>
                <w:szCs w:val="13"/>
                <w:color w:val="auto"/>
              </w:rPr>
              <w:t>(551)</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4,422</w:t>
            </w:r>
          </w:p>
        </w:tc>
        <w:tc>
          <w:tcPr>
            <w:tcW w:w="160" w:type="dxa"/>
            <w:vAlign w:val="bottom"/>
          </w:tcPr>
          <w:p>
            <w:pPr>
              <w:spacing w:after="0"/>
              <w:rPr>
                <w:sz w:val="13"/>
                <w:szCs w:val="13"/>
                <w:color w:val="auto"/>
              </w:rPr>
            </w:pPr>
          </w:p>
        </w:tc>
        <w:tc>
          <w:tcPr>
            <w:tcW w:w="66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color w:val="auto"/>
              </w:rPr>
              <w:t>(63)</w:t>
            </w:r>
          </w:p>
        </w:tc>
        <w:tc>
          <w:tcPr>
            <w:tcW w:w="54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loss attributable to EHang Holdings Limited</w:t>
            </w:r>
          </w:p>
        </w:tc>
        <w:tc>
          <w:tcPr>
            <w:tcW w:w="6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rPr>
              <w:t>(48,545)</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(87,619)</w:t>
            </w:r>
          </w:p>
        </w:tc>
        <w:tc>
          <w:tcPr>
            <w:tcW w:w="6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(313,959)</w:t>
            </w:r>
          </w:p>
        </w:tc>
        <w:tc>
          <w:tcPr>
            <w:tcW w:w="5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b w:val="1"/>
                <w:bCs w:val="1"/>
                <w:color w:val="auto"/>
              </w:rPr>
              <w:t>(49,268)</w:t>
            </w:r>
          </w:p>
        </w:tc>
        <w:tc>
          <w:tcPr>
            <w:tcW w:w="0" w:type="dxa"/>
            <w:vAlign w:val="bottom"/>
          </w:tcPr>
          <w:p>
            <w:pPr>
              <w:spacing w:after="0"/>
              <w:rPr>
                <w:sz w:val="1"/>
                <w:szCs w:val="1"/>
                <w:color w:val="auto"/>
              </w:rPr>
            </w:pPr>
          </w:p>
        </w:tc>
      </w:tr>
      <w:tr>
        <w:trPr>
          <w:trHeight w:val="155"/>
        </w:trPr>
        <w:tc>
          <w:tcPr>
            <w:tcW w:w="48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Modification of redeemable convertible preferred shares</w:t>
            </w:r>
          </w:p>
        </w:tc>
        <w:tc>
          <w:tcPr>
            <w:tcW w:w="680" w:type="dxa"/>
            <w:vAlign w:val="bottom"/>
          </w:tcPr>
          <w:p>
            <w:pPr>
              <w:jc w:val="center"/>
              <w:ind w:left="237"/>
              <w:spacing w:after="0" w:line="155" w:lineRule="exact"/>
              <w:rPr>
                <w:sz w:val="20"/>
                <w:szCs w:val="20"/>
                <w:color w:val="auto"/>
              </w:rPr>
            </w:pPr>
            <w:r>
              <w:rPr>
                <w:rFonts w:ascii="Calibri" w:cs="Calibri" w:eastAsia="Calibri" w:hAnsi="Calibri"/>
                <w:sz w:val="13"/>
                <w:szCs w:val="13"/>
                <w:color w:val="auto"/>
              </w:rPr>
              <w:t>18</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(9,986)</w:t>
            </w:r>
          </w:p>
        </w:tc>
        <w:tc>
          <w:tcPr>
            <w:tcW w:w="16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4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Accretion to redemption value of redeemable convertible preferred shares</w:t>
            </w:r>
          </w:p>
        </w:tc>
        <w:tc>
          <w:tcPr>
            <w:tcW w:w="680" w:type="dxa"/>
            <w:vAlign w:val="bottom"/>
            <w:shd w:val="clear" w:color="auto" w:fill="CCEEFF"/>
          </w:tcPr>
          <w:p>
            <w:pPr>
              <w:jc w:val="center"/>
              <w:ind w:left="237"/>
              <w:spacing w:after="0" w:line="155" w:lineRule="exact"/>
              <w:rPr>
                <w:sz w:val="20"/>
                <w:szCs w:val="20"/>
                <w:color w:val="auto"/>
              </w:rPr>
            </w:pPr>
            <w:r>
              <w:rPr>
                <w:rFonts w:ascii="Calibri" w:cs="Calibri" w:eastAsia="Calibri" w:hAnsi="Calibri"/>
                <w:sz w:val="13"/>
                <w:szCs w:val="13"/>
                <w:color w:val="auto"/>
              </w:rPr>
              <w:t>18</w:t>
            </w:r>
          </w:p>
        </w:tc>
        <w:tc>
          <w:tcPr>
            <w:tcW w:w="6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(17,262)</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48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loss attributable to ordinary shareholders</w:t>
            </w:r>
          </w:p>
        </w:tc>
        <w:tc>
          <w:tcPr>
            <w:tcW w:w="68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(75,793</w:t>
            </w:r>
          </w:p>
        </w:tc>
        <w:tc>
          <w:tcPr>
            <w:tcW w:w="160" w:type="dxa"/>
            <w:vAlign w:val="bottom"/>
          </w:tcPr>
          <w:p>
            <w:pPr>
              <w:jc w:val="right"/>
              <w:ind w:right="75"/>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(87,619)</w:t>
            </w:r>
          </w:p>
        </w:tc>
        <w:tc>
          <w:tcPr>
            <w:tcW w:w="16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(313,959</w:t>
            </w:r>
          </w:p>
        </w:tc>
        <w:tc>
          <w:tcPr>
            <w:tcW w:w="160" w:type="dxa"/>
            <w:vAlign w:val="bottom"/>
          </w:tcPr>
          <w:p>
            <w:pPr>
              <w:jc w:val="right"/>
              <w:ind w:right="8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(49,268</w:t>
            </w:r>
          </w:p>
        </w:tc>
        <w:tc>
          <w:tcPr>
            <w:tcW w:w="80" w:type="dxa"/>
            <w:vAlign w:val="bottom"/>
          </w:tcPr>
          <w:p>
            <w:pPr>
              <w:jc w:val="right"/>
              <w:ind w:right="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165"/>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loss per ordinary share:</w:t>
            </w:r>
          </w:p>
        </w:tc>
        <w:tc>
          <w:tcPr>
            <w:tcW w:w="6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Basic and diluted</w:t>
            </w:r>
          </w:p>
        </w:tc>
        <w:tc>
          <w:tcPr>
            <w:tcW w:w="680" w:type="dxa"/>
            <w:vAlign w:val="bottom"/>
          </w:tcPr>
          <w:p>
            <w:pPr>
              <w:jc w:val="center"/>
              <w:ind w:left="237"/>
              <w:spacing w:after="0"/>
              <w:rPr>
                <w:sz w:val="20"/>
                <w:szCs w:val="20"/>
                <w:color w:val="auto"/>
              </w:rPr>
            </w:pPr>
            <w:r>
              <w:rPr>
                <w:rFonts w:ascii="Times New Roman" w:cs="Times New Roman" w:eastAsia="Times New Roman" w:hAnsi="Times New Roman"/>
                <w:sz w:val="13"/>
                <w:szCs w:val="13"/>
                <w:color w:val="auto"/>
              </w:rPr>
              <w:t>20</w:t>
            </w:r>
          </w:p>
        </w:tc>
        <w:tc>
          <w:tcPr>
            <w:tcW w:w="600" w:type="dxa"/>
            <w:vAlign w:val="bottom"/>
            <w:gridSpan w:val="2"/>
          </w:tcPr>
          <w:p>
            <w:pPr>
              <w:jc w:val="right"/>
              <w:ind w:right="75"/>
              <w:spacing w:after="0"/>
              <w:rPr>
                <w:sz w:val="20"/>
                <w:szCs w:val="20"/>
                <w:color w:val="auto"/>
              </w:rPr>
            </w:pPr>
            <w:r>
              <w:rPr>
                <w:rFonts w:ascii="Times New Roman" w:cs="Times New Roman" w:eastAsia="Times New Roman" w:hAnsi="Times New Roman"/>
                <w:sz w:val="13"/>
                <w:szCs w:val="13"/>
                <w:color w:val="auto"/>
              </w:rPr>
              <w:t>(1.24)</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(0.80)</w:t>
            </w:r>
          </w:p>
        </w:tc>
        <w:tc>
          <w:tcPr>
            <w:tcW w:w="66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color w:val="auto"/>
              </w:rPr>
              <w:t>(2.78)</w:t>
            </w:r>
          </w:p>
        </w:tc>
        <w:tc>
          <w:tcPr>
            <w:tcW w:w="54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rPr>
              <w:t>(0.44)</w:t>
            </w:r>
          </w:p>
        </w:tc>
        <w:tc>
          <w:tcPr>
            <w:tcW w:w="0" w:type="dxa"/>
            <w:vAlign w:val="bottom"/>
          </w:tcPr>
          <w:p>
            <w:pPr>
              <w:spacing w:after="0"/>
              <w:rPr>
                <w:sz w:val="1"/>
                <w:szCs w:val="1"/>
                <w:color w:val="auto"/>
              </w:rPr>
            </w:pPr>
          </w:p>
        </w:tc>
      </w:tr>
      <w:tr>
        <w:trPr>
          <w:trHeight w:val="15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loss per ADS (2 ordinary shares equal to 1 ADS):</w:t>
            </w:r>
          </w:p>
        </w:tc>
        <w:tc>
          <w:tcPr>
            <w:tcW w:w="6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Basic and diluted</w:t>
            </w:r>
          </w:p>
        </w:tc>
        <w:tc>
          <w:tcPr>
            <w:tcW w:w="680" w:type="dxa"/>
            <w:vAlign w:val="bottom"/>
          </w:tcPr>
          <w:p>
            <w:pPr>
              <w:jc w:val="center"/>
              <w:ind w:left="237"/>
              <w:spacing w:after="0"/>
              <w:rPr>
                <w:sz w:val="20"/>
                <w:szCs w:val="20"/>
                <w:color w:val="auto"/>
              </w:rPr>
            </w:pPr>
            <w:r>
              <w:rPr>
                <w:rFonts w:ascii="Times New Roman" w:cs="Times New Roman" w:eastAsia="Times New Roman" w:hAnsi="Times New Roman"/>
                <w:sz w:val="13"/>
                <w:szCs w:val="13"/>
                <w:color w:val="auto"/>
              </w:rPr>
              <w:t>20</w:t>
            </w:r>
          </w:p>
        </w:tc>
        <w:tc>
          <w:tcPr>
            <w:tcW w:w="600" w:type="dxa"/>
            <w:vAlign w:val="bottom"/>
            <w:gridSpan w:val="2"/>
          </w:tcPr>
          <w:p>
            <w:pPr>
              <w:jc w:val="right"/>
              <w:ind w:right="75"/>
              <w:spacing w:after="0"/>
              <w:rPr>
                <w:sz w:val="20"/>
                <w:szCs w:val="20"/>
                <w:color w:val="auto"/>
              </w:rPr>
            </w:pPr>
            <w:r>
              <w:rPr>
                <w:rFonts w:ascii="Times New Roman" w:cs="Times New Roman" w:eastAsia="Times New Roman" w:hAnsi="Times New Roman"/>
                <w:sz w:val="13"/>
                <w:szCs w:val="13"/>
                <w:color w:val="auto"/>
              </w:rPr>
              <w:t>(2.48)</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(1.60)</w:t>
            </w:r>
          </w:p>
        </w:tc>
        <w:tc>
          <w:tcPr>
            <w:tcW w:w="66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color w:val="auto"/>
              </w:rPr>
              <w:t>(5.56)</w:t>
            </w:r>
          </w:p>
        </w:tc>
        <w:tc>
          <w:tcPr>
            <w:tcW w:w="54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rPr>
              <w:t>(0.88)</w:t>
            </w:r>
          </w:p>
        </w:tc>
        <w:tc>
          <w:tcPr>
            <w:tcW w:w="0" w:type="dxa"/>
            <w:vAlign w:val="bottom"/>
          </w:tcPr>
          <w:p>
            <w:pPr>
              <w:spacing w:after="0"/>
              <w:rPr>
                <w:sz w:val="1"/>
                <w:szCs w:val="1"/>
                <w:color w:val="auto"/>
              </w:rPr>
            </w:pPr>
          </w:p>
        </w:tc>
      </w:tr>
      <w:tr>
        <w:trPr>
          <w:trHeight w:val="15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Shares used in net loss per ordinary share computation (in thousands of shares):</w:t>
            </w:r>
          </w:p>
        </w:tc>
        <w:tc>
          <w:tcPr>
            <w:tcW w:w="6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Basic and diluted</w:t>
            </w:r>
          </w:p>
        </w:tc>
        <w:tc>
          <w:tcPr>
            <w:tcW w:w="680" w:type="dxa"/>
            <w:vAlign w:val="bottom"/>
          </w:tcPr>
          <w:p>
            <w:pPr>
              <w:jc w:val="center"/>
              <w:ind w:left="237"/>
              <w:spacing w:after="0"/>
              <w:rPr>
                <w:sz w:val="20"/>
                <w:szCs w:val="20"/>
                <w:color w:val="auto"/>
              </w:rPr>
            </w:pPr>
            <w:r>
              <w:rPr>
                <w:rFonts w:ascii="Times New Roman" w:cs="Times New Roman" w:eastAsia="Times New Roman" w:hAnsi="Times New Roman"/>
                <w:sz w:val="13"/>
                <w:szCs w:val="13"/>
                <w:color w:val="auto"/>
              </w:rPr>
              <w:t>20</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61,136</w:t>
            </w:r>
          </w:p>
        </w:tc>
        <w:tc>
          <w:tcPr>
            <w:tcW w:w="1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109,563</w:t>
            </w:r>
          </w:p>
        </w:tc>
        <w:tc>
          <w:tcPr>
            <w:tcW w:w="1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112,985</w:t>
            </w:r>
          </w:p>
        </w:tc>
        <w:tc>
          <w:tcPr>
            <w:tcW w:w="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112,985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Other comprehensive income (loss)</w:t>
            </w:r>
          </w:p>
        </w:tc>
        <w:tc>
          <w:tcPr>
            <w:tcW w:w="6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Foreign currency translation adjustments, net of nil tax</w:t>
            </w:r>
          </w:p>
        </w:tc>
        <w:tc>
          <w:tcPr>
            <w:tcW w:w="680" w:type="dxa"/>
            <w:vAlign w:val="bottom"/>
          </w:tcPr>
          <w:p>
            <w:pPr>
              <w:jc w:val="center"/>
              <w:ind w:left="237"/>
              <w:spacing w:after="0" w:line="155" w:lineRule="exact"/>
              <w:rPr>
                <w:sz w:val="20"/>
                <w:szCs w:val="20"/>
                <w:color w:val="auto"/>
              </w:rPr>
            </w:pPr>
            <w:r>
              <w:rPr>
                <w:rFonts w:ascii="Calibri" w:cs="Calibri" w:eastAsia="Calibri" w:hAnsi="Calibri"/>
                <w:sz w:val="13"/>
                <w:szCs w:val="13"/>
                <w:color w:val="auto"/>
              </w:rPr>
              <w:t>19</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1,346</w:t>
            </w:r>
          </w:p>
        </w:tc>
        <w:tc>
          <w:tcPr>
            <w:tcW w:w="16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(9,974)</w:t>
            </w:r>
          </w:p>
        </w:tc>
        <w:tc>
          <w:tcPr>
            <w:tcW w:w="66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color w:val="auto"/>
              </w:rPr>
              <w:t>(6,107)</w:t>
            </w:r>
          </w:p>
        </w:tc>
        <w:tc>
          <w:tcPr>
            <w:tcW w:w="54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rPr>
              <w:t>(958)</w:t>
            </w:r>
          </w:p>
        </w:tc>
        <w:tc>
          <w:tcPr>
            <w:tcW w:w="0" w:type="dxa"/>
            <w:vAlign w:val="bottom"/>
          </w:tcPr>
          <w:p>
            <w:pPr>
              <w:spacing w:after="0"/>
              <w:rPr>
                <w:sz w:val="1"/>
                <w:szCs w:val="1"/>
                <w:color w:val="auto"/>
              </w:rPr>
            </w:pPr>
          </w:p>
        </w:tc>
      </w:tr>
      <w:tr>
        <w:trPr>
          <w:trHeight w:val="156"/>
        </w:trPr>
        <w:tc>
          <w:tcPr>
            <w:tcW w:w="4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Unrealized (realized) gains on available-for-sale investments, net of nil tax</w:t>
            </w:r>
          </w:p>
        </w:tc>
        <w:tc>
          <w:tcPr>
            <w:tcW w:w="680" w:type="dxa"/>
            <w:vAlign w:val="bottom"/>
            <w:shd w:val="clear" w:color="auto" w:fill="CCEEFF"/>
          </w:tcPr>
          <w:p>
            <w:pPr>
              <w:jc w:val="center"/>
              <w:ind w:left="237"/>
              <w:spacing w:after="0" w:line="155" w:lineRule="exact"/>
              <w:rPr>
                <w:sz w:val="20"/>
                <w:szCs w:val="20"/>
                <w:color w:val="auto"/>
              </w:rPr>
            </w:pPr>
            <w:r>
              <w:rPr>
                <w:rFonts w:ascii="Calibri" w:cs="Calibri" w:eastAsia="Calibri" w:hAnsi="Calibri"/>
                <w:sz w:val="13"/>
                <w:szCs w:val="13"/>
                <w:color w:val="auto"/>
              </w:rPr>
              <w:t>19</w:t>
            </w:r>
          </w:p>
        </w:tc>
        <w:tc>
          <w:tcPr>
            <w:tcW w:w="60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1,729</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3"/>
                <w:szCs w:val="13"/>
                <w:color w:val="auto"/>
              </w:rPr>
              <w:t>(1,729)</w:t>
            </w:r>
          </w:p>
        </w:tc>
        <w:tc>
          <w:tcPr>
            <w:tcW w:w="5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(271)</w:t>
            </w:r>
          </w:p>
        </w:tc>
        <w:tc>
          <w:tcPr>
            <w:tcW w:w="0" w:type="dxa"/>
            <w:vAlign w:val="bottom"/>
          </w:tcPr>
          <w:p>
            <w:pPr>
              <w:spacing w:after="0"/>
              <w:rPr>
                <w:sz w:val="1"/>
                <w:szCs w:val="1"/>
                <w:color w:val="auto"/>
              </w:rPr>
            </w:pPr>
          </w:p>
        </w:tc>
      </w:tr>
      <w:tr>
        <w:trPr>
          <w:trHeight w:val="155"/>
        </w:trPr>
        <w:tc>
          <w:tcPr>
            <w:tcW w:w="48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other comprehensive income (loss), net of tax</w:t>
            </w:r>
          </w:p>
        </w:tc>
        <w:tc>
          <w:tcPr>
            <w:tcW w:w="680" w:type="dxa"/>
            <w:vAlign w:val="bottom"/>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1,346</w:t>
            </w:r>
          </w:p>
        </w:tc>
        <w:tc>
          <w:tcPr>
            <w:tcW w:w="16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(8,245)</w:t>
            </w:r>
          </w:p>
        </w:tc>
        <w:tc>
          <w:tcPr>
            <w:tcW w:w="16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(7,836)</w:t>
            </w:r>
          </w:p>
        </w:tc>
        <w:tc>
          <w:tcPr>
            <w:tcW w:w="160" w:type="dxa"/>
            <w:vAlign w:val="bottom"/>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6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rPr>
              <w:t>(46,648)</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(100,286)</w:t>
            </w:r>
          </w:p>
        </w:tc>
        <w:tc>
          <w:tcPr>
            <w:tcW w:w="6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(321,732)</w:t>
            </w:r>
          </w:p>
        </w:tc>
        <w:tc>
          <w:tcPr>
            <w:tcW w:w="5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b w:val="1"/>
                <w:bCs w:val="1"/>
                <w:color w:val="auto"/>
              </w:rPr>
              <w:t>(50,487)</w:t>
            </w:r>
          </w:p>
        </w:tc>
        <w:tc>
          <w:tcPr>
            <w:tcW w:w="0" w:type="dxa"/>
            <w:vAlign w:val="bottom"/>
          </w:tcPr>
          <w:p>
            <w:pPr>
              <w:spacing w:after="0"/>
              <w:rPr>
                <w:sz w:val="1"/>
                <w:szCs w:val="1"/>
                <w:color w:val="auto"/>
              </w:rPr>
            </w:pPr>
          </w:p>
        </w:tc>
      </w:tr>
      <w:tr>
        <w:trPr>
          <w:trHeight w:val="156"/>
        </w:trPr>
        <w:tc>
          <w:tcPr>
            <w:tcW w:w="48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Comprehensive (income) loss attributable to non-controlling interests</w:t>
            </w:r>
          </w:p>
        </w:tc>
        <w:tc>
          <w:tcPr>
            <w:tcW w:w="680" w:type="dxa"/>
            <w:vAlign w:val="bottom"/>
          </w:tcPr>
          <w:p>
            <w:pPr>
              <w:spacing w:after="0"/>
              <w:rPr>
                <w:sz w:val="13"/>
                <w:szCs w:val="13"/>
                <w:color w:val="auto"/>
              </w:rPr>
            </w:pPr>
          </w:p>
        </w:tc>
        <w:tc>
          <w:tcPr>
            <w:tcW w:w="600" w:type="dxa"/>
            <w:vAlign w:val="bottom"/>
            <w:gridSpan w:val="2"/>
          </w:tcPr>
          <w:p>
            <w:pPr>
              <w:jc w:val="right"/>
              <w:ind w:right="75"/>
              <w:spacing w:after="0"/>
              <w:rPr>
                <w:sz w:val="20"/>
                <w:szCs w:val="20"/>
                <w:color w:val="auto"/>
              </w:rPr>
            </w:pPr>
            <w:r>
              <w:rPr>
                <w:rFonts w:ascii="Times New Roman" w:cs="Times New Roman" w:eastAsia="Times New Roman" w:hAnsi="Times New Roman"/>
                <w:sz w:val="13"/>
                <w:szCs w:val="13"/>
                <w:color w:val="auto"/>
              </w:rPr>
              <w:t>(551)</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4,422</w:t>
            </w:r>
          </w:p>
        </w:tc>
        <w:tc>
          <w:tcPr>
            <w:tcW w:w="160" w:type="dxa"/>
            <w:vAlign w:val="bottom"/>
          </w:tcPr>
          <w:p>
            <w:pPr>
              <w:spacing w:after="0"/>
              <w:rPr>
                <w:sz w:val="13"/>
                <w:szCs w:val="13"/>
                <w:color w:val="auto"/>
              </w:rPr>
            </w:pPr>
          </w:p>
        </w:tc>
        <w:tc>
          <w:tcPr>
            <w:tcW w:w="66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color w:val="auto"/>
              </w:rPr>
              <w:t>(63)</w:t>
            </w:r>
          </w:p>
        </w:tc>
        <w:tc>
          <w:tcPr>
            <w:tcW w:w="54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Comprehensive loss attributable to EHang Holdings Limited</w:t>
            </w:r>
          </w:p>
        </w:tc>
        <w:tc>
          <w:tcPr>
            <w:tcW w:w="6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rPr>
              <w:t>(47,199)</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(95,864)</w:t>
            </w:r>
          </w:p>
        </w:tc>
        <w:tc>
          <w:tcPr>
            <w:tcW w:w="6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(321,795)</w:t>
            </w:r>
          </w:p>
        </w:tc>
        <w:tc>
          <w:tcPr>
            <w:tcW w:w="5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b w:val="1"/>
                <w:bCs w:val="1"/>
                <w:color w:val="auto"/>
              </w:rPr>
              <w:t>(50,497)</w:t>
            </w:r>
          </w:p>
        </w:tc>
        <w:tc>
          <w:tcPr>
            <w:tcW w:w="0" w:type="dxa"/>
            <w:vAlign w:val="bottom"/>
          </w:tcPr>
          <w:p>
            <w:pPr>
              <w:spacing w:after="0"/>
              <w:rPr>
                <w:sz w:val="1"/>
                <w:szCs w:val="1"/>
                <w:color w:val="auto"/>
              </w:rPr>
            </w:pPr>
          </w:p>
        </w:tc>
      </w:tr>
      <w:tr>
        <w:trPr>
          <w:trHeight w:val="29"/>
        </w:trPr>
        <w:tc>
          <w:tcPr>
            <w:tcW w:w="48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p>
    <w:p>
      <w:pPr>
        <w:spacing w:after="0" w:line="11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F- 8</w:t>
      </w:r>
    </w:p>
    <w:p>
      <w:pPr>
        <w:sectPr>
          <w:pgSz w:w="11900" w:h="16838" w:orient="portrait"/>
          <w:cols w:equalWidth="0" w:num="1">
            <w:col w:w="10159"/>
          </w:cols>
          <w:pgMar w:left="300" w:top="388" w:right="1440"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6">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CONSOLIDATED STATEMENTS OF CHANGES IN SHAREHOLDERS’ EQUITY</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except for number of shares, per share data and per ADS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7">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215"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1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EHang</w:t>
            </w: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tcPr>
          <w:p>
            <w:pPr>
              <w:jc w:val="center"/>
              <w:ind w:right="80"/>
              <w:spacing w:after="0" w:line="107" w:lineRule="exact"/>
              <w:rPr>
                <w:sz w:val="20"/>
                <w:szCs w:val="20"/>
                <w:color w:val="auto"/>
              </w:rPr>
            </w:pPr>
            <w:r>
              <w:rPr>
                <w:rFonts w:ascii="Times New Roman" w:cs="Times New Roman" w:eastAsia="Times New Roman" w:hAnsi="Times New Roman"/>
                <w:sz w:val="10"/>
                <w:szCs w:val="10"/>
                <w:b w:val="1"/>
                <w:bCs w:val="1"/>
                <w:color w:val="auto"/>
              </w:rPr>
              <w:t>Holdings</w:t>
            </w: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107"/>
        </w:trPr>
        <w:tc>
          <w:tcPr>
            <w:tcW w:w="1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tcPr>
          <w:p>
            <w:pPr>
              <w:jc w:val="center"/>
              <w:ind w:right="80"/>
              <w:spacing w:after="0" w:line="107" w:lineRule="exact"/>
              <w:rPr>
                <w:sz w:val="20"/>
                <w:szCs w:val="20"/>
                <w:color w:val="auto"/>
              </w:rPr>
            </w:pPr>
            <w:r>
              <w:rPr>
                <w:rFonts w:ascii="Times New Roman" w:cs="Times New Roman" w:eastAsia="Times New Roman" w:hAnsi="Times New Roman"/>
                <w:sz w:val="10"/>
                <w:szCs w:val="10"/>
                <w:b w:val="1"/>
                <w:bCs w:val="1"/>
                <w:color w:val="auto"/>
              </w:rPr>
              <w:t>Limited</w:t>
            </w:r>
          </w:p>
        </w:tc>
        <w:tc>
          <w:tcPr>
            <w:tcW w:w="40" w:type="dxa"/>
            <w:vAlign w:val="bottom"/>
          </w:tcPr>
          <w:p>
            <w:pPr>
              <w:spacing w:after="0"/>
              <w:rPr>
                <w:sz w:val="9"/>
                <w:szCs w:val="9"/>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Non-</w:t>
            </w:r>
          </w:p>
        </w:tc>
        <w:tc>
          <w:tcPr>
            <w:tcW w:w="10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Number of</w:t>
            </w: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ordinary</w:t>
            </w: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other</w:t>
            </w:r>
          </w:p>
        </w:tc>
        <w:tc>
          <w:tcPr>
            <w:tcW w:w="52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0"/>
                <w:szCs w:val="10"/>
                <w:b w:val="1"/>
                <w:bCs w:val="1"/>
                <w:color w:val="auto"/>
              </w:rPr>
              <w:t>Statutory</w:t>
            </w:r>
          </w:p>
        </w:tc>
        <w:tc>
          <w:tcPr>
            <w:tcW w:w="7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720" w:type="dxa"/>
            <w:vAlign w:val="bottom"/>
            <w:gridSpan w:val="3"/>
          </w:tcPr>
          <w:p>
            <w:pPr>
              <w:jc w:val="center"/>
              <w:ind w:right="40"/>
              <w:spacing w:after="0" w:line="107" w:lineRule="exact"/>
              <w:rPr>
                <w:sz w:val="20"/>
                <w:szCs w:val="20"/>
                <w:color w:val="auto"/>
              </w:rPr>
            </w:pPr>
            <w:r>
              <w:rPr>
                <w:rFonts w:ascii="Times New Roman" w:cs="Times New Roman" w:eastAsia="Times New Roman" w:hAnsi="Times New Roman"/>
                <w:sz w:val="10"/>
                <w:szCs w:val="10"/>
                <w:b w:val="1"/>
                <w:bCs w:val="1"/>
                <w:color w:val="auto"/>
              </w:rPr>
              <w:t>shareholders’</w:t>
            </w:r>
          </w:p>
        </w:tc>
        <w:tc>
          <w:tcPr>
            <w:tcW w:w="4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780" w:type="dxa"/>
            <w:vAlign w:val="bottom"/>
            <w:gridSpan w:val="3"/>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shareholders’</w:t>
            </w:r>
          </w:p>
        </w:tc>
        <w:tc>
          <w:tcPr>
            <w:tcW w:w="0" w:type="dxa"/>
            <w:vAlign w:val="bottom"/>
          </w:tcPr>
          <w:p>
            <w:pPr>
              <w:spacing w:after="0"/>
              <w:rPr>
                <w:sz w:val="1"/>
                <w:szCs w:val="1"/>
                <w:color w:val="auto"/>
              </w:rPr>
            </w:pPr>
          </w:p>
        </w:tc>
      </w:tr>
      <w:tr>
        <w:trPr>
          <w:trHeight w:val="107"/>
        </w:trPr>
        <w:tc>
          <w:tcPr>
            <w:tcW w:w="1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paid-in</w:t>
            </w:r>
          </w:p>
        </w:tc>
        <w:tc>
          <w:tcPr>
            <w:tcW w:w="740" w:type="dxa"/>
            <w:vAlign w:val="bottom"/>
            <w:gridSpan w:val="2"/>
          </w:tcPr>
          <w:p>
            <w:pPr>
              <w:jc w:val="center"/>
              <w:ind w:left="22"/>
              <w:spacing w:after="0" w:line="107"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520" w:type="dxa"/>
            <w:vAlign w:val="bottom"/>
            <w:gridSpan w:val="2"/>
            <w:vMerge w:val="continue"/>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tcPr>
          <w:p>
            <w:pPr>
              <w:jc w:val="center"/>
              <w:ind w:right="80"/>
              <w:spacing w:after="0" w:line="107" w:lineRule="exact"/>
              <w:rPr>
                <w:sz w:val="20"/>
                <w:szCs w:val="20"/>
                <w:color w:val="auto"/>
              </w:rPr>
            </w:pPr>
            <w:r>
              <w:rPr>
                <w:rFonts w:ascii="Times New Roman" w:cs="Times New Roman" w:eastAsia="Times New Roman" w:hAnsi="Times New Roman"/>
                <w:sz w:val="10"/>
                <w:szCs w:val="10"/>
                <w:b w:val="1"/>
                <w:bCs w:val="1"/>
                <w:color w:val="auto"/>
              </w:rPr>
              <w:t>(deficit)</w:t>
            </w:r>
          </w:p>
        </w:tc>
        <w:tc>
          <w:tcPr>
            <w:tcW w:w="520" w:type="dxa"/>
            <w:vAlign w:val="bottom"/>
            <w:gridSpan w:val="2"/>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controlling</w:t>
            </w:r>
          </w:p>
        </w:tc>
        <w:tc>
          <w:tcPr>
            <w:tcW w:w="100" w:type="dxa"/>
            <w:vAlign w:val="bottom"/>
          </w:tcPr>
          <w:p>
            <w:pPr>
              <w:spacing w:after="0"/>
              <w:rPr>
                <w:sz w:val="9"/>
                <w:szCs w:val="9"/>
                <w:color w:val="auto"/>
              </w:rPr>
            </w:pPr>
          </w:p>
        </w:tc>
        <w:tc>
          <w:tcPr>
            <w:tcW w:w="680" w:type="dxa"/>
            <w:vAlign w:val="bottom"/>
            <w:gridSpan w:val="2"/>
          </w:tcPr>
          <w:p>
            <w:pPr>
              <w:jc w:val="center"/>
              <w:ind w:right="100"/>
              <w:spacing w:after="0" w:line="107" w:lineRule="exact"/>
              <w:rPr>
                <w:sz w:val="20"/>
                <w:szCs w:val="20"/>
                <w:color w:val="auto"/>
              </w:rPr>
            </w:pPr>
            <w:r>
              <w:rPr>
                <w:rFonts w:ascii="Times New Roman" w:cs="Times New Roman" w:eastAsia="Times New Roman" w:hAnsi="Times New Roman"/>
                <w:sz w:val="10"/>
                <w:szCs w:val="10"/>
                <w:b w:val="1"/>
                <w:bCs w:val="1"/>
                <w:color w:val="auto"/>
              </w:rPr>
              <w:t>(deficit)</w:t>
            </w:r>
          </w:p>
        </w:tc>
        <w:tc>
          <w:tcPr>
            <w:tcW w:w="0" w:type="dxa"/>
            <w:vAlign w:val="bottom"/>
          </w:tcPr>
          <w:p>
            <w:pPr>
              <w:spacing w:after="0"/>
              <w:rPr>
                <w:sz w:val="1"/>
                <w:szCs w:val="1"/>
                <w:color w:val="auto"/>
              </w:rPr>
            </w:pPr>
          </w:p>
        </w:tc>
      </w:tr>
      <w:tr>
        <w:trPr>
          <w:trHeight w:val="107"/>
        </w:trPr>
        <w:tc>
          <w:tcPr>
            <w:tcW w:w="1840" w:type="dxa"/>
            <w:vAlign w:val="bottom"/>
          </w:tcPr>
          <w:p>
            <w:pPr>
              <w:spacing w:after="0"/>
              <w:rPr>
                <w:sz w:val="9"/>
                <w:szCs w:val="9"/>
                <w:color w:val="auto"/>
              </w:rPr>
            </w:pP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Note</w:t>
            </w:r>
          </w:p>
        </w:tc>
        <w:tc>
          <w:tcPr>
            <w:tcW w:w="70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ordinary</w:t>
            </w:r>
          </w:p>
        </w:tc>
        <w:tc>
          <w:tcPr>
            <w:tcW w:w="60" w:type="dxa"/>
            <w:vAlign w:val="bottom"/>
          </w:tcPr>
          <w:p>
            <w:pPr>
              <w:spacing w:after="0"/>
              <w:rPr>
                <w:sz w:val="9"/>
                <w:szCs w:val="9"/>
                <w:color w:val="auto"/>
              </w:rPr>
            </w:pPr>
          </w:p>
        </w:tc>
        <w:tc>
          <w:tcPr>
            <w:tcW w:w="40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Pr>
          <w:p>
            <w:pPr>
              <w:spacing w:after="0"/>
              <w:rPr>
                <w:sz w:val="9"/>
                <w:szCs w:val="9"/>
                <w:color w:val="auto"/>
              </w:rPr>
            </w:pPr>
          </w:p>
        </w:tc>
        <w:tc>
          <w:tcPr>
            <w:tcW w:w="56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capital</w:t>
            </w:r>
          </w:p>
        </w:tc>
        <w:tc>
          <w:tcPr>
            <w:tcW w:w="80" w:type="dxa"/>
            <w:vAlign w:val="bottom"/>
          </w:tcPr>
          <w:p>
            <w:pPr>
              <w:spacing w:after="0"/>
              <w:rPr>
                <w:sz w:val="9"/>
                <w:szCs w:val="9"/>
                <w:color w:val="auto"/>
              </w:rPr>
            </w:pPr>
          </w:p>
        </w:tc>
        <w:tc>
          <w:tcPr>
            <w:tcW w:w="66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income</w:t>
            </w:r>
          </w:p>
        </w:tc>
        <w:tc>
          <w:tcPr>
            <w:tcW w:w="80" w:type="dxa"/>
            <w:vAlign w:val="bottom"/>
          </w:tcPr>
          <w:p>
            <w:pPr>
              <w:spacing w:after="0"/>
              <w:rPr>
                <w:sz w:val="9"/>
                <w:szCs w:val="9"/>
                <w:color w:val="auto"/>
              </w:rPr>
            </w:pPr>
          </w:p>
        </w:tc>
        <w:tc>
          <w:tcPr>
            <w:tcW w:w="44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reserves</w:t>
            </w:r>
          </w:p>
        </w:tc>
        <w:tc>
          <w:tcPr>
            <w:tcW w:w="80" w:type="dxa"/>
            <w:vAlign w:val="bottom"/>
          </w:tcPr>
          <w:p>
            <w:pPr>
              <w:spacing w:after="0"/>
              <w:rPr>
                <w:sz w:val="9"/>
                <w:szCs w:val="9"/>
                <w:color w:val="auto"/>
              </w:rPr>
            </w:pPr>
          </w:p>
        </w:tc>
        <w:tc>
          <w:tcPr>
            <w:tcW w:w="660" w:type="dxa"/>
            <w:vAlign w:val="bottom"/>
            <w:gridSpan w:val="2"/>
          </w:tcPr>
          <w:p>
            <w:pPr>
              <w:jc w:val="center"/>
              <w:ind w:right="100"/>
              <w:spacing w:after="0" w:line="107" w:lineRule="exact"/>
              <w:rPr>
                <w:sz w:val="20"/>
                <w:szCs w:val="20"/>
                <w:color w:val="auto"/>
              </w:rPr>
            </w:pPr>
            <w:r>
              <w:rPr>
                <w:rFonts w:ascii="Times New Roman" w:cs="Times New Roman" w:eastAsia="Times New Roman" w:hAnsi="Times New Roman"/>
                <w:sz w:val="10"/>
                <w:szCs w:val="10"/>
                <w:b w:val="1"/>
                <w:bCs w:val="1"/>
                <w:color w:val="auto"/>
              </w:rPr>
              <w:t>deficit</w:t>
            </w:r>
          </w:p>
        </w:tc>
        <w:tc>
          <w:tcPr>
            <w:tcW w:w="40" w:type="dxa"/>
            <w:vAlign w:val="bottom"/>
          </w:tcPr>
          <w:p>
            <w:pPr>
              <w:spacing w:after="0"/>
              <w:rPr>
                <w:sz w:val="9"/>
                <w:szCs w:val="9"/>
                <w:color w:val="auto"/>
              </w:rPr>
            </w:pPr>
          </w:p>
        </w:tc>
        <w:tc>
          <w:tcPr>
            <w:tcW w:w="680" w:type="dxa"/>
            <w:vAlign w:val="bottom"/>
            <w:gridSpan w:val="2"/>
          </w:tcPr>
          <w:p>
            <w:pPr>
              <w:jc w:val="center"/>
              <w:ind w:right="80"/>
              <w:spacing w:after="0" w:line="107" w:lineRule="exact"/>
              <w:rPr>
                <w:sz w:val="20"/>
                <w:szCs w:val="20"/>
                <w:color w:val="auto"/>
              </w:rPr>
            </w:pPr>
            <w:r>
              <w:rPr>
                <w:rFonts w:ascii="Times New Roman" w:cs="Times New Roman" w:eastAsia="Times New Roman" w:hAnsi="Times New Roman"/>
                <w:sz w:val="10"/>
                <w:szCs w:val="10"/>
                <w:b w:val="1"/>
                <w:bCs w:val="1"/>
                <w:color w:val="auto"/>
              </w:rPr>
              <w:t>equity</w:t>
            </w:r>
          </w:p>
        </w:tc>
        <w:tc>
          <w:tcPr>
            <w:tcW w:w="40" w:type="dxa"/>
            <w:vAlign w:val="bottom"/>
          </w:tcPr>
          <w:p>
            <w:pPr>
              <w:spacing w:after="0"/>
              <w:rPr>
                <w:sz w:val="9"/>
                <w:szCs w:val="9"/>
                <w:color w:val="auto"/>
              </w:rPr>
            </w:pPr>
          </w:p>
        </w:tc>
        <w:tc>
          <w:tcPr>
            <w:tcW w:w="48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w w:val="99"/>
              </w:rPr>
              <w:t>interests</w:t>
            </w:r>
          </w:p>
        </w:tc>
        <w:tc>
          <w:tcPr>
            <w:tcW w:w="100" w:type="dxa"/>
            <w:vAlign w:val="bottom"/>
          </w:tcPr>
          <w:p>
            <w:pPr>
              <w:spacing w:after="0"/>
              <w:rPr>
                <w:sz w:val="9"/>
                <w:szCs w:val="9"/>
                <w:color w:val="auto"/>
              </w:rPr>
            </w:pPr>
          </w:p>
        </w:tc>
        <w:tc>
          <w:tcPr>
            <w:tcW w:w="680" w:type="dxa"/>
            <w:vAlign w:val="bottom"/>
            <w:gridSpan w:val="2"/>
          </w:tcPr>
          <w:p>
            <w:pPr>
              <w:jc w:val="center"/>
              <w:ind w:right="80"/>
              <w:spacing w:after="0" w:line="107" w:lineRule="exact"/>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 w:type="dxa"/>
            <w:vAlign w:val="bottom"/>
          </w:tcPr>
          <w:p>
            <w:pPr>
              <w:spacing w:after="0"/>
              <w:rPr>
                <w:sz w:val="10"/>
                <w:szCs w:val="10"/>
                <w:color w:val="auto"/>
              </w:rPr>
            </w:pPr>
          </w:p>
        </w:tc>
        <w:tc>
          <w:tcPr>
            <w:tcW w:w="400" w:type="dxa"/>
            <w:vAlign w:val="bottom"/>
          </w:tcPr>
          <w:p>
            <w:pPr>
              <w:jc w:val="right"/>
              <w:ind w:right="18"/>
              <w:spacing w:after="0"/>
              <w:rPr>
                <w:sz w:val="20"/>
                <w:szCs w:val="20"/>
                <w:color w:val="auto"/>
              </w:rPr>
            </w:pPr>
            <w:r>
              <w:rPr>
                <w:rFonts w:ascii="Times New Roman" w:cs="Times New Roman" w:eastAsia="Times New Roman" w:hAnsi="Times New Roman"/>
                <w:sz w:val="10"/>
                <w:szCs w:val="10"/>
                <w:b w:val="1"/>
                <w:bCs w:val="1"/>
                <w:color w:val="auto"/>
              </w:rPr>
              <w:t>RMB</w:t>
            </w:r>
          </w:p>
        </w:tc>
        <w:tc>
          <w:tcPr>
            <w:tcW w:w="8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RMB</w:t>
            </w:r>
          </w:p>
        </w:tc>
        <w:tc>
          <w:tcPr>
            <w:tcW w:w="8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RMB</w:t>
            </w:r>
          </w:p>
        </w:tc>
        <w:tc>
          <w:tcPr>
            <w:tcW w:w="80" w:type="dxa"/>
            <w:vAlign w:val="bottom"/>
          </w:tcPr>
          <w:p>
            <w:pPr>
              <w:spacing w:after="0"/>
              <w:rPr>
                <w:sz w:val="10"/>
                <w:szCs w:val="10"/>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RMB</w:t>
            </w:r>
          </w:p>
        </w:tc>
        <w:tc>
          <w:tcPr>
            <w:tcW w:w="80" w:type="dxa"/>
            <w:vAlign w:val="bottom"/>
          </w:tcPr>
          <w:p>
            <w:pPr>
              <w:spacing w:after="0"/>
              <w:rPr>
                <w:sz w:val="10"/>
                <w:szCs w:val="10"/>
                <w:color w:val="auto"/>
              </w:rPr>
            </w:pP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RMB</w:t>
            </w:r>
          </w:p>
        </w:tc>
        <w:tc>
          <w:tcPr>
            <w:tcW w:w="40" w:type="dxa"/>
            <w:vAlign w:val="bottom"/>
          </w:tcPr>
          <w:p>
            <w:pPr>
              <w:spacing w:after="0"/>
              <w:rPr>
                <w:sz w:val="10"/>
                <w:szCs w:val="10"/>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RMB</w:t>
            </w:r>
          </w:p>
        </w:tc>
        <w:tc>
          <w:tcPr>
            <w:tcW w:w="4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RMB</w:t>
            </w:r>
          </w:p>
        </w:tc>
        <w:tc>
          <w:tcPr>
            <w:tcW w:w="100" w:type="dxa"/>
            <w:vAlign w:val="bottom"/>
          </w:tcPr>
          <w:p>
            <w:pPr>
              <w:spacing w:after="0"/>
              <w:rPr>
                <w:sz w:val="10"/>
                <w:szCs w:val="10"/>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RMB</w:t>
            </w:r>
          </w:p>
        </w:tc>
        <w:tc>
          <w:tcPr>
            <w:tcW w:w="0" w:type="dxa"/>
            <w:vAlign w:val="bottom"/>
          </w:tcPr>
          <w:p>
            <w:pPr>
              <w:spacing w:after="0"/>
              <w:rPr>
                <w:sz w:val="1"/>
                <w:szCs w:val="1"/>
                <w:color w:val="auto"/>
              </w:rPr>
            </w:pPr>
          </w:p>
        </w:tc>
      </w:tr>
      <w:tr>
        <w:trPr>
          <w:trHeight w:val="145"/>
        </w:trPr>
        <w:tc>
          <w:tcPr>
            <w:tcW w:w="1840" w:type="dxa"/>
            <w:vAlign w:val="bottom"/>
            <w:tcBorders>
              <w:top w:val="single" w:sz="8" w:color="CCEEFF"/>
            </w:tcBorders>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Balance as of December 31, 2018</w:t>
            </w:r>
          </w:p>
        </w:tc>
        <w:tc>
          <w:tcPr>
            <w:tcW w:w="2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56,791,800</w:t>
            </w:r>
          </w:p>
        </w:tc>
        <w:tc>
          <w:tcPr>
            <w:tcW w:w="6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35</w:t>
            </w:r>
          </w:p>
        </w:tc>
        <w:tc>
          <w:tcPr>
            <w:tcW w:w="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89,160</w:t>
            </w: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8,849</w:t>
            </w:r>
          </w:p>
        </w:tc>
        <w:tc>
          <w:tcPr>
            <w:tcW w:w="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ind w:left="240"/>
              <w:spacing w:after="0" w:line="146" w:lineRule="exact"/>
              <w:rPr>
                <w:sz w:val="20"/>
                <w:szCs w:val="20"/>
                <w:color w:val="auto"/>
              </w:rPr>
            </w:pPr>
            <w:r>
              <w:rPr>
                <w:rFonts w:ascii="Times New Roman" w:cs="Times New Roman" w:eastAsia="Times New Roman" w:hAnsi="Times New Roman"/>
                <w:sz w:val="13"/>
                <w:szCs w:val="13"/>
                <w:color w:val="auto"/>
                <w:w w:val="92"/>
              </w:rPr>
              <w:t>485</w:t>
            </w: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(644,076)</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(545,547)</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3,230</w:t>
            </w:r>
          </w:p>
        </w:tc>
        <w:tc>
          <w:tcPr>
            <w:tcW w:w="1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(542,317)</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84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280" w:type="dxa"/>
            <w:vAlign w:val="bottom"/>
          </w:tcPr>
          <w:p>
            <w:pPr>
              <w:spacing w:after="0"/>
              <w:rPr>
                <w:sz w:val="13"/>
                <w:szCs w:val="13"/>
                <w:color w:val="auto"/>
              </w:rPr>
            </w:pPr>
          </w:p>
        </w:tc>
        <w:tc>
          <w:tcPr>
            <w:tcW w:w="70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(48,545)</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(48,545)</w:t>
            </w:r>
          </w:p>
        </w:tc>
        <w:tc>
          <w:tcPr>
            <w:tcW w:w="52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w w:val="92"/>
              </w:rPr>
              <w:t>551</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(47,994)</w:t>
            </w:r>
          </w:p>
        </w:tc>
        <w:tc>
          <w:tcPr>
            <w:tcW w:w="0" w:type="dxa"/>
            <w:vAlign w:val="bottom"/>
          </w:tcPr>
          <w:p>
            <w:pPr>
              <w:spacing w:after="0"/>
              <w:rPr>
                <w:sz w:val="1"/>
                <w:szCs w:val="1"/>
                <w:color w:val="auto"/>
              </w:rPr>
            </w:pPr>
          </w:p>
        </w:tc>
      </w:tr>
      <w:tr>
        <w:trPr>
          <w:trHeight w:val="143"/>
        </w:trPr>
        <w:tc>
          <w:tcPr>
            <w:tcW w:w="184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auto"/>
              </w:rPr>
              <w:t>Issuance of ordinary shares for the</w:t>
            </w: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vested restricted share units</w:t>
            </w: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7,207,335</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84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Conversion of convertible</w:t>
            </w: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preferred shares to ordinary</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shares</w:t>
            </w:r>
          </w:p>
        </w:tc>
        <w:tc>
          <w:tcPr>
            <w:tcW w:w="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18</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39,058,101</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678,654</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678,682</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678,682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8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Issuance of Class A ordinary</w:t>
            </w: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shares in connection with initial</w:t>
            </w:r>
          </w:p>
        </w:tc>
        <w:tc>
          <w:tcPr>
            <w:tcW w:w="2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public offering (“IPO”)</w:t>
            </w: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6,400,000</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238,130</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238,134</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238,134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840" w:type="dxa"/>
            <w:vAlign w:val="bottom"/>
          </w:tcPr>
          <w:p>
            <w:pPr>
              <w:spacing w:after="0"/>
              <w:rPr>
                <w:sz w:val="20"/>
                <w:szCs w:val="20"/>
                <w:color w:val="auto"/>
              </w:rPr>
            </w:pPr>
            <w:r>
              <w:rPr>
                <w:rFonts w:ascii="Times New Roman" w:cs="Times New Roman" w:eastAsia="Times New Roman" w:hAnsi="Times New Roman"/>
                <w:sz w:val="13"/>
                <w:szCs w:val="13"/>
                <w:color w:val="auto"/>
              </w:rPr>
              <w:t>Share-based compensation</w:t>
            </w:r>
          </w:p>
        </w:tc>
        <w:tc>
          <w:tcPr>
            <w:tcW w:w="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15</w:t>
            </w:r>
          </w:p>
        </w:tc>
        <w:tc>
          <w:tcPr>
            <w:tcW w:w="70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14,747</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14,747</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14,747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84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auto"/>
              </w:rPr>
              <w:t>Modification of redeemable</w:t>
            </w: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convertible preferred shares</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18</w:t>
            </w:r>
          </w:p>
        </w:tc>
        <w:tc>
          <w:tcPr>
            <w:tcW w:w="7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(9,986)</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(9,986)</w:t>
            </w: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(9,986)</w:t>
            </w:r>
          </w:p>
        </w:tc>
        <w:tc>
          <w:tcPr>
            <w:tcW w:w="0" w:type="dxa"/>
            <w:vAlign w:val="bottom"/>
          </w:tcPr>
          <w:p>
            <w:pPr>
              <w:spacing w:after="0"/>
              <w:rPr>
                <w:sz w:val="1"/>
                <w:szCs w:val="1"/>
                <w:color w:val="auto"/>
              </w:rPr>
            </w:pPr>
          </w:p>
        </w:tc>
      </w:tr>
      <w:tr>
        <w:trPr>
          <w:trHeight w:val="143"/>
        </w:trPr>
        <w:tc>
          <w:tcPr>
            <w:tcW w:w="184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Accretion to redemption value of</w:t>
            </w: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redeemable convertible shares</w:t>
            </w:r>
          </w:p>
        </w:tc>
        <w:tc>
          <w:tcPr>
            <w:tcW w:w="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18</w:t>
            </w:r>
          </w:p>
        </w:tc>
        <w:tc>
          <w:tcPr>
            <w:tcW w:w="70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(17,262)</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(17,262)</w:t>
            </w:r>
          </w:p>
        </w:tc>
        <w:tc>
          <w:tcPr>
            <w:tcW w:w="40" w:type="dxa"/>
            <w:vAlign w:val="bottom"/>
          </w:tcPr>
          <w:p>
            <w:pPr>
              <w:spacing w:after="0"/>
              <w:rPr>
                <w:sz w:val="14"/>
                <w:szCs w:val="14"/>
                <w:color w:val="auto"/>
              </w:rPr>
            </w:pPr>
          </w:p>
        </w:tc>
        <w:tc>
          <w:tcPr>
            <w:tcW w:w="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(17,262)</w:t>
            </w:r>
          </w:p>
        </w:tc>
        <w:tc>
          <w:tcPr>
            <w:tcW w:w="0" w:type="dxa"/>
            <w:vAlign w:val="bottom"/>
          </w:tcPr>
          <w:p>
            <w:pPr>
              <w:spacing w:after="0"/>
              <w:rPr>
                <w:sz w:val="1"/>
                <w:szCs w:val="1"/>
                <w:color w:val="auto"/>
              </w:rPr>
            </w:pPr>
          </w:p>
        </w:tc>
      </w:tr>
      <w:tr>
        <w:trPr>
          <w:trHeight w:val="157"/>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19</w:t>
            </w:r>
          </w:p>
        </w:tc>
        <w:tc>
          <w:tcPr>
            <w:tcW w:w="7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1,346</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1,346</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40" w:type="dxa"/>
            <w:vAlign w:val="bottom"/>
          </w:tcPr>
          <w:p>
            <w:pPr>
              <w:spacing w:after="0"/>
              <w:rPr>
                <w:sz w:val="20"/>
                <w:szCs w:val="20"/>
                <w:color w:val="auto"/>
              </w:rPr>
            </w:pPr>
            <w:r>
              <w:rPr>
                <w:rFonts w:ascii="Times New Roman" w:cs="Times New Roman" w:eastAsia="Times New Roman" w:hAnsi="Times New Roman"/>
                <w:sz w:val="13"/>
                <w:szCs w:val="13"/>
                <w:color w:val="auto"/>
                <w:w w:val="99"/>
              </w:rPr>
              <w:t>Appropriation of statutory reserves</w:t>
            </w:r>
          </w:p>
        </w:tc>
        <w:tc>
          <w:tcPr>
            <w:tcW w:w="280" w:type="dxa"/>
            <w:vAlign w:val="bottom"/>
          </w:tcPr>
          <w:p>
            <w:pPr>
              <w:spacing w:after="0"/>
              <w:rPr>
                <w:sz w:val="13"/>
                <w:szCs w:val="13"/>
                <w:color w:val="auto"/>
              </w:rPr>
            </w:pPr>
          </w:p>
        </w:tc>
        <w:tc>
          <w:tcPr>
            <w:tcW w:w="70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4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2"/>
              </w:rPr>
              <w:t>550</w:t>
            </w:r>
          </w:p>
        </w:tc>
        <w:tc>
          <w:tcPr>
            <w:tcW w:w="8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(550)</w:t>
            </w:r>
          </w:p>
        </w:tc>
        <w:tc>
          <w:tcPr>
            <w:tcW w:w="4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as of December 31, 2019</w:t>
            </w:r>
          </w:p>
        </w:tc>
        <w:tc>
          <w:tcPr>
            <w:tcW w:w="2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109,457,236</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72</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1,020,691</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10,195</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w w:val="95"/>
              </w:rPr>
              <w:t>1,035</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(720,419)</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311,574</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3,781</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315,355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1"/>
        </w:trPr>
        <w:tc>
          <w:tcPr>
            <w:tcW w:w="1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gridSpan w:val="3"/>
          </w:tcPr>
          <w:p>
            <w:pPr>
              <w:jc w:val="right"/>
              <w:ind w:right="519"/>
              <w:spacing w:after="0"/>
              <w:rPr>
                <w:sz w:val="20"/>
                <w:szCs w:val="20"/>
                <w:color w:val="auto"/>
              </w:rPr>
            </w:pPr>
            <w:r>
              <w:rPr>
                <w:rFonts w:ascii="Times New Roman" w:cs="Times New Roman" w:eastAsia="Times New Roman" w:hAnsi="Times New Roman"/>
                <w:sz w:val="13"/>
                <w:szCs w:val="13"/>
                <w:color w:val="auto"/>
              </w:rPr>
              <w:t>F- 9</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8" w:right="1440"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8">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CONSOLIDATED STATEMENTS OF CHANGES IN SHAREHOLDERS’ EQUITY (CONTINUED)</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except for number of shares, per share data and per ADS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9">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5" w:lineRule="exact"/>
        <w:rPr>
          <w:sz w:val="20"/>
          <w:szCs w:val="20"/>
          <w:color w:val="auto"/>
        </w:rPr>
      </w:pPr>
    </w:p>
    <w:tbl>
      <w:tblPr>
        <w:tblLayout w:type="fixed"/>
        <w:tblInd w:w="1680" w:type="dxa"/>
        <w:tblCellMar>
          <w:top w:w="0" w:type="dxa"/>
          <w:left w:w="0" w:type="dxa"/>
          <w:bottom w:w="0" w:type="dxa"/>
          <w:right w:w="0" w:type="dxa"/>
        </w:tblCellMar>
      </w:tblPr>
      <w:tr>
        <w:trPr>
          <w:trHeight w:val="134"/>
        </w:trPr>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Class A ordinary shares</w:t>
            </w:r>
          </w:p>
        </w:tc>
        <w:tc>
          <w:tcPr>
            <w:tcW w:w="80" w:type="dxa"/>
            <w:vAlign w:val="bottom"/>
          </w:tcPr>
          <w:p>
            <w:pPr>
              <w:spacing w:after="0"/>
              <w:rPr>
                <w:sz w:val="11"/>
                <w:szCs w:val="11"/>
                <w:color w:val="auto"/>
              </w:rPr>
            </w:pP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0"/>
                <w:szCs w:val="10"/>
                <w:b w:val="1"/>
                <w:bCs w:val="1"/>
                <w:color w:val="auto"/>
              </w:rPr>
              <w:t>Class B ordinary shares</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9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8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40" w:type="dxa"/>
            <w:vAlign w:val="bottom"/>
          </w:tcPr>
          <w:p>
            <w:pPr>
              <w:spacing w:after="0"/>
              <w:rPr>
                <w:sz w:val="6"/>
                <w:szCs w:val="6"/>
                <w:color w:val="auto"/>
              </w:rPr>
            </w:pPr>
          </w:p>
        </w:tc>
        <w:tc>
          <w:tcPr>
            <w:tcW w:w="5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Non-</w:t>
            </w:r>
          </w:p>
        </w:tc>
        <w:tc>
          <w:tcPr>
            <w:tcW w:w="40" w:type="dxa"/>
            <w:vAlign w:val="bottom"/>
          </w:tcPr>
          <w:p>
            <w:pPr>
              <w:spacing w:after="0"/>
              <w:rPr>
                <w:sz w:val="6"/>
                <w:szCs w:val="6"/>
                <w:color w:val="auto"/>
              </w:rPr>
            </w:pPr>
          </w:p>
        </w:tc>
        <w:tc>
          <w:tcPr>
            <w:tcW w:w="6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107"/>
        </w:trPr>
        <w:tc>
          <w:tcPr>
            <w:tcW w:w="9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center"/>
              <w:ind w:right="80"/>
              <w:spacing w:after="0" w:line="107" w:lineRule="exact"/>
              <w:rPr>
                <w:sz w:val="20"/>
                <w:szCs w:val="20"/>
                <w:color w:val="auto"/>
              </w:rPr>
            </w:pPr>
            <w:r>
              <w:rPr>
                <w:rFonts w:ascii="Times New Roman" w:cs="Times New Roman" w:eastAsia="Times New Roman" w:hAnsi="Times New Roman"/>
                <w:sz w:val="10"/>
                <w:szCs w:val="10"/>
                <w:b w:val="1"/>
                <w:bCs w:val="1"/>
                <w:color w:val="auto"/>
              </w:rPr>
              <w:t>other</w:t>
            </w: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9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Number of</w:t>
            </w:r>
          </w:p>
        </w:tc>
        <w:tc>
          <w:tcPr>
            <w:tcW w:w="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80" w:type="dxa"/>
            <w:vAlign w:val="bottom"/>
          </w:tcPr>
          <w:p>
            <w:pPr>
              <w:spacing w:after="0"/>
              <w:rPr>
                <w:sz w:val="9"/>
                <w:szCs w:val="9"/>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Number of</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60" w:type="dxa"/>
            <w:vAlign w:val="bottom"/>
          </w:tcPr>
          <w:p>
            <w:pPr>
              <w:spacing w:after="0"/>
              <w:rPr>
                <w:sz w:val="9"/>
                <w:szCs w:val="9"/>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paid-in</w:t>
            </w:r>
          </w:p>
        </w:tc>
        <w:tc>
          <w:tcPr>
            <w:tcW w:w="800" w:type="dxa"/>
            <w:vAlign w:val="bottom"/>
            <w:gridSpan w:val="3"/>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comprehensive</w:t>
            </w: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rPr>
              <w:t>Statutory</w:t>
            </w: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720" w:type="dxa"/>
            <w:vAlign w:val="bottom"/>
            <w:gridSpan w:val="3"/>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shareholders’</w:t>
            </w:r>
          </w:p>
        </w:tc>
        <w:tc>
          <w:tcPr>
            <w:tcW w:w="600" w:type="dxa"/>
            <w:vAlign w:val="bottom"/>
            <w:gridSpan w:val="3"/>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controlling</w:t>
            </w:r>
          </w:p>
        </w:tc>
        <w:tc>
          <w:tcPr>
            <w:tcW w:w="720" w:type="dxa"/>
            <w:vAlign w:val="bottom"/>
            <w:gridSpan w:val="3"/>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shareholders’</w:t>
            </w:r>
          </w:p>
        </w:tc>
        <w:tc>
          <w:tcPr>
            <w:tcW w:w="0" w:type="dxa"/>
            <w:vAlign w:val="bottom"/>
          </w:tcPr>
          <w:p>
            <w:pPr>
              <w:spacing w:after="0"/>
              <w:rPr>
                <w:sz w:val="1"/>
                <w:szCs w:val="1"/>
                <w:color w:val="auto"/>
              </w:rPr>
            </w:pPr>
          </w:p>
        </w:tc>
      </w:tr>
      <w:tr>
        <w:trPr>
          <w:trHeight w:val="107"/>
        </w:trPr>
        <w:tc>
          <w:tcPr>
            <w:tcW w:w="960" w:type="dxa"/>
            <w:vAlign w:val="bottom"/>
          </w:tcPr>
          <w:p>
            <w:pPr>
              <w:spacing w:after="0"/>
              <w:rPr>
                <w:sz w:val="9"/>
                <w:szCs w:val="9"/>
                <w:color w:val="auto"/>
              </w:rPr>
            </w:pPr>
          </w:p>
        </w:tc>
        <w:tc>
          <w:tcPr>
            <w:tcW w:w="320" w:type="dxa"/>
            <w:vAlign w:val="bottom"/>
            <w:vMerge w:val="restart"/>
          </w:tcPr>
          <w:p>
            <w:pPr>
              <w:jc w:val="right"/>
              <w:ind w:right="38"/>
              <w:spacing w:after="0"/>
              <w:rPr>
                <w:sz w:val="20"/>
                <w:szCs w:val="20"/>
                <w:color w:val="auto"/>
              </w:rPr>
            </w:pPr>
            <w:r>
              <w:rPr>
                <w:rFonts w:ascii="Times New Roman" w:cs="Times New Roman" w:eastAsia="Times New Roman" w:hAnsi="Times New Roman"/>
                <w:sz w:val="10"/>
                <w:szCs w:val="10"/>
                <w:b w:val="1"/>
                <w:bCs w:val="1"/>
                <w:color w:val="auto"/>
                <w:w w:val="99"/>
              </w:rPr>
              <w:t>Note</w:t>
            </w:r>
          </w:p>
        </w:tc>
        <w:tc>
          <w:tcPr>
            <w:tcW w:w="62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ordinary</w:t>
            </w:r>
          </w:p>
        </w:tc>
        <w:tc>
          <w:tcPr>
            <w:tcW w:w="4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80"/>
              <w:spacing w:after="0" w:line="107" w:lineRule="exact"/>
              <w:rPr>
                <w:sz w:val="20"/>
                <w:szCs w:val="20"/>
                <w:color w:val="auto"/>
              </w:rPr>
            </w:pPr>
            <w:r>
              <w:rPr>
                <w:rFonts w:ascii="Times New Roman" w:cs="Times New Roman" w:eastAsia="Times New Roman" w:hAnsi="Times New Roman"/>
                <w:sz w:val="10"/>
                <w:szCs w:val="10"/>
                <w:b w:val="1"/>
                <w:bCs w:val="1"/>
                <w:color w:val="auto"/>
              </w:rPr>
              <w:t>ordinary</w:t>
            </w:r>
          </w:p>
        </w:tc>
        <w:tc>
          <w:tcPr>
            <w:tcW w:w="4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capital</w:t>
            </w:r>
          </w:p>
        </w:tc>
        <w:tc>
          <w:tcPr>
            <w:tcW w:w="80" w:type="dxa"/>
            <w:vAlign w:val="bottom"/>
          </w:tcPr>
          <w:p>
            <w:pPr>
              <w:spacing w:after="0"/>
              <w:rPr>
                <w:sz w:val="9"/>
                <w:szCs w:val="9"/>
                <w:color w:val="auto"/>
              </w:rPr>
            </w:pPr>
          </w:p>
        </w:tc>
        <w:tc>
          <w:tcPr>
            <w:tcW w:w="720" w:type="dxa"/>
            <w:vAlign w:val="bottom"/>
            <w:gridSpan w:val="2"/>
          </w:tcPr>
          <w:p>
            <w:pPr>
              <w:jc w:val="center"/>
              <w:ind w:right="80"/>
              <w:spacing w:after="0" w:line="107" w:lineRule="exact"/>
              <w:rPr>
                <w:sz w:val="20"/>
                <w:szCs w:val="20"/>
                <w:color w:val="auto"/>
              </w:rPr>
            </w:pPr>
            <w:r>
              <w:rPr>
                <w:rFonts w:ascii="Times New Roman" w:cs="Times New Roman" w:eastAsia="Times New Roman" w:hAnsi="Times New Roman"/>
                <w:sz w:val="10"/>
                <w:szCs w:val="10"/>
                <w:b w:val="1"/>
                <w:bCs w:val="1"/>
                <w:color w:val="auto"/>
              </w:rPr>
              <w:t>income</w:t>
            </w:r>
          </w:p>
        </w:tc>
        <w:tc>
          <w:tcPr>
            <w:tcW w:w="40" w:type="dxa"/>
            <w:vAlign w:val="bottom"/>
          </w:tcPr>
          <w:p>
            <w:pPr>
              <w:spacing w:after="0"/>
              <w:rPr>
                <w:sz w:val="9"/>
                <w:szCs w:val="9"/>
                <w:color w:val="auto"/>
              </w:rPr>
            </w:pPr>
          </w:p>
        </w:tc>
        <w:tc>
          <w:tcPr>
            <w:tcW w:w="44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reserves</w:t>
            </w:r>
          </w:p>
        </w:tc>
        <w:tc>
          <w:tcPr>
            <w:tcW w:w="80" w:type="dxa"/>
            <w:vAlign w:val="bottom"/>
          </w:tcPr>
          <w:p>
            <w:pPr>
              <w:spacing w:after="0"/>
              <w:rPr>
                <w:sz w:val="9"/>
                <w:szCs w:val="9"/>
                <w:color w:val="auto"/>
              </w:rPr>
            </w:pPr>
          </w:p>
        </w:tc>
        <w:tc>
          <w:tcPr>
            <w:tcW w:w="660" w:type="dxa"/>
            <w:vAlign w:val="bottom"/>
            <w:gridSpan w:val="2"/>
          </w:tcPr>
          <w:p>
            <w:pPr>
              <w:jc w:val="center"/>
              <w:ind w:right="100"/>
              <w:spacing w:after="0" w:line="107" w:lineRule="exact"/>
              <w:rPr>
                <w:sz w:val="20"/>
                <w:szCs w:val="20"/>
                <w:color w:val="auto"/>
              </w:rPr>
            </w:pPr>
            <w:r>
              <w:rPr>
                <w:rFonts w:ascii="Times New Roman" w:cs="Times New Roman" w:eastAsia="Times New Roman" w:hAnsi="Times New Roman"/>
                <w:sz w:val="10"/>
                <w:szCs w:val="10"/>
                <w:b w:val="1"/>
                <w:bCs w:val="1"/>
                <w:color w:val="auto"/>
              </w:rPr>
              <w:t>deficit</w:t>
            </w:r>
          </w:p>
        </w:tc>
        <w:tc>
          <w:tcPr>
            <w:tcW w:w="40" w:type="dxa"/>
            <w:vAlign w:val="bottom"/>
          </w:tcPr>
          <w:p>
            <w:pPr>
              <w:spacing w:after="0"/>
              <w:rPr>
                <w:sz w:val="9"/>
                <w:szCs w:val="9"/>
                <w:color w:val="auto"/>
              </w:rPr>
            </w:pPr>
          </w:p>
        </w:tc>
        <w:tc>
          <w:tcPr>
            <w:tcW w:w="680" w:type="dxa"/>
            <w:vAlign w:val="bottom"/>
            <w:gridSpan w:val="2"/>
          </w:tcPr>
          <w:p>
            <w:pPr>
              <w:jc w:val="center"/>
              <w:ind w:right="80"/>
              <w:spacing w:after="0" w:line="107" w:lineRule="exact"/>
              <w:rPr>
                <w:sz w:val="20"/>
                <w:szCs w:val="20"/>
                <w:color w:val="auto"/>
              </w:rPr>
            </w:pPr>
            <w:r>
              <w:rPr>
                <w:rFonts w:ascii="Times New Roman" w:cs="Times New Roman" w:eastAsia="Times New Roman" w:hAnsi="Times New Roman"/>
                <w:sz w:val="10"/>
                <w:szCs w:val="10"/>
                <w:b w:val="1"/>
                <w:bCs w:val="1"/>
                <w:color w:val="auto"/>
              </w:rPr>
              <w:t>equity</w:t>
            </w:r>
          </w:p>
        </w:tc>
        <w:tc>
          <w:tcPr>
            <w:tcW w:w="40" w:type="dxa"/>
            <w:vAlign w:val="bottom"/>
          </w:tcPr>
          <w:p>
            <w:pPr>
              <w:spacing w:after="0"/>
              <w:rPr>
                <w:sz w:val="9"/>
                <w:szCs w:val="9"/>
                <w:color w:val="auto"/>
              </w:rPr>
            </w:pPr>
          </w:p>
        </w:tc>
        <w:tc>
          <w:tcPr>
            <w:tcW w:w="560" w:type="dxa"/>
            <w:vAlign w:val="bottom"/>
            <w:gridSpan w:val="2"/>
          </w:tcPr>
          <w:p>
            <w:pPr>
              <w:jc w:val="center"/>
              <w:ind w:right="80"/>
              <w:spacing w:after="0" w:line="107" w:lineRule="exact"/>
              <w:rPr>
                <w:sz w:val="20"/>
                <w:szCs w:val="20"/>
                <w:color w:val="auto"/>
              </w:rPr>
            </w:pPr>
            <w:r>
              <w:rPr>
                <w:rFonts w:ascii="Times New Roman" w:cs="Times New Roman" w:eastAsia="Times New Roman" w:hAnsi="Times New Roman"/>
                <w:sz w:val="10"/>
                <w:szCs w:val="10"/>
                <w:b w:val="1"/>
                <w:bCs w:val="1"/>
                <w:color w:val="auto"/>
                <w:w w:val="99"/>
              </w:rPr>
              <w:t>interests</w:t>
            </w:r>
          </w:p>
        </w:tc>
        <w:tc>
          <w:tcPr>
            <w:tcW w:w="40" w:type="dxa"/>
            <w:vAlign w:val="bottom"/>
          </w:tcPr>
          <w:p>
            <w:pPr>
              <w:spacing w:after="0"/>
              <w:rPr>
                <w:sz w:val="9"/>
                <w:szCs w:val="9"/>
                <w:color w:val="auto"/>
              </w:rPr>
            </w:pPr>
          </w:p>
        </w:tc>
        <w:tc>
          <w:tcPr>
            <w:tcW w:w="680" w:type="dxa"/>
            <w:vAlign w:val="bottom"/>
            <w:gridSpan w:val="2"/>
          </w:tcPr>
          <w:p>
            <w:pPr>
              <w:jc w:val="center"/>
              <w:ind w:right="80"/>
              <w:spacing w:after="0" w:line="107" w:lineRule="exact"/>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RMB</w:t>
            </w:r>
          </w:p>
        </w:tc>
        <w:tc>
          <w:tcPr>
            <w:tcW w:w="80" w:type="dxa"/>
            <w:vAlign w:val="bottom"/>
          </w:tcPr>
          <w:p>
            <w:pPr>
              <w:spacing w:after="0"/>
              <w:rPr>
                <w:sz w:val="10"/>
                <w:szCs w:val="10"/>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40" w:type="dxa"/>
            <w:vAlign w:val="bottom"/>
          </w:tcPr>
          <w:p>
            <w:pPr>
              <w:spacing w:after="0"/>
              <w:rPr>
                <w:sz w:val="10"/>
                <w:szCs w:val="10"/>
                <w:color w:val="auto"/>
              </w:rPr>
            </w:pPr>
          </w:p>
        </w:tc>
        <w:tc>
          <w:tcPr>
            <w:tcW w:w="380" w:type="dxa"/>
            <w:vAlign w:val="bottom"/>
          </w:tcPr>
          <w:p>
            <w:pPr>
              <w:jc w:val="right"/>
              <w:ind w:right="17"/>
              <w:spacing w:after="0"/>
              <w:rPr>
                <w:sz w:val="20"/>
                <w:szCs w:val="20"/>
                <w:color w:val="auto"/>
              </w:rPr>
            </w:pPr>
            <w:r>
              <w:rPr>
                <w:rFonts w:ascii="Times New Roman" w:cs="Times New Roman" w:eastAsia="Times New Roman" w:hAnsi="Times New Roman"/>
                <w:sz w:val="10"/>
                <w:szCs w:val="10"/>
                <w:b w:val="1"/>
                <w:bCs w:val="1"/>
                <w:color w:val="auto"/>
              </w:rPr>
              <w:t>RMB</w:t>
            </w:r>
          </w:p>
        </w:tc>
        <w:tc>
          <w:tcPr>
            <w:tcW w:w="6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RMB</w:t>
            </w:r>
          </w:p>
        </w:tc>
        <w:tc>
          <w:tcPr>
            <w:tcW w:w="80" w:type="dxa"/>
            <w:vAlign w:val="bottom"/>
          </w:tcPr>
          <w:p>
            <w:pPr>
              <w:spacing w:after="0"/>
              <w:rPr>
                <w:sz w:val="10"/>
                <w:szCs w:val="10"/>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RMB</w:t>
            </w:r>
          </w:p>
        </w:tc>
        <w:tc>
          <w:tcPr>
            <w:tcW w:w="40" w:type="dxa"/>
            <w:vAlign w:val="bottom"/>
          </w:tcPr>
          <w:p>
            <w:pPr>
              <w:spacing w:after="0"/>
              <w:rPr>
                <w:sz w:val="10"/>
                <w:szCs w:val="10"/>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RMB</w:t>
            </w:r>
          </w:p>
        </w:tc>
        <w:tc>
          <w:tcPr>
            <w:tcW w:w="80" w:type="dxa"/>
            <w:vAlign w:val="bottom"/>
          </w:tcPr>
          <w:p>
            <w:pPr>
              <w:spacing w:after="0"/>
              <w:rPr>
                <w:sz w:val="10"/>
                <w:szCs w:val="10"/>
                <w:color w:val="auto"/>
              </w:rPr>
            </w:pP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RMB</w:t>
            </w:r>
          </w:p>
        </w:tc>
        <w:tc>
          <w:tcPr>
            <w:tcW w:w="40" w:type="dxa"/>
            <w:vAlign w:val="bottom"/>
          </w:tcPr>
          <w:p>
            <w:pPr>
              <w:spacing w:after="0"/>
              <w:rPr>
                <w:sz w:val="10"/>
                <w:szCs w:val="10"/>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RMB</w:t>
            </w:r>
          </w:p>
        </w:tc>
        <w:tc>
          <w:tcPr>
            <w:tcW w:w="40" w:type="dxa"/>
            <w:vAlign w:val="bottom"/>
          </w:tcPr>
          <w:p>
            <w:pPr>
              <w:spacing w:after="0"/>
              <w:rPr>
                <w:sz w:val="10"/>
                <w:szCs w:val="10"/>
                <w:color w:val="auto"/>
              </w:rPr>
            </w:pP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RMB</w:t>
            </w:r>
          </w:p>
        </w:tc>
        <w:tc>
          <w:tcPr>
            <w:tcW w:w="40" w:type="dxa"/>
            <w:vAlign w:val="bottom"/>
          </w:tcPr>
          <w:p>
            <w:pPr>
              <w:spacing w:after="0"/>
              <w:rPr>
                <w:sz w:val="10"/>
                <w:szCs w:val="10"/>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RMB</w:t>
            </w:r>
          </w:p>
        </w:tc>
        <w:tc>
          <w:tcPr>
            <w:tcW w:w="0" w:type="dxa"/>
            <w:vAlign w:val="bottom"/>
          </w:tcPr>
          <w:p>
            <w:pPr>
              <w:spacing w:after="0"/>
              <w:rPr>
                <w:sz w:val="1"/>
                <w:szCs w:val="1"/>
                <w:color w:val="auto"/>
              </w:rPr>
            </w:pPr>
          </w:p>
        </w:tc>
      </w:tr>
      <w:tr>
        <w:trPr>
          <w:trHeight w:val="143"/>
        </w:trPr>
        <w:tc>
          <w:tcPr>
            <w:tcW w:w="96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auto"/>
              </w:rPr>
              <w:t>Balance as of</w:t>
            </w: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December 31,</w:t>
            </w:r>
          </w:p>
        </w:tc>
        <w:tc>
          <w:tcPr>
            <w:tcW w:w="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2019</w:t>
            </w:r>
          </w:p>
        </w:tc>
        <w:tc>
          <w:tcPr>
            <w:tcW w:w="3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64,034,573</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45,422,663</w:t>
            </w: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1,020,691</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10,195</w:t>
            </w:r>
          </w:p>
        </w:tc>
        <w:tc>
          <w:tcPr>
            <w:tcW w:w="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center"/>
              <w:ind w:left="120"/>
              <w:spacing w:after="0"/>
              <w:rPr>
                <w:sz w:val="20"/>
                <w:szCs w:val="20"/>
                <w:color w:val="auto"/>
              </w:rPr>
            </w:pPr>
            <w:r>
              <w:rPr>
                <w:rFonts w:ascii="Times New Roman" w:cs="Times New Roman" w:eastAsia="Times New Roman" w:hAnsi="Times New Roman"/>
                <w:sz w:val="13"/>
                <w:szCs w:val="13"/>
                <w:color w:val="auto"/>
              </w:rPr>
              <w:t>1,035</w:t>
            </w: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(720,419)</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311,574</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3,781</w:t>
            </w: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315,355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96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Issuance of Class</w:t>
            </w: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 ordinary</w:t>
            </w: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shares pursuant</w:t>
            </w: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w:t>
            </w: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underwriters’</w:t>
            </w: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exercise of</w:t>
            </w: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over-allotment</w:t>
            </w: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option</w:t>
            </w:r>
          </w:p>
        </w:tc>
        <w:tc>
          <w:tcPr>
            <w:tcW w:w="32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19</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170,062</w:t>
            </w: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3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5,751</w:t>
            </w: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440" w:type="dxa"/>
            <w:vAlign w:val="bottom"/>
          </w:tcPr>
          <w:p>
            <w:pPr>
              <w:jc w:val="center"/>
              <w:ind w:left="98"/>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5,751</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5,751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96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Class B ordinary</w:t>
            </w: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Shares</w:t>
            </w:r>
          </w:p>
        </w:tc>
        <w:tc>
          <w:tcPr>
            <w:tcW w:w="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converted to</w:t>
            </w:r>
          </w:p>
        </w:tc>
        <w:tc>
          <w:tcPr>
            <w:tcW w:w="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Class A</w:t>
            </w:r>
          </w:p>
        </w:tc>
        <w:tc>
          <w:tcPr>
            <w:tcW w:w="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ordinary shares</w:t>
            </w:r>
          </w:p>
        </w:tc>
        <w:tc>
          <w:tcPr>
            <w:tcW w:w="3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430,108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(430,108)</w:t>
            </w:r>
          </w:p>
        </w:tc>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jc w:val="center"/>
              <w:ind w:left="98"/>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96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320" w:type="dxa"/>
            <w:vAlign w:val="bottom"/>
          </w:tcPr>
          <w:p>
            <w:pPr>
              <w:spacing w:after="0"/>
              <w:rPr>
                <w:sz w:val="13"/>
                <w:szCs w:val="13"/>
                <w:color w:val="auto"/>
              </w:rPr>
            </w:pPr>
          </w:p>
        </w:tc>
        <w:tc>
          <w:tcPr>
            <w:tcW w:w="620" w:type="dxa"/>
            <w:vAlign w:val="bottom"/>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3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580" w:type="dxa"/>
            <w:vAlign w:val="bottom"/>
          </w:tcPr>
          <w:p>
            <w:pPr>
              <w:jc w:val="right"/>
              <w:ind w:right="21"/>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440" w:type="dxa"/>
            <w:vAlign w:val="bottom"/>
          </w:tcPr>
          <w:p>
            <w:pPr>
              <w:jc w:val="center"/>
              <w:ind w:left="98"/>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(87,619)</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(87,619)</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(4,422)</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(92,041)</w:t>
            </w:r>
          </w:p>
        </w:tc>
        <w:tc>
          <w:tcPr>
            <w:tcW w:w="0" w:type="dxa"/>
            <w:vAlign w:val="bottom"/>
          </w:tcPr>
          <w:p>
            <w:pPr>
              <w:spacing w:after="0"/>
              <w:rPr>
                <w:sz w:val="1"/>
                <w:szCs w:val="1"/>
                <w:color w:val="auto"/>
              </w:rPr>
            </w:pPr>
          </w:p>
        </w:tc>
      </w:tr>
      <w:tr>
        <w:trPr>
          <w:trHeight w:val="143"/>
        </w:trPr>
        <w:tc>
          <w:tcPr>
            <w:tcW w:w="96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auto"/>
              </w:rPr>
              <w:t>Share-based</w:t>
            </w: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compensation</w:t>
            </w:r>
          </w:p>
        </w:tc>
        <w:tc>
          <w:tcPr>
            <w:tcW w:w="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15</w:t>
            </w:r>
          </w:p>
        </w:tc>
        <w:tc>
          <w:tcPr>
            <w:tcW w:w="6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54,857</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jc w:val="center"/>
              <w:ind w:left="98"/>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54,857</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54,857</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96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Issuance of</w:t>
            </w: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subsidiaries’</w:t>
            </w: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equity to</w:t>
            </w: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non-controlling</w:t>
            </w: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holders</w:t>
            </w:r>
          </w:p>
        </w:tc>
        <w:tc>
          <w:tcPr>
            <w:tcW w:w="320" w:type="dxa"/>
            <w:vAlign w:val="bottom"/>
          </w:tcPr>
          <w:p>
            <w:pPr>
              <w:spacing w:after="0"/>
              <w:rPr>
                <w:sz w:val="14"/>
                <w:szCs w:val="14"/>
                <w:color w:val="auto"/>
              </w:rPr>
            </w:pPr>
          </w:p>
        </w:tc>
        <w:tc>
          <w:tcPr>
            <w:tcW w:w="620" w:type="dxa"/>
            <w:vAlign w:val="bottom"/>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3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580" w:type="dxa"/>
            <w:vAlign w:val="bottom"/>
          </w:tcPr>
          <w:p>
            <w:pPr>
              <w:jc w:val="right"/>
              <w:ind w:right="21"/>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440" w:type="dxa"/>
            <w:vAlign w:val="bottom"/>
          </w:tcPr>
          <w:p>
            <w:pPr>
              <w:jc w:val="center"/>
              <w:ind w:left="98"/>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6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96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Other</w:t>
            </w: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comprehensive</w:t>
            </w:r>
          </w:p>
        </w:tc>
        <w:tc>
          <w:tcPr>
            <w:tcW w:w="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loss</w:t>
            </w:r>
          </w:p>
        </w:tc>
        <w:tc>
          <w:tcPr>
            <w:tcW w:w="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19</w:t>
            </w:r>
          </w:p>
        </w:tc>
        <w:tc>
          <w:tcPr>
            <w:tcW w:w="6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(8,245)</w:t>
            </w: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jc w:val="center"/>
              <w:ind w:left="98"/>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(8,245)</w:t>
            </w:r>
          </w:p>
        </w:tc>
        <w:tc>
          <w:tcPr>
            <w:tcW w:w="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(8,245)</w:t>
            </w:r>
          </w:p>
        </w:tc>
        <w:tc>
          <w:tcPr>
            <w:tcW w:w="0" w:type="dxa"/>
            <w:vAlign w:val="bottom"/>
          </w:tcPr>
          <w:p>
            <w:pPr>
              <w:spacing w:after="0"/>
              <w:rPr>
                <w:sz w:val="1"/>
                <w:szCs w:val="1"/>
                <w:color w:val="auto"/>
              </w:rPr>
            </w:pPr>
          </w:p>
        </w:tc>
      </w:tr>
      <w:tr>
        <w:trPr>
          <w:trHeight w:val="140"/>
        </w:trPr>
        <w:tc>
          <w:tcPr>
            <w:tcW w:w="960" w:type="dxa"/>
            <w:vAlign w:val="bottom"/>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3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9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2020</w:t>
            </w:r>
          </w:p>
        </w:tc>
        <w:tc>
          <w:tcPr>
            <w:tcW w:w="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64,634,743</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44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44,992,555</w:t>
            </w:r>
          </w:p>
        </w:tc>
        <w:tc>
          <w:tcPr>
            <w:tcW w:w="8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28</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1,081,299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1,950</w:t>
            </w:r>
          </w:p>
        </w:tc>
        <w:tc>
          <w:tcPr>
            <w:tcW w:w="60" w:type="dxa"/>
            <w:vAlign w:val="bottom"/>
          </w:tcPr>
          <w:p>
            <w:pPr>
              <w:spacing w:after="0"/>
              <w:rPr>
                <w:sz w:val="15"/>
                <w:szCs w:val="15"/>
                <w:color w:val="auto"/>
              </w:rPr>
            </w:pPr>
          </w:p>
        </w:tc>
        <w:tc>
          <w:tcPr>
            <w:tcW w:w="480" w:type="dxa"/>
            <w:vAlign w:val="bottom"/>
            <w:gridSpan w:val="2"/>
          </w:tcPr>
          <w:p>
            <w:pPr>
              <w:jc w:val="center"/>
              <w:ind w:left="120"/>
              <w:spacing w:after="0"/>
              <w:rPr>
                <w:sz w:val="20"/>
                <w:szCs w:val="20"/>
                <w:color w:val="auto"/>
              </w:rPr>
            </w:pPr>
            <w:r>
              <w:rPr>
                <w:rFonts w:ascii="Times New Roman" w:cs="Times New Roman" w:eastAsia="Times New Roman" w:hAnsi="Times New Roman"/>
                <w:sz w:val="13"/>
                <w:szCs w:val="13"/>
                <w:b w:val="1"/>
                <w:bCs w:val="1"/>
                <w:color w:val="auto"/>
              </w:rPr>
              <w:t>1,035</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(808,038)</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276,318</w:t>
            </w:r>
          </w:p>
        </w:tc>
        <w:tc>
          <w:tcPr>
            <w:tcW w:w="8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1,382</w:t>
            </w:r>
          </w:p>
        </w:tc>
        <w:tc>
          <w:tcPr>
            <w:tcW w:w="6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277,700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3"/>
                <w:szCs w:val="13"/>
                <w:color w:val="auto"/>
              </w:rPr>
              <w:t>F- 10</w:t>
            </w:r>
          </w:p>
        </w:tc>
        <w:tc>
          <w:tcPr>
            <w:tcW w:w="80" w:type="dxa"/>
            <w:vAlign w:val="bottom"/>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8" w:right="1440"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0">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CONSOLIDATED STATEMENTS OF CHANGES IN SHAREHOLDERS’ EQUITY (CONTINUED)</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1">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7" w:lineRule="exact"/>
        <w:rPr>
          <w:sz w:val="20"/>
          <w:szCs w:val="20"/>
          <w:color w:val="auto"/>
        </w:rPr>
      </w:pPr>
    </w:p>
    <w:tbl>
      <w:tblPr>
        <w:tblLayout w:type="fixed"/>
        <w:tblInd w:w="1680" w:type="dxa"/>
        <w:tblCellMar>
          <w:top w:w="0" w:type="dxa"/>
          <w:left w:w="0" w:type="dxa"/>
          <w:bottom w:w="0" w:type="dxa"/>
          <w:right w:w="0" w:type="dxa"/>
        </w:tblCellMar>
      </w:tblPr>
      <w:tr>
        <w:trPr>
          <w:trHeight w:val="119"/>
        </w:trPr>
        <w:tc>
          <w:tcPr>
            <w:tcW w:w="1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9"/>
                <w:szCs w:val="9"/>
                <w:b w:val="1"/>
                <w:bCs w:val="1"/>
                <w:color w:val="auto"/>
                <w:w w:val="97"/>
              </w:rPr>
              <w:t>Class A ordinary shares</w:t>
            </w:r>
          </w:p>
        </w:tc>
        <w:tc>
          <w:tcPr>
            <w:tcW w:w="100" w:type="dxa"/>
            <w:vAlign w:val="bottom"/>
          </w:tcPr>
          <w:p>
            <w:pPr>
              <w:spacing w:after="0"/>
              <w:rPr>
                <w:sz w:val="10"/>
                <w:szCs w:val="10"/>
                <w:color w:val="auto"/>
              </w:rPr>
            </w:pPr>
          </w:p>
        </w:tc>
        <w:tc>
          <w:tcPr>
            <w:tcW w:w="1020" w:type="dxa"/>
            <w:vAlign w:val="bottom"/>
            <w:gridSpan w:val="5"/>
          </w:tcPr>
          <w:p>
            <w:pPr>
              <w:jc w:val="right"/>
              <w:ind w:right="100"/>
              <w:spacing w:after="0"/>
              <w:rPr>
                <w:sz w:val="20"/>
                <w:szCs w:val="20"/>
                <w:color w:val="auto"/>
              </w:rPr>
            </w:pPr>
            <w:r>
              <w:rPr>
                <w:rFonts w:ascii="Times New Roman" w:cs="Times New Roman" w:eastAsia="Times New Roman" w:hAnsi="Times New Roman"/>
                <w:sz w:val="9"/>
                <w:szCs w:val="9"/>
                <w:b w:val="1"/>
                <w:bCs w:val="1"/>
                <w:color w:val="auto"/>
                <w:w w:val="98"/>
              </w:rPr>
              <w:t>Class B ordinary shares</w:t>
            </w: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center"/>
              <w:ind w:right="62"/>
              <w:spacing w:after="0"/>
              <w:rPr>
                <w:sz w:val="20"/>
                <w:szCs w:val="20"/>
                <w:color w:val="auto"/>
              </w:rPr>
            </w:pPr>
            <w:r>
              <w:rPr>
                <w:rFonts w:ascii="Times New Roman" w:cs="Times New Roman" w:eastAsia="Times New Roman" w:hAnsi="Times New Roman"/>
                <w:sz w:val="9"/>
                <w:szCs w:val="9"/>
                <w:b w:val="1"/>
                <w:bCs w:val="1"/>
                <w:color w:val="auto"/>
              </w:rPr>
              <w:t>Accumulated</w:t>
            </w: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4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14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jc w:val="center"/>
              <w:spacing w:after="0" w:line="98" w:lineRule="exact"/>
              <w:rPr>
                <w:sz w:val="20"/>
                <w:szCs w:val="20"/>
                <w:color w:val="auto"/>
              </w:rPr>
            </w:pPr>
            <w:r>
              <w:rPr>
                <w:rFonts w:ascii="Times New Roman" w:cs="Times New Roman" w:eastAsia="Times New Roman" w:hAnsi="Times New Roman"/>
                <w:sz w:val="9"/>
                <w:szCs w:val="9"/>
                <w:b w:val="1"/>
                <w:bCs w:val="1"/>
                <w:color w:val="auto"/>
              </w:rPr>
              <w:t>Additional</w:t>
            </w:r>
          </w:p>
        </w:tc>
        <w:tc>
          <w:tcPr>
            <w:tcW w:w="100" w:type="dxa"/>
            <w:vAlign w:val="bottom"/>
          </w:tcPr>
          <w:p>
            <w:pPr>
              <w:spacing w:after="0"/>
              <w:rPr>
                <w:sz w:val="8"/>
                <w:szCs w:val="8"/>
                <w:color w:val="auto"/>
              </w:rPr>
            </w:pPr>
          </w:p>
        </w:tc>
        <w:tc>
          <w:tcPr>
            <w:tcW w:w="660" w:type="dxa"/>
            <w:vAlign w:val="bottom"/>
            <w:gridSpan w:val="2"/>
          </w:tcPr>
          <w:p>
            <w:pPr>
              <w:jc w:val="center"/>
              <w:ind w:right="62"/>
              <w:spacing w:after="0" w:line="98" w:lineRule="exact"/>
              <w:rPr>
                <w:sz w:val="20"/>
                <w:szCs w:val="20"/>
                <w:color w:val="auto"/>
              </w:rPr>
            </w:pPr>
            <w:r>
              <w:rPr>
                <w:rFonts w:ascii="Times New Roman" w:cs="Times New Roman" w:eastAsia="Times New Roman" w:hAnsi="Times New Roman"/>
                <w:sz w:val="9"/>
                <w:szCs w:val="9"/>
                <w:b w:val="1"/>
                <w:bCs w:val="1"/>
                <w:color w:val="auto"/>
                <w:w w:val="97"/>
              </w:rPr>
              <w:t>other</w:t>
            </w: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gridSpan w:val="2"/>
          </w:tcPr>
          <w:p>
            <w:pPr>
              <w:jc w:val="center"/>
              <w:ind w:right="60"/>
              <w:spacing w:after="0" w:line="98" w:lineRule="exact"/>
              <w:rPr>
                <w:sz w:val="20"/>
                <w:szCs w:val="20"/>
                <w:color w:val="auto"/>
              </w:rPr>
            </w:pPr>
            <w:r>
              <w:rPr>
                <w:rFonts w:ascii="Times New Roman" w:cs="Times New Roman" w:eastAsia="Times New Roman" w:hAnsi="Times New Roman"/>
                <w:sz w:val="9"/>
                <w:szCs w:val="9"/>
                <w:b w:val="1"/>
                <w:bCs w:val="1"/>
                <w:color w:val="auto"/>
                <w:w w:val="97"/>
              </w:rPr>
              <w:t>Total</w:t>
            </w:r>
          </w:p>
        </w:tc>
        <w:tc>
          <w:tcPr>
            <w:tcW w:w="60" w:type="dxa"/>
            <w:vAlign w:val="bottom"/>
          </w:tcPr>
          <w:p>
            <w:pPr>
              <w:spacing w:after="0"/>
              <w:rPr>
                <w:sz w:val="8"/>
                <w:szCs w:val="8"/>
                <w:color w:val="auto"/>
              </w:rPr>
            </w:pPr>
          </w:p>
        </w:tc>
        <w:tc>
          <w:tcPr>
            <w:tcW w:w="420" w:type="dxa"/>
            <w:vAlign w:val="bottom"/>
          </w:tcPr>
          <w:p>
            <w:pPr>
              <w:jc w:val="center"/>
              <w:spacing w:after="0" w:line="98" w:lineRule="exact"/>
              <w:rPr>
                <w:sz w:val="20"/>
                <w:szCs w:val="20"/>
                <w:color w:val="auto"/>
              </w:rPr>
            </w:pPr>
            <w:r>
              <w:rPr>
                <w:rFonts w:ascii="Times New Roman" w:cs="Times New Roman" w:eastAsia="Times New Roman" w:hAnsi="Times New Roman"/>
                <w:sz w:val="9"/>
                <w:szCs w:val="9"/>
                <w:b w:val="1"/>
                <w:bCs w:val="1"/>
                <w:color w:val="auto"/>
                <w:w w:val="94"/>
              </w:rPr>
              <w:t>Non-</w:t>
            </w: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4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gridSpan w:val="2"/>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rPr>
              <w:t>Number of</w:t>
            </w: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Number of</w:t>
            </w: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paid-in</w:t>
            </w: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9"/>
                <w:szCs w:val="9"/>
                <w:b w:val="1"/>
                <w:bCs w:val="1"/>
                <w:color w:val="auto"/>
              </w:rPr>
              <w:t>comprehensive</w:t>
            </w: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9"/>
                <w:szCs w:val="9"/>
                <w:b w:val="1"/>
                <w:bCs w:val="1"/>
                <w:color w:val="auto"/>
              </w:rPr>
              <w:t>Statutory</w:t>
            </w: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9"/>
                <w:szCs w:val="9"/>
                <w:b w:val="1"/>
                <w:bCs w:val="1"/>
                <w:color w:val="auto"/>
              </w:rPr>
              <w:t>Accumulated</w:t>
            </w:r>
          </w:p>
        </w:tc>
        <w:tc>
          <w:tcPr>
            <w:tcW w:w="620" w:type="dxa"/>
            <w:vAlign w:val="bottom"/>
            <w:gridSpan w:val="3"/>
          </w:tcPr>
          <w:p>
            <w:pPr>
              <w:jc w:val="center"/>
              <w:spacing w:after="0"/>
              <w:rPr>
                <w:sz w:val="20"/>
                <w:szCs w:val="20"/>
                <w:color w:val="auto"/>
              </w:rPr>
            </w:pPr>
            <w:r>
              <w:rPr>
                <w:rFonts w:ascii="Times New Roman" w:cs="Times New Roman" w:eastAsia="Times New Roman" w:hAnsi="Times New Roman"/>
                <w:sz w:val="9"/>
                <w:szCs w:val="9"/>
                <w:b w:val="1"/>
                <w:bCs w:val="1"/>
                <w:color w:val="auto"/>
              </w:rPr>
              <w:t>shareholders’</w:t>
            </w:r>
          </w:p>
        </w:tc>
        <w:tc>
          <w:tcPr>
            <w:tcW w:w="480" w:type="dxa"/>
            <w:vAlign w:val="bottom"/>
            <w:gridSpan w:val="2"/>
          </w:tcPr>
          <w:p>
            <w:pPr>
              <w:jc w:val="center"/>
              <w:ind w:left="10"/>
              <w:spacing w:after="0"/>
              <w:rPr>
                <w:sz w:val="20"/>
                <w:szCs w:val="20"/>
                <w:color w:val="auto"/>
              </w:rPr>
            </w:pPr>
            <w:r>
              <w:rPr>
                <w:rFonts w:ascii="Times New Roman" w:cs="Times New Roman" w:eastAsia="Times New Roman" w:hAnsi="Times New Roman"/>
                <w:sz w:val="9"/>
                <w:szCs w:val="9"/>
                <w:b w:val="1"/>
                <w:bCs w:val="1"/>
                <w:color w:val="auto"/>
                <w:w w:val="99"/>
              </w:rPr>
              <w:t>controlling</w:t>
            </w:r>
          </w:p>
        </w:tc>
        <w:tc>
          <w:tcPr>
            <w:tcW w:w="100" w:type="dxa"/>
            <w:vAlign w:val="bottom"/>
          </w:tcPr>
          <w:p>
            <w:pPr>
              <w:spacing w:after="0"/>
              <w:rPr>
                <w:sz w:val="8"/>
                <w:szCs w:val="8"/>
                <w:color w:val="auto"/>
              </w:rPr>
            </w:pPr>
          </w:p>
        </w:tc>
        <w:tc>
          <w:tcPr>
            <w:tcW w:w="58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b w:val="1"/>
                <w:bCs w:val="1"/>
                <w:color w:val="auto"/>
                <w:w w:val="97"/>
              </w:rPr>
              <w:t>Total</w:t>
            </w:r>
          </w:p>
        </w:tc>
        <w:tc>
          <w:tcPr>
            <w:tcW w:w="0" w:type="dxa"/>
            <w:vAlign w:val="bottom"/>
          </w:tcPr>
          <w:p>
            <w:pPr>
              <w:spacing w:after="0"/>
              <w:rPr>
                <w:sz w:val="1"/>
                <w:szCs w:val="1"/>
                <w:color w:val="auto"/>
              </w:rPr>
            </w:pPr>
          </w:p>
        </w:tc>
      </w:tr>
      <w:tr>
        <w:trPr>
          <w:trHeight w:val="97"/>
        </w:trPr>
        <w:tc>
          <w:tcPr>
            <w:tcW w:w="14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gridSpan w:val="2"/>
          </w:tcPr>
          <w:p>
            <w:pPr>
              <w:jc w:val="center"/>
              <w:ind w:right="80"/>
              <w:spacing w:after="0" w:line="98" w:lineRule="exact"/>
              <w:rPr>
                <w:sz w:val="20"/>
                <w:szCs w:val="20"/>
                <w:color w:val="auto"/>
              </w:rPr>
            </w:pPr>
            <w:r>
              <w:rPr>
                <w:rFonts w:ascii="Times New Roman" w:cs="Times New Roman" w:eastAsia="Times New Roman" w:hAnsi="Times New Roman"/>
                <w:sz w:val="9"/>
                <w:szCs w:val="9"/>
                <w:b w:val="1"/>
                <w:bCs w:val="1"/>
                <w:color w:val="auto"/>
              </w:rPr>
              <w:t>ordinary</w:t>
            </w:r>
          </w:p>
        </w:tc>
        <w:tc>
          <w:tcPr>
            <w:tcW w:w="360" w:type="dxa"/>
            <w:vAlign w:val="bottom"/>
            <w:gridSpan w:val="2"/>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Amount</w:t>
            </w:r>
          </w:p>
        </w:tc>
        <w:tc>
          <w:tcPr>
            <w:tcW w:w="100" w:type="dxa"/>
            <w:vAlign w:val="bottom"/>
          </w:tcPr>
          <w:p>
            <w:pPr>
              <w:spacing w:after="0"/>
              <w:rPr>
                <w:sz w:val="8"/>
                <w:szCs w:val="8"/>
                <w:color w:val="auto"/>
              </w:rPr>
            </w:pPr>
          </w:p>
        </w:tc>
        <w:tc>
          <w:tcPr>
            <w:tcW w:w="580" w:type="dxa"/>
            <w:vAlign w:val="bottom"/>
            <w:gridSpan w:val="2"/>
          </w:tcPr>
          <w:p>
            <w:pPr>
              <w:jc w:val="center"/>
              <w:ind w:right="100"/>
              <w:spacing w:after="0" w:line="98" w:lineRule="exact"/>
              <w:rPr>
                <w:sz w:val="20"/>
                <w:szCs w:val="20"/>
                <w:color w:val="auto"/>
              </w:rPr>
            </w:pPr>
            <w:r>
              <w:rPr>
                <w:rFonts w:ascii="Times New Roman" w:cs="Times New Roman" w:eastAsia="Times New Roman" w:hAnsi="Times New Roman"/>
                <w:sz w:val="9"/>
                <w:szCs w:val="9"/>
                <w:b w:val="1"/>
                <w:bCs w:val="1"/>
                <w:color w:val="auto"/>
              </w:rPr>
              <w:t>ordinary</w:t>
            </w:r>
          </w:p>
        </w:tc>
        <w:tc>
          <w:tcPr>
            <w:tcW w:w="440" w:type="dxa"/>
            <w:vAlign w:val="bottom"/>
            <w:gridSpan w:val="3"/>
          </w:tcPr>
          <w:p>
            <w:pPr>
              <w:jc w:val="right"/>
              <w:ind w:right="80"/>
              <w:spacing w:after="0" w:line="98" w:lineRule="exact"/>
              <w:rPr>
                <w:sz w:val="20"/>
                <w:szCs w:val="20"/>
                <w:color w:val="auto"/>
              </w:rPr>
            </w:pPr>
            <w:r>
              <w:rPr>
                <w:rFonts w:ascii="Times New Roman" w:cs="Times New Roman" w:eastAsia="Times New Roman" w:hAnsi="Times New Roman"/>
                <w:sz w:val="9"/>
                <w:szCs w:val="9"/>
                <w:b w:val="1"/>
                <w:bCs w:val="1"/>
                <w:color w:val="auto"/>
              </w:rPr>
              <w:t>Amount</w:t>
            </w:r>
          </w:p>
        </w:tc>
        <w:tc>
          <w:tcPr>
            <w:tcW w:w="60" w:type="dxa"/>
            <w:vAlign w:val="bottom"/>
          </w:tcPr>
          <w:p>
            <w:pPr>
              <w:spacing w:after="0"/>
              <w:rPr>
                <w:sz w:val="8"/>
                <w:szCs w:val="8"/>
                <w:color w:val="auto"/>
              </w:rPr>
            </w:pPr>
          </w:p>
        </w:tc>
        <w:tc>
          <w:tcPr>
            <w:tcW w:w="440" w:type="dxa"/>
            <w:vAlign w:val="bottom"/>
          </w:tcPr>
          <w:p>
            <w:pPr>
              <w:jc w:val="center"/>
              <w:spacing w:after="0" w:line="98" w:lineRule="exact"/>
              <w:rPr>
                <w:sz w:val="20"/>
                <w:szCs w:val="20"/>
                <w:color w:val="auto"/>
              </w:rPr>
            </w:pPr>
            <w:r>
              <w:rPr>
                <w:rFonts w:ascii="Times New Roman" w:cs="Times New Roman" w:eastAsia="Times New Roman" w:hAnsi="Times New Roman"/>
                <w:sz w:val="9"/>
                <w:szCs w:val="9"/>
                <w:b w:val="1"/>
                <w:bCs w:val="1"/>
                <w:color w:val="auto"/>
                <w:w w:val="99"/>
              </w:rPr>
              <w:t>capital</w:t>
            </w:r>
          </w:p>
        </w:tc>
        <w:tc>
          <w:tcPr>
            <w:tcW w:w="100" w:type="dxa"/>
            <w:vAlign w:val="bottom"/>
          </w:tcPr>
          <w:p>
            <w:pPr>
              <w:spacing w:after="0"/>
              <w:rPr>
                <w:sz w:val="8"/>
                <w:szCs w:val="8"/>
                <w:color w:val="auto"/>
              </w:rPr>
            </w:pPr>
          </w:p>
        </w:tc>
        <w:tc>
          <w:tcPr>
            <w:tcW w:w="660" w:type="dxa"/>
            <w:vAlign w:val="bottom"/>
            <w:gridSpan w:val="2"/>
          </w:tcPr>
          <w:p>
            <w:pPr>
              <w:jc w:val="center"/>
              <w:ind w:right="42"/>
              <w:spacing w:after="0" w:line="98" w:lineRule="exact"/>
              <w:rPr>
                <w:sz w:val="20"/>
                <w:szCs w:val="20"/>
                <w:color w:val="auto"/>
              </w:rPr>
            </w:pPr>
            <w:r>
              <w:rPr>
                <w:rFonts w:ascii="Times New Roman" w:cs="Times New Roman" w:eastAsia="Times New Roman" w:hAnsi="Times New Roman"/>
                <w:sz w:val="9"/>
                <w:szCs w:val="9"/>
                <w:b w:val="1"/>
                <w:bCs w:val="1"/>
                <w:color w:val="auto"/>
              </w:rPr>
              <w:t>income (loss)</w:t>
            </w:r>
          </w:p>
        </w:tc>
        <w:tc>
          <w:tcPr>
            <w:tcW w:w="40" w:type="dxa"/>
            <w:vAlign w:val="bottom"/>
          </w:tcPr>
          <w:p>
            <w:pPr>
              <w:spacing w:after="0"/>
              <w:rPr>
                <w:sz w:val="8"/>
                <w:szCs w:val="8"/>
                <w:color w:val="auto"/>
              </w:rPr>
            </w:pPr>
          </w:p>
        </w:tc>
        <w:tc>
          <w:tcPr>
            <w:tcW w:w="380" w:type="dxa"/>
            <w:vAlign w:val="bottom"/>
          </w:tcPr>
          <w:p>
            <w:pPr>
              <w:jc w:val="center"/>
              <w:spacing w:after="0" w:line="98" w:lineRule="exact"/>
              <w:rPr>
                <w:sz w:val="20"/>
                <w:szCs w:val="20"/>
                <w:color w:val="auto"/>
              </w:rPr>
            </w:pPr>
            <w:r>
              <w:rPr>
                <w:rFonts w:ascii="Times New Roman" w:cs="Times New Roman" w:eastAsia="Times New Roman" w:hAnsi="Times New Roman"/>
                <w:sz w:val="9"/>
                <w:szCs w:val="9"/>
                <w:b w:val="1"/>
                <w:bCs w:val="1"/>
                <w:color w:val="auto"/>
              </w:rPr>
              <w:t>reserves</w:t>
            </w:r>
          </w:p>
        </w:tc>
        <w:tc>
          <w:tcPr>
            <w:tcW w:w="80" w:type="dxa"/>
            <w:vAlign w:val="bottom"/>
          </w:tcPr>
          <w:p>
            <w:pPr>
              <w:spacing w:after="0"/>
              <w:rPr>
                <w:sz w:val="8"/>
                <w:szCs w:val="8"/>
                <w:color w:val="auto"/>
              </w:rPr>
            </w:pPr>
          </w:p>
        </w:tc>
        <w:tc>
          <w:tcPr>
            <w:tcW w:w="600" w:type="dxa"/>
            <w:vAlign w:val="bottom"/>
            <w:gridSpan w:val="2"/>
          </w:tcPr>
          <w:p>
            <w:pPr>
              <w:jc w:val="center"/>
              <w:ind w:right="42"/>
              <w:spacing w:after="0" w:line="98" w:lineRule="exact"/>
              <w:rPr>
                <w:sz w:val="20"/>
                <w:szCs w:val="20"/>
                <w:color w:val="auto"/>
              </w:rPr>
            </w:pPr>
            <w:r>
              <w:rPr>
                <w:rFonts w:ascii="Times New Roman" w:cs="Times New Roman" w:eastAsia="Times New Roman" w:hAnsi="Times New Roman"/>
                <w:sz w:val="9"/>
                <w:szCs w:val="9"/>
                <w:b w:val="1"/>
                <w:bCs w:val="1"/>
                <w:color w:val="auto"/>
                <w:w w:val="99"/>
              </w:rPr>
              <w:t>deficit</w:t>
            </w:r>
          </w:p>
        </w:tc>
        <w:tc>
          <w:tcPr>
            <w:tcW w:w="40" w:type="dxa"/>
            <w:vAlign w:val="bottom"/>
          </w:tcPr>
          <w:p>
            <w:pPr>
              <w:spacing w:after="0"/>
              <w:rPr>
                <w:sz w:val="8"/>
                <w:szCs w:val="8"/>
                <w:color w:val="auto"/>
              </w:rPr>
            </w:pPr>
          </w:p>
        </w:tc>
        <w:tc>
          <w:tcPr>
            <w:tcW w:w="580" w:type="dxa"/>
            <w:vAlign w:val="bottom"/>
            <w:gridSpan w:val="2"/>
          </w:tcPr>
          <w:p>
            <w:pPr>
              <w:jc w:val="center"/>
              <w:ind w:right="60"/>
              <w:spacing w:after="0" w:line="98" w:lineRule="exact"/>
              <w:rPr>
                <w:sz w:val="20"/>
                <w:szCs w:val="20"/>
                <w:color w:val="auto"/>
              </w:rPr>
            </w:pPr>
            <w:r>
              <w:rPr>
                <w:rFonts w:ascii="Times New Roman" w:cs="Times New Roman" w:eastAsia="Times New Roman" w:hAnsi="Times New Roman"/>
                <w:sz w:val="9"/>
                <w:szCs w:val="9"/>
                <w:b w:val="1"/>
                <w:bCs w:val="1"/>
                <w:color w:val="auto"/>
                <w:w w:val="99"/>
              </w:rPr>
              <w:t>equity</w:t>
            </w:r>
          </w:p>
        </w:tc>
        <w:tc>
          <w:tcPr>
            <w:tcW w:w="60" w:type="dxa"/>
            <w:vAlign w:val="bottom"/>
          </w:tcPr>
          <w:p>
            <w:pPr>
              <w:spacing w:after="0"/>
              <w:rPr>
                <w:sz w:val="8"/>
                <w:szCs w:val="8"/>
                <w:color w:val="auto"/>
              </w:rPr>
            </w:pPr>
          </w:p>
        </w:tc>
        <w:tc>
          <w:tcPr>
            <w:tcW w:w="420" w:type="dxa"/>
            <w:vAlign w:val="bottom"/>
          </w:tcPr>
          <w:p>
            <w:pPr>
              <w:jc w:val="center"/>
              <w:spacing w:after="0" w:line="98" w:lineRule="exact"/>
              <w:rPr>
                <w:sz w:val="20"/>
                <w:szCs w:val="20"/>
                <w:color w:val="auto"/>
              </w:rPr>
            </w:pPr>
            <w:r>
              <w:rPr>
                <w:rFonts w:ascii="Times New Roman" w:cs="Times New Roman" w:eastAsia="Times New Roman" w:hAnsi="Times New Roman"/>
                <w:sz w:val="9"/>
                <w:szCs w:val="9"/>
                <w:b w:val="1"/>
                <w:bCs w:val="1"/>
                <w:color w:val="auto"/>
              </w:rPr>
              <w:t>interests</w:t>
            </w:r>
          </w:p>
        </w:tc>
        <w:tc>
          <w:tcPr>
            <w:tcW w:w="680" w:type="dxa"/>
            <w:vAlign w:val="bottom"/>
            <w:gridSpan w:val="3"/>
          </w:tcPr>
          <w:p>
            <w:pPr>
              <w:jc w:val="center"/>
              <w:spacing w:after="0" w:line="98" w:lineRule="exact"/>
              <w:rPr>
                <w:sz w:val="20"/>
                <w:szCs w:val="20"/>
                <w:color w:val="auto"/>
              </w:rPr>
            </w:pPr>
            <w:r>
              <w:rPr>
                <w:rFonts w:ascii="Times New Roman" w:cs="Times New Roman" w:eastAsia="Times New Roman" w:hAnsi="Times New Roman"/>
                <w:sz w:val="9"/>
                <w:szCs w:val="9"/>
                <w:b w:val="1"/>
                <w:bCs w:val="1"/>
                <w:color w:val="auto"/>
                <w:w w:val="98"/>
              </w:rPr>
              <w:t>shareholders’</w:t>
            </w:r>
          </w:p>
        </w:tc>
        <w:tc>
          <w:tcPr>
            <w:tcW w:w="0" w:type="dxa"/>
            <w:vAlign w:val="bottom"/>
          </w:tcPr>
          <w:p>
            <w:pPr>
              <w:spacing w:after="0"/>
              <w:rPr>
                <w:sz w:val="1"/>
                <w:szCs w:val="1"/>
                <w:color w:val="auto"/>
              </w:rPr>
            </w:pPr>
          </w:p>
        </w:tc>
      </w:tr>
      <w:tr>
        <w:trPr>
          <w:trHeight w:val="117"/>
        </w:trPr>
        <w:tc>
          <w:tcPr>
            <w:tcW w:w="1480" w:type="dxa"/>
            <w:vAlign w:val="bottom"/>
          </w:tcPr>
          <w:p>
            <w:pPr>
              <w:spacing w:after="0"/>
              <w:rPr>
                <w:sz w:val="10"/>
                <w:szCs w:val="10"/>
                <w:color w:val="auto"/>
              </w:rPr>
            </w:pP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9"/>
                <w:szCs w:val="9"/>
                <w:b w:val="1"/>
                <w:bCs w:val="1"/>
                <w:color w:val="auto"/>
              </w:rPr>
              <w:t>Note</w:t>
            </w: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w w:val="97"/>
              </w:rPr>
              <w:t>shares</w:t>
            </w:r>
          </w:p>
        </w:tc>
        <w:tc>
          <w:tcPr>
            <w:tcW w:w="40" w:type="dxa"/>
            <w:vAlign w:val="bottom"/>
          </w:tcPr>
          <w:p>
            <w:pPr>
              <w:spacing w:after="0"/>
              <w:rPr>
                <w:sz w:val="10"/>
                <w:szCs w:val="10"/>
                <w:color w:val="auto"/>
              </w:rPr>
            </w:pPr>
          </w:p>
        </w:tc>
        <w:tc>
          <w:tcPr>
            <w:tcW w:w="320" w:type="dxa"/>
            <w:vAlign w:val="bottom"/>
          </w:tcPr>
          <w:p>
            <w:pPr>
              <w:jc w:val="right"/>
              <w:ind w:right="9"/>
              <w:spacing w:after="0"/>
              <w:rPr>
                <w:sz w:val="20"/>
                <w:szCs w:val="20"/>
                <w:color w:val="auto"/>
              </w:rPr>
            </w:pPr>
            <w:r>
              <w:rPr>
                <w:rFonts w:ascii="Times New Roman" w:cs="Times New Roman" w:eastAsia="Times New Roman" w:hAnsi="Times New Roman"/>
                <w:sz w:val="9"/>
                <w:szCs w:val="9"/>
                <w:b w:val="1"/>
                <w:bCs w:val="1"/>
                <w:color w:val="auto"/>
              </w:rPr>
              <w:t>RMB</w:t>
            </w:r>
          </w:p>
        </w:tc>
        <w:tc>
          <w:tcPr>
            <w:tcW w:w="100" w:type="dxa"/>
            <w:vAlign w:val="bottom"/>
          </w:tcPr>
          <w:p>
            <w:pPr>
              <w:spacing w:after="0"/>
              <w:rPr>
                <w:sz w:val="10"/>
                <w:szCs w:val="10"/>
                <w:color w:val="auto"/>
              </w:rPr>
            </w:pP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w w:val="97"/>
              </w:rPr>
              <w:t>shares</w:t>
            </w:r>
          </w:p>
        </w:tc>
        <w:tc>
          <w:tcPr>
            <w:tcW w:w="40" w:type="dxa"/>
            <w:vAlign w:val="bottom"/>
          </w:tcPr>
          <w:p>
            <w:pPr>
              <w:spacing w:after="0"/>
              <w:rPr>
                <w:sz w:val="10"/>
                <w:szCs w:val="10"/>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RMB</w:t>
            </w:r>
          </w:p>
        </w:tc>
        <w:tc>
          <w:tcPr>
            <w:tcW w:w="60" w:type="dxa"/>
            <w:vAlign w:val="bottom"/>
          </w:tcPr>
          <w:p>
            <w:pPr>
              <w:spacing w:after="0"/>
              <w:rPr>
                <w:sz w:val="10"/>
                <w:szCs w:val="10"/>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5"/>
              </w:rPr>
              <w:t>RMB</w:t>
            </w:r>
          </w:p>
        </w:tc>
        <w:tc>
          <w:tcPr>
            <w:tcW w:w="100" w:type="dxa"/>
            <w:vAlign w:val="bottom"/>
          </w:tcPr>
          <w:p>
            <w:pPr>
              <w:spacing w:after="0"/>
              <w:rPr>
                <w:sz w:val="10"/>
                <w:szCs w:val="10"/>
                <w:color w:val="auto"/>
              </w:rPr>
            </w:pPr>
          </w:p>
        </w:tc>
        <w:tc>
          <w:tcPr>
            <w:tcW w:w="660" w:type="dxa"/>
            <w:vAlign w:val="bottom"/>
            <w:gridSpan w:val="2"/>
          </w:tcPr>
          <w:p>
            <w:pPr>
              <w:jc w:val="center"/>
              <w:ind w:right="62"/>
              <w:spacing w:after="0"/>
              <w:rPr>
                <w:sz w:val="20"/>
                <w:szCs w:val="20"/>
                <w:color w:val="auto"/>
              </w:rPr>
            </w:pPr>
            <w:r>
              <w:rPr>
                <w:rFonts w:ascii="Times New Roman" w:cs="Times New Roman" w:eastAsia="Times New Roman" w:hAnsi="Times New Roman"/>
                <w:sz w:val="9"/>
                <w:szCs w:val="9"/>
                <w:b w:val="1"/>
                <w:bCs w:val="1"/>
                <w:color w:val="auto"/>
                <w:w w:val="95"/>
              </w:rPr>
              <w:t>RMB</w:t>
            </w:r>
          </w:p>
        </w:tc>
        <w:tc>
          <w:tcPr>
            <w:tcW w:w="40" w:type="dxa"/>
            <w:vAlign w:val="bottom"/>
          </w:tcPr>
          <w:p>
            <w:pPr>
              <w:spacing w:after="0"/>
              <w:rPr>
                <w:sz w:val="10"/>
                <w:szCs w:val="10"/>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RMB</w:t>
            </w:r>
          </w:p>
        </w:tc>
        <w:tc>
          <w:tcPr>
            <w:tcW w:w="80" w:type="dxa"/>
            <w:vAlign w:val="bottom"/>
          </w:tcPr>
          <w:p>
            <w:pPr>
              <w:spacing w:after="0"/>
              <w:rPr>
                <w:sz w:val="10"/>
                <w:szCs w:val="10"/>
                <w:color w:val="auto"/>
              </w:rPr>
            </w:pPr>
          </w:p>
        </w:tc>
        <w:tc>
          <w:tcPr>
            <w:tcW w:w="600" w:type="dxa"/>
            <w:vAlign w:val="bottom"/>
            <w:gridSpan w:val="2"/>
          </w:tcPr>
          <w:p>
            <w:pPr>
              <w:jc w:val="center"/>
              <w:ind w:right="42"/>
              <w:spacing w:after="0"/>
              <w:rPr>
                <w:sz w:val="20"/>
                <w:szCs w:val="20"/>
                <w:color w:val="auto"/>
              </w:rPr>
            </w:pPr>
            <w:r>
              <w:rPr>
                <w:rFonts w:ascii="Times New Roman" w:cs="Times New Roman" w:eastAsia="Times New Roman" w:hAnsi="Times New Roman"/>
                <w:sz w:val="9"/>
                <w:szCs w:val="9"/>
                <w:b w:val="1"/>
                <w:bCs w:val="1"/>
                <w:color w:val="auto"/>
                <w:w w:val="95"/>
              </w:rPr>
              <w:t>RMB</w:t>
            </w:r>
          </w:p>
        </w:tc>
        <w:tc>
          <w:tcPr>
            <w:tcW w:w="40" w:type="dxa"/>
            <w:vAlign w:val="bottom"/>
          </w:tcPr>
          <w:p>
            <w:pPr>
              <w:spacing w:after="0"/>
              <w:rPr>
                <w:sz w:val="10"/>
                <w:szCs w:val="10"/>
                <w:color w:val="auto"/>
              </w:rPr>
            </w:pPr>
          </w:p>
        </w:tc>
        <w:tc>
          <w:tcPr>
            <w:tcW w:w="580" w:type="dxa"/>
            <w:vAlign w:val="bottom"/>
            <w:gridSpan w:val="2"/>
          </w:tcPr>
          <w:p>
            <w:pPr>
              <w:jc w:val="center"/>
              <w:ind w:right="40"/>
              <w:spacing w:after="0"/>
              <w:rPr>
                <w:sz w:val="20"/>
                <w:szCs w:val="20"/>
                <w:color w:val="auto"/>
              </w:rPr>
            </w:pPr>
            <w:r>
              <w:rPr>
                <w:rFonts w:ascii="Times New Roman" w:cs="Times New Roman" w:eastAsia="Times New Roman" w:hAnsi="Times New Roman"/>
                <w:sz w:val="9"/>
                <w:szCs w:val="9"/>
                <w:b w:val="1"/>
                <w:bCs w:val="1"/>
                <w:color w:val="auto"/>
              </w:rPr>
              <w:t>RMB</w:t>
            </w:r>
          </w:p>
        </w:tc>
        <w:tc>
          <w:tcPr>
            <w:tcW w:w="60" w:type="dxa"/>
            <w:vAlign w:val="bottom"/>
          </w:tcPr>
          <w:p>
            <w:pPr>
              <w:spacing w:after="0"/>
              <w:rPr>
                <w:sz w:val="10"/>
                <w:szCs w:val="10"/>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RMB</w:t>
            </w:r>
          </w:p>
        </w:tc>
        <w:tc>
          <w:tcPr>
            <w:tcW w:w="100" w:type="dxa"/>
            <w:vAlign w:val="bottom"/>
          </w:tcPr>
          <w:p>
            <w:pPr>
              <w:spacing w:after="0"/>
              <w:rPr>
                <w:sz w:val="10"/>
                <w:szCs w:val="10"/>
                <w:color w:val="auto"/>
              </w:rPr>
            </w:pPr>
          </w:p>
        </w:tc>
        <w:tc>
          <w:tcPr>
            <w:tcW w:w="58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b w:val="1"/>
                <w:bCs w:val="1"/>
                <w:color w:val="auto"/>
                <w:w w:val="99"/>
              </w:rPr>
              <w:t>equity</w:t>
            </w:r>
          </w:p>
        </w:tc>
        <w:tc>
          <w:tcPr>
            <w:tcW w:w="0" w:type="dxa"/>
            <w:vAlign w:val="bottom"/>
          </w:tcPr>
          <w:p>
            <w:pPr>
              <w:spacing w:after="0"/>
              <w:rPr>
                <w:sz w:val="1"/>
                <w:szCs w:val="1"/>
                <w:color w:val="auto"/>
              </w:rPr>
            </w:pPr>
          </w:p>
        </w:tc>
      </w:tr>
      <w:tr>
        <w:trPr>
          <w:trHeight w:val="156"/>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Balance as of December 31, 2020</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64,634,743</w:t>
            </w:r>
          </w:p>
        </w:tc>
        <w:tc>
          <w:tcPr>
            <w:tcW w:w="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44,992,555</w:t>
            </w: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1,081,299</w:t>
            </w:r>
          </w:p>
        </w:tc>
        <w:tc>
          <w:tcPr>
            <w:tcW w:w="680" w:type="dxa"/>
            <w:vAlign w:val="bottom"/>
            <w:gridSpan w:val="2"/>
            <w:shd w:val="clear" w:color="auto" w:fill="CCEEFF"/>
          </w:tcPr>
          <w:p>
            <w:pPr>
              <w:jc w:val="center"/>
              <w:ind w:left="390"/>
              <w:spacing w:after="0"/>
              <w:rPr>
                <w:sz w:val="20"/>
                <w:szCs w:val="20"/>
                <w:color w:val="auto"/>
              </w:rPr>
            </w:pPr>
            <w:r>
              <w:rPr>
                <w:rFonts w:ascii="Times New Roman" w:cs="Times New Roman" w:eastAsia="Times New Roman" w:hAnsi="Times New Roman"/>
                <w:sz w:val="10"/>
                <w:szCs w:val="10"/>
                <w:color w:val="auto"/>
              </w:rPr>
              <w:t>1,950</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0"/>
                <w:szCs w:val="10"/>
                <w:color w:val="auto"/>
              </w:rPr>
              <w:t>1,035</w:t>
            </w:r>
          </w:p>
        </w:tc>
        <w:tc>
          <w:tcPr>
            <w:tcW w:w="68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0"/>
                <w:szCs w:val="10"/>
                <w:color w:val="auto"/>
              </w:rPr>
              <w:t>(808,038</w:t>
            </w:r>
            <w:r>
              <w:rPr>
                <w:rFonts w:ascii="Times New Roman" w:cs="Times New Roman" w:eastAsia="Times New Roman" w:hAnsi="Times New Roman"/>
                <w:sz w:val="12"/>
                <w:szCs w:val="12"/>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276,318</w:t>
            </w:r>
          </w:p>
        </w:tc>
        <w:tc>
          <w:tcPr>
            <w:tcW w:w="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0"/>
                <w:szCs w:val="10"/>
                <w:color w:val="auto"/>
              </w:rPr>
              <w:t>1,382</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277,700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480" w:type="dxa"/>
            <w:vAlign w:val="bottom"/>
          </w:tcPr>
          <w:p>
            <w:pPr>
              <w:spacing w:after="0"/>
              <w:rPr>
                <w:sz w:val="20"/>
                <w:szCs w:val="20"/>
                <w:color w:val="auto"/>
              </w:rPr>
            </w:pPr>
            <w:r>
              <w:rPr>
                <w:rFonts w:ascii="Times New Roman" w:cs="Times New Roman" w:eastAsia="Times New Roman" w:hAnsi="Times New Roman"/>
                <w:sz w:val="10"/>
                <w:szCs w:val="10"/>
                <w:color w:val="auto"/>
              </w:rPr>
              <w:t>Issuance of Class A ordinary shares</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4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pursuant to a private placement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19</w:t>
            </w:r>
          </w:p>
        </w:tc>
        <w:tc>
          <w:tcPr>
            <w:tcW w:w="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1,230,769</w:t>
            </w:r>
          </w:p>
        </w:tc>
        <w:tc>
          <w:tcPr>
            <w:tcW w:w="60" w:type="dxa"/>
            <w:vAlign w:val="bottom"/>
          </w:tcPr>
          <w:p>
            <w:pPr>
              <w:spacing w:after="0"/>
              <w:rPr>
                <w:sz w:val="12"/>
                <w:szCs w:val="12"/>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256,944</w:t>
            </w:r>
          </w:p>
        </w:tc>
        <w:tc>
          <w:tcPr>
            <w:tcW w:w="100" w:type="dxa"/>
            <w:vAlign w:val="bottom"/>
          </w:tcPr>
          <w:p>
            <w:pPr>
              <w:spacing w:after="0"/>
              <w:rPr>
                <w:sz w:val="12"/>
                <w:szCs w:val="12"/>
                <w:color w:val="auto"/>
              </w:rPr>
            </w:pPr>
          </w:p>
        </w:tc>
        <w:tc>
          <w:tcPr>
            <w:tcW w:w="660" w:type="dxa"/>
            <w:vAlign w:val="bottom"/>
            <w:gridSpan w:val="2"/>
          </w:tcPr>
          <w:p>
            <w:pPr>
              <w:jc w:val="center"/>
              <w:ind w:left="21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380" w:type="dxa"/>
            <w:vAlign w:val="bottom"/>
          </w:tcPr>
          <w:p>
            <w:pPr>
              <w:jc w:val="center"/>
              <w:ind w:left="69"/>
              <w:spacing w:after="0"/>
              <w:rPr>
                <w:sz w:val="20"/>
                <w:szCs w:val="20"/>
                <w:color w:val="auto"/>
              </w:rPr>
            </w:pPr>
            <w:r>
              <w:rPr>
                <w:rFonts w:ascii="Times New Roman" w:cs="Times New Roman" w:eastAsia="Times New Roman" w:hAnsi="Times New Roman"/>
                <w:sz w:val="10"/>
                <w:szCs w:val="10"/>
                <w:color w:val="auto"/>
                <w:w w:val="99"/>
              </w:rPr>
              <w:t>—</w:t>
            </w:r>
          </w:p>
        </w:tc>
        <w:tc>
          <w:tcPr>
            <w:tcW w:w="80" w:type="dxa"/>
            <w:vAlign w:val="bottom"/>
          </w:tcPr>
          <w:p>
            <w:pPr>
              <w:spacing w:after="0"/>
              <w:rPr>
                <w:sz w:val="12"/>
                <w:szCs w:val="12"/>
                <w:color w:val="auto"/>
              </w:rPr>
            </w:pPr>
          </w:p>
        </w:tc>
        <w:tc>
          <w:tcPr>
            <w:tcW w:w="600" w:type="dxa"/>
            <w:vAlign w:val="bottom"/>
            <w:gridSpan w:val="2"/>
          </w:tcPr>
          <w:p>
            <w:pPr>
              <w:jc w:val="right"/>
              <w:ind w:right="10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256,945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center"/>
              <w:ind w:left="150"/>
              <w:spacing w:after="0"/>
              <w:rPr>
                <w:sz w:val="20"/>
                <w:szCs w:val="20"/>
                <w:color w:val="auto"/>
              </w:rPr>
            </w:pPr>
            <w:r>
              <w:rPr>
                <w:rFonts w:ascii="Times New Roman" w:cs="Times New Roman" w:eastAsia="Times New Roman" w:hAnsi="Times New Roman"/>
                <w:sz w:val="10"/>
                <w:szCs w:val="10"/>
                <w:color w:val="auto"/>
                <w:w w:val="99"/>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256,945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Issuance of ordinary shares to the</w:t>
            </w: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depository bank</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19</w:t>
            </w: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2,500,000</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9"/>
        </w:trPr>
        <w:tc>
          <w:tcPr>
            <w:tcW w:w="1480" w:type="dxa"/>
            <w:vAlign w:val="bottom"/>
          </w:tcPr>
          <w:p>
            <w:pPr>
              <w:spacing w:after="0"/>
              <w:rPr>
                <w:sz w:val="20"/>
                <w:szCs w:val="20"/>
                <w:color w:val="auto"/>
              </w:rPr>
            </w:pPr>
            <w:r>
              <w:rPr>
                <w:rFonts w:ascii="Times New Roman" w:cs="Times New Roman" w:eastAsia="Times New Roman" w:hAnsi="Times New Roman"/>
                <w:sz w:val="10"/>
                <w:szCs w:val="10"/>
                <w:color w:val="auto"/>
              </w:rPr>
              <w:t>Issuance of ordinary shares for the</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4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vested restricted share units</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19</w:t>
            </w:r>
          </w:p>
        </w:tc>
        <w:tc>
          <w:tcPr>
            <w:tcW w:w="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3,002,130</w:t>
            </w:r>
          </w:p>
        </w:tc>
        <w:tc>
          <w:tcPr>
            <w:tcW w:w="60" w:type="dxa"/>
            <w:vAlign w:val="bottom"/>
          </w:tcPr>
          <w:p>
            <w:pPr>
              <w:spacing w:after="0"/>
              <w:rPr>
                <w:sz w:val="12"/>
                <w:szCs w:val="12"/>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02"/>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38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0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Settlement of vested restricted</w:t>
            </w: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share</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units with shares held by the</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depositary bank</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19</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(1,914,630)</w:t>
            </w: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9"/>
        </w:trPr>
        <w:tc>
          <w:tcPr>
            <w:tcW w:w="1480" w:type="dxa"/>
            <w:vAlign w:val="bottom"/>
          </w:tcPr>
          <w:p>
            <w:pPr>
              <w:spacing w:after="0"/>
              <w:rPr>
                <w:sz w:val="20"/>
                <w:szCs w:val="20"/>
                <w:color w:val="auto"/>
              </w:rPr>
            </w:pPr>
            <w:r>
              <w:rPr>
                <w:rFonts w:ascii="Times New Roman" w:cs="Times New Roman" w:eastAsia="Times New Roman" w:hAnsi="Times New Roman"/>
                <w:sz w:val="10"/>
                <w:szCs w:val="10"/>
                <w:color w:val="auto"/>
              </w:rPr>
              <w:t>Class B ordinary shares converted</w:t>
            </w:r>
          </w:p>
        </w:tc>
        <w:tc>
          <w:tcPr>
            <w:tcW w:w="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auto"/>
              </w:rPr>
              <w:t>19</w:t>
            </w: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0"/>
                <w:szCs w:val="10"/>
                <w:color w:val="auto"/>
              </w:rPr>
              <w:t>(4,855,995</w:t>
            </w:r>
            <w:r>
              <w:rPr>
                <w:rFonts w:ascii="Times New Roman" w:cs="Times New Roman" w:eastAsia="Times New Roman" w:hAnsi="Times New Roman"/>
                <w:sz w:val="12"/>
                <w:szCs w:val="12"/>
                <w:color w:val="auto"/>
              </w:rPr>
              <w:t>)</w:t>
            </w:r>
          </w:p>
        </w:tc>
        <w:tc>
          <w:tcPr>
            <w:tcW w:w="4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0"/>
                <w:szCs w:val="10"/>
                <w:color w:val="auto"/>
              </w:rPr>
              <w:t>(3</w:t>
            </w: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4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to Class A ordinary shares</w:t>
            </w:r>
          </w:p>
        </w:tc>
        <w:tc>
          <w:tcPr>
            <w:tcW w:w="2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4,855,995</w:t>
            </w:r>
          </w:p>
        </w:tc>
        <w:tc>
          <w:tcPr>
            <w:tcW w:w="60" w:type="dxa"/>
            <w:vAlign w:val="bottom"/>
          </w:tcPr>
          <w:p>
            <w:pPr>
              <w:spacing w:after="0"/>
              <w:rPr>
                <w:sz w:val="12"/>
                <w:szCs w:val="12"/>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680" w:type="dxa"/>
            <w:vAlign w:val="bottom"/>
            <w:gridSpan w:val="3"/>
            <w:vMerge w:val="continue"/>
          </w:tcPr>
          <w:p>
            <w:pPr>
              <w:spacing w:after="0"/>
              <w:rPr>
                <w:sz w:val="12"/>
                <w:szCs w:val="12"/>
                <w:color w:val="auto"/>
              </w:rPr>
            </w:pPr>
          </w:p>
        </w:tc>
        <w:tc>
          <w:tcPr>
            <w:tcW w:w="4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660" w:type="dxa"/>
            <w:vAlign w:val="bottom"/>
            <w:gridSpan w:val="2"/>
          </w:tcPr>
          <w:p>
            <w:pPr>
              <w:jc w:val="center"/>
              <w:ind w:left="21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380" w:type="dxa"/>
            <w:vAlign w:val="bottom"/>
          </w:tcPr>
          <w:p>
            <w:pPr>
              <w:jc w:val="center"/>
              <w:ind w:left="69"/>
              <w:spacing w:after="0"/>
              <w:rPr>
                <w:sz w:val="20"/>
                <w:szCs w:val="20"/>
                <w:color w:val="auto"/>
              </w:rPr>
            </w:pPr>
            <w:r>
              <w:rPr>
                <w:rFonts w:ascii="Times New Roman" w:cs="Times New Roman" w:eastAsia="Times New Roman" w:hAnsi="Times New Roman"/>
                <w:sz w:val="10"/>
                <w:szCs w:val="10"/>
                <w:color w:val="auto"/>
                <w:w w:val="99"/>
              </w:rPr>
              <w:t>—</w:t>
            </w:r>
          </w:p>
        </w:tc>
        <w:tc>
          <w:tcPr>
            <w:tcW w:w="80" w:type="dxa"/>
            <w:vAlign w:val="bottom"/>
          </w:tcPr>
          <w:p>
            <w:pPr>
              <w:spacing w:after="0"/>
              <w:rPr>
                <w:sz w:val="12"/>
                <w:szCs w:val="12"/>
                <w:color w:val="auto"/>
              </w:rPr>
            </w:pPr>
          </w:p>
        </w:tc>
        <w:tc>
          <w:tcPr>
            <w:tcW w:w="600" w:type="dxa"/>
            <w:vAlign w:val="bottom"/>
            <w:gridSpan w:val="2"/>
          </w:tcPr>
          <w:p>
            <w:pPr>
              <w:jc w:val="right"/>
              <w:ind w:right="102"/>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420" w:type="dxa"/>
            <w:vAlign w:val="bottom"/>
          </w:tcPr>
          <w:p>
            <w:pPr>
              <w:jc w:val="center"/>
              <w:ind w:left="150"/>
              <w:spacing w:after="0"/>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56"/>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loss</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jc w:val="center"/>
              <w:ind w:left="69"/>
              <w:spacing w:after="0"/>
              <w:rPr>
                <w:sz w:val="20"/>
                <w:szCs w:val="20"/>
                <w:color w:val="auto"/>
              </w:rPr>
            </w:pPr>
            <w:r>
              <w:rPr>
                <w:rFonts w:ascii="Times New Roman" w:cs="Times New Roman" w:eastAsia="Times New Roman" w:hAnsi="Times New Roman"/>
                <w:sz w:val="10"/>
                <w:szCs w:val="10"/>
                <w:color w:val="auto"/>
                <w:w w:val="99"/>
              </w:rPr>
              <w:t>—</w:t>
            </w:r>
          </w:p>
        </w:tc>
        <w:tc>
          <w:tcPr>
            <w:tcW w:w="68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0"/>
                <w:szCs w:val="10"/>
                <w:color w:val="auto"/>
              </w:rPr>
              <w:t>(313,959</w:t>
            </w:r>
            <w:r>
              <w:rPr>
                <w:rFonts w:ascii="Times New Roman" w:cs="Times New Roman" w:eastAsia="Times New Roman" w:hAnsi="Times New Roman"/>
                <w:sz w:val="12"/>
                <w:szCs w:val="12"/>
                <w:color w:val="auto"/>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(313,959</w:t>
            </w: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(313,896</w:t>
            </w: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6"/>
        </w:trPr>
        <w:tc>
          <w:tcPr>
            <w:tcW w:w="1480" w:type="dxa"/>
            <w:vAlign w:val="bottom"/>
          </w:tcPr>
          <w:p>
            <w:pPr>
              <w:spacing w:after="0"/>
              <w:rPr>
                <w:sz w:val="20"/>
                <w:szCs w:val="20"/>
                <w:color w:val="auto"/>
              </w:rPr>
            </w:pPr>
            <w:r>
              <w:rPr>
                <w:rFonts w:ascii="Times New Roman" w:cs="Times New Roman" w:eastAsia="Times New Roman" w:hAnsi="Times New Roman"/>
                <w:sz w:val="10"/>
                <w:szCs w:val="10"/>
                <w:color w:val="auto"/>
              </w:rPr>
              <w:t>Share-based compensation</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15</w:t>
            </w:r>
          </w:p>
        </w:tc>
        <w:tc>
          <w:tcPr>
            <w:tcW w:w="4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3"/>
                <w:szCs w:val="13"/>
                <w:color w:val="auto"/>
              </w:rPr>
            </w:pPr>
          </w:p>
        </w:tc>
        <w:tc>
          <w:tcPr>
            <w:tcW w:w="32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3"/>
                <w:szCs w:val="13"/>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121,131</w:t>
            </w:r>
          </w:p>
        </w:tc>
        <w:tc>
          <w:tcPr>
            <w:tcW w:w="100" w:type="dxa"/>
            <w:vAlign w:val="bottom"/>
          </w:tcPr>
          <w:p>
            <w:pPr>
              <w:spacing w:after="0"/>
              <w:rPr>
                <w:sz w:val="13"/>
                <w:szCs w:val="13"/>
                <w:color w:val="auto"/>
              </w:rPr>
            </w:pPr>
          </w:p>
        </w:tc>
        <w:tc>
          <w:tcPr>
            <w:tcW w:w="660" w:type="dxa"/>
            <w:vAlign w:val="bottom"/>
            <w:gridSpan w:val="2"/>
          </w:tcPr>
          <w:p>
            <w:pPr>
              <w:jc w:val="center"/>
              <w:ind w:left="21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3"/>
                <w:szCs w:val="13"/>
                <w:color w:val="auto"/>
              </w:rPr>
            </w:pPr>
          </w:p>
        </w:tc>
        <w:tc>
          <w:tcPr>
            <w:tcW w:w="380" w:type="dxa"/>
            <w:vAlign w:val="bottom"/>
          </w:tcPr>
          <w:p>
            <w:pPr>
              <w:jc w:val="center"/>
              <w:ind w:left="69"/>
              <w:spacing w:after="0"/>
              <w:rPr>
                <w:sz w:val="20"/>
                <w:szCs w:val="20"/>
                <w:color w:val="auto"/>
              </w:rPr>
            </w:pPr>
            <w:r>
              <w:rPr>
                <w:rFonts w:ascii="Times New Roman" w:cs="Times New Roman" w:eastAsia="Times New Roman" w:hAnsi="Times New Roman"/>
                <w:sz w:val="10"/>
                <w:szCs w:val="10"/>
                <w:color w:val="auto"/>
                <w:w w:val="99"/>
              </w:rPr>
              <w:t>—</w:t>
            </w:r>
          </w:p>
        </w:tc>
        <w:tc>
          <w:tcPr>
            <w:tcW w:w="80" w:type="dxa"/>
            <w:vAlign w:val="bottom"/>
          </w:tcPr>
          <w:p>
            <w:pPr>
              <w:spacing w:after="0"/>
              <w:rPr>
                <w:sz w:val="13"/>
                <w:szCs w:val="13"/>
                <w:color w:val="auto"/>
              </w:rPr>
            </w:pPr>
          </w:p>
        </w:tc>
        <w:tc>
          <w:tcPr>
            <w:tcW w:w="600" w:type="dxa"/>
            <w:vAlign w:val="bottom"/>
            <w:gridSpan w:val="2"/>
          </w:tcPr>
          <w:p>
            <w:pPr>
              <w:jc w:val="right"/>
              <w:ind w:right="10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121,131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center"/>
              <w:ind w:left="150"/>
              <w:spacing w:after="0"/>
              <w:rPr>
                <w:sz w:val="20"/>
                <w:szCs w:val="20"/>
                <w:color w:val="auto"/>
              </w:rPr>
            </w:pPr>
            <w:r>
              <w:rPr>
                <w:rFonts w:ascii="Times New Roman" w:cs="Times New Roman" w:eastAsia="Times New Roman" w:hAnsi="Times New Roman"/>
                <w:sz w:val="10"/>
                <w:szCs w:val="10"/>
                <w:color w:val="auto"/>
                <w:w w:val="99"/>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121,131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comprehensive loss</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19</w:t>
            </w:r>
          </w:p>
        </w:tc>
        <w:tc>
          <w:tcPr>
            <w:tcW w:w="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3"/>
            <w:shd w:val="clear" w:color="auto" w:fill="CCEEFF"/>
          </w:tcPr>
          <w:p>
            <w:pPr>
              <w:jc w:val="center"/>
              <w:ind w:left="310"/>
              <w:spacing w:after="0"/>
              <w:rPr>
                <w:sz w:val="20"/>
                <w:szCs w:val="20"/>
                <w:color w:val="auto"/>
              </w:rPr>
            </w:pPr>
            <w:r>
              <w:rPr>
                <w:rFonts w:ascii="Times New Roman" w:cs="Times New Roman" w:eastAsia="Times New Roman" w:hAnsi="Times New Roman"/>
                <w:sz w:val="10"/>
                <w:szCs w:val="10"/>
                <w:color w:val="auto"/>
              </w:rPr>
              <w:t>(7,836</w:t>
            </w: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jc w:val="center"/>
              <w:ind w:left="69"/>
              <w:spacing w:after="0"/>
              <w:rPr>
                <w:sz w:val="20"/>
                <w:szCs w:val="20"/>
                <w:color w:val="auto"/>
              </w:rPr>
            </w:pPr>
            <w:r>
              <w:rPr>
                <w:rFonts w:ascii="Times New Roman" w:cs="Times New Roman" w:eastAsia="Times New Roman" w:hAnsi="Times New Roman"/>
                <w:sz w:val="10"/>
                <w:szCs w:val="10"/>
                <w:color w:val="auto"/>
                <w:w w:val="99"/>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(7,836</w:t>
            </w: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0"/>
                <w:szCs w:val="10"/>
                <w:color w:val="auto"/>
                <w:w w:val="99"/>
              </w:rPr>
              <w:t>—</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(7,836</w:t>
            </w: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6"/>
        </w:trPr>
        <w:tc>
          <w:tcPr>
            <w:tcW w:w="1480" w:type="dxa"/>
            <w:vAlign w:val="bottom"/>
          </w:tcPr>
          <w:p>
            <w:pPr>
              <w:spacing w:after="0"/>
              <w:rPr>
                <w:sz w:val="20"/>
                <w:szCs w:val="20"/>
                <w:color w:val="auto"/>
              </w:rPr>
            </w:pPr>
            <w:r>
              <w:rPr>
                <w:rFonts w:ascii="Times New Roman" w:cs="Times New Roman" w:eastAsia="Times New Roman" w:hAnsi="Times New Roman"/>
                <w:sz w:val="10"/>
                <w:szCs w:val="10"/>
                <w:color w:val="auto"/>
              </w:rPr>
              <w:t>Appropriation of statutory reserve</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3"/>
                <w:szCs w:val="13"/>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3"/>
                <w:szCs w:val="13"/>
                <w:color w:val="auto"/>
              </w:rPr>
            </w:pPr>
          </w:p>
        </w:tc>
        <w:tc>
          <w:tcPr>
            <w:tcW w:w="580" w:type="dxa"/>
            <w:vAlign w:val="bottom"/>
          </w:tcPr>
          <w:p>
            <w:pPr>
              <w:jc w:val="center"/>
              <w:ind w:left="29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ind w:left="220"/>
              <w:spacing w:after="0"/>
              <w:rPr>
                <w:sz w:val="20"/>
                <w:szCs w:val="20"/>
                <w:color w:val="auto"/>
              </w:rPr>
            </w:pPr>
            <w:r>
              <w:rPr>
                <w:rFonts w:ascii="Times New Roman" w:cs="Times New Roman" w:eastAsia="Times New Roman" w:hAnsi="Times New Roman"/>
                <w:sz w:val="10"/>
                <w:szCs w:val="10"/>
                <w:color w:val="auto"/>
                <w:w w:val="93"/>
              </w:rPr>
              <w:t>156</w:t>
            </w:r>
          </w:p>
        </w:tc>
        <w:tc>
          <w:tcPr>
            <w:tcW w:w="80" w:type="dxa"/>
            <w:vAlign w:val="bottom"/>
          </w:tcPr>
          <w:p>
            <w:pPr>
              <w:spacing w:after="0"/>
              <w:rPr>
                <w:sz w:val="13"/>
                <w:szCs w:val="13"/>
                <w:color w:val="auto"/>
              </w:rPr>
            </w:pP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0"/>
                <w:szCs w:val="10"/>
                <w:color w:val="auto"/>
              </w:rPr>
              <w:t>(156</w:t>
            </w: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420" w:type="dxa"/>
            <w:vAlign w:val="bottom"/>
          </w:tcPr>
          <w:p>
            <w:pPr>
              <w:jc w:val="center"/>
              <w:ind w:left="150"/>
              <w:spacing w:after="0"/>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64"/>
        </w:trPr>
        <w:tc>
          <w:tcPr>
            <w:tcW w:w="1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Balance as of December 31, 2021</w:t>
            </w: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74,309,007</w:t>
            </w: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50</w:t>
            </w: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40,136,560</w:t>
            </w: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25</w:t>
            </w: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1,459,374</w:t>
            </w:r>
          </w:p>
        </w:tc>
        <w:tc>
          <w:tcPr>
            <w:tcW w:w="1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(5,886</w:t>
            </w:r>
          </w:p>
        </w:tc>
        <w:tc>
          <w:tcPr>
            <w:tcW w:w="80" w:type="dxa"/>
            <w:vAlign w:val="bottom"/>
            <w:tcBorders>
              <w:top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8"/>
                <w:szCs w:val="8"/>
                <w:b w:val="1"/>
                <w:bCs w:val="1"/>
                <w:color w:val="auto"/>
                <w:w w:val="73"/>
                <w:shd w:val="clear" w:color="auto" w:fill="CCEEFF"/>
              </w:rPr>
              <w:t>)</w:t>
            </w:r>
          </w:p>
        </w:tc>
        <w:tc>
          <w:tcPr>
            <w:tcW w:w="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center"/>
              <w:ind w:left="89"/>
              <w:spacing w:after="0"/>
              <w:rPr>
                <w:sz w:val="20"/>
                <w:szCs w:val="20"/>
                <w:color w:val="auto"/>
              </w:rPr>
            </w:pPr>
            <w:r>
              <w:rPr>
                <w:rFonts w:ascii="Times New Roman" w:cs="Times New Roman" w:eastAsia="Times New Roman" w:hAnsi="Times New Roman"/>
                <w:sz w:val="10"/>
                <w:szCs w:val="10"/>
                <w:b w:val="1"/>
                <w:bCs w:val="1"/>
                <w:color w:val="auto"/>
              </w:rPr>
              <w:t>1,191</w:t>
            </w:r>
          </w:p>
        </w:tc>
        <w:tc>
          <w:tcPr>
            <w:tcW w:w="8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(1,122,153</w:t>
            </w:r>
          </w:p>
        </w:tc>
        <w:tc>
          <w:tcPr>
            <w:tcW w:w="80" w:type="dxa"/>
            <w:vAlign w:val="bottom"/>
            <w:tcBorders>
              <w:top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8"/>
                <w:szCs w:val="8"/>
                <w:b w:val="1"/>
                <w:bCs w:val="1"/>
                <w:color w:val="auto"/>
                <w:w w:val="73"/>
                <w:shd w:val="clear" w:color="auto" w:fill="CCEEFF"/>
              </w:rPr>
              <w:t>)</w:t>
            </w:r>
          </w:p>
        </w:tc>
        <w:tc>
          <w:tcPr>
            <w:tcW w:w="4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332,601</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center"/>
              <w:ind w:left="130"/>
              <w:spacing w:after="0"/>
              <w:rPr>
                <w:sz w:val="20"/>
                <w:szCs w:val="20"/>
                <w:color w:val="auto"/>
              </w:rPr>
            </w:pPr>
            <w:r>
              <w:rPr>
                <w:rFonts w:ascii="Times New Roman" w:cs="Times New Roman" w:eastAsia="Times New Roman" w:hAnsi="Times New Roman"/>
                <w:sz w:val="10"/>
                <w:szCs w:val="10"/>
                <w:b w:val="1"/>
                <w:bCs w:val="1"/>
                <w:color w:val="auto"/>
              </w:rPr>
              <w:t>1,445</w:t>
            </w:r>
          </w:p>
        </w:tc>
        <w:tc>
          <w:tcPr>
            <w:tcW w:w="1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334,046</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4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Balance as of December 31, 2021</w:t>
            </w:r>
          </w:p>
        </w:tc>
        <w:tc>
          <w:tcPr>
            <w:tcW w:w="280" w:type="dxa"/>
            <w:vAlign w:val="bottom"/>
            <w:gridSpan w:val="3"/>
          </w:tcPr>
          <w:p>
            <w:pPr>
              <w:ind w:left="40"/>
              <w:spacing w:after="0" w:line="112" w:lineRule="exact"/>
              <w:rPr>
                <w:sz w:val="20"/>
                <w:szCs w:val="20"/>
                <w:color w:val="auto"/>
              </w:rPr>
            </w:pPr>
            <w:r>
              <w:rPr>
                <w:rFonts w:ascii="Calibri" w:cs="Calibri" w:eastAsia="Calibri" w:hAnsi="Calibri"/>
                <w:sz w:val="10"/>
                <w:szCs w:val="10"/>
                <w:b w:val="1"/>
                <w:bCs w:val="1"/>
                <w:color w:val="auto"/>
              </w:rPr>
              <w:t>2(e)</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vMerge w:val="restart"/>
          </w:tcPr>
          <w:p>
            <w:pPr>
              <w:spacing w:after="0"/>
              <w:rPr>
                <w:sz w:val="11"/>
                <w:szCs w:val="11"/>
                <w:color w:val="auto"/>
              </w:rPr>
            </w:pPr>
          </w:p>
        </w:tc>
        <w:tc>
          <w:tcPr>
            <w:tcW w:w="66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0"/>
                <w:szCs w:val="10"/>
                <w:b w:val="1"/>
                <w:bCs w:val="1"/>
                <w:color w:val="auto"/>
              </w:rPr>
              <w:t>(924</w:t>
            </w:r>
            <w:r>
              <w:rPr>
                <w:rFonts w:ascii="Times New Roman" w:cs="Times New Roman" w:eastAsia="Times New Roman" w:hAnsi="Times New Roman"/>
                <w:sz w:val="12"/>
                <w:szCs w:val="12"/>
                <w:b w:val="1"/>
                <w:bCs w:val="1"/>
                <w:color w:val="auto"/>
              </w:rPr>
              <w:t>)</w:t>
            </w: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3"/>
            <w:vMerge w:val="restart"/>
          </w:tcPr>
          <w:p>
            <w:pPr>
              <w:jc w:val="right"/>
              <w:ind w:right="2"/>
              <w:spacing w:after="0"/>
              <w:rPr>
                <w:sz w:val="20"/>
                <w:szCs w:val="20"/>
                <w:color w:val="auto"/>
              </w:rPr>
            </w:pPr>
            <w:r>
              <w:rPr>
                <w:rFonts w:ascii="Times New Roman" w:cs="Times New Roman" w:eastAsia="Times New Roman" w:hAnsi="Times New Roman"/>
                <w:sz w:val="10"/>
                <w:szCs w:val="10"/>
                <w:b w:val="1"/>
                <w:bCs w:val="1"/>
                <w:color w:val="auto"/>
              </w:rPr>
              <w:t>(176,090</w:t>
            </w:r>
            <w:r>
              <w:rPr>
                <w:rFonts w:ascii="Times New Roman" w:cs="Times New Roman" w:eastAsia="Times New Roman" w:hAnsi="Times New Roman"/>
                <w:sz w:val="12"/>
                <w:szCs w:val="12"/>
                <w:b w:val="1"/>
                <w:bCs w:val="1"/>
                <w:color w:val="auto"/>
              </w:rPr>
              <w:t>)</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480" w:type="dxa"/>
            <w:vAlign w:val="bottom"/>
          </w:tcPr>
          <w:p>
            <w:pPr>
              <w:ind w:left="120"/>
              <w:spacing w:after="0"/>
              <w:rPr>
                <w:sz w:val="20"/>
                <w:szCs w:val="20"/>
                <w:color w:val="auto"/>
              </w:rPr>
            </w:pPr>
            <w:r>
              <w:rPr>
                <w:rFonts w:ascii="Times New Roman" w:cs="Times New Roman" w:eastAsia="Times New Roman" w:hAnsi="Times New Roman"/>
                <w:sz w:val="10"/>
                <w:szCs w:val="10"/>
                <w:b w:val="1"/>
                <w:bCs w:val="1"/>
                <w:color w:val="auto"/>
              </w:rPr>
              <w:t>(US$)</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74,309,007</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8</w:t>
            </w: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40,136,560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229,008</w:t>
            </w:r>
          </w:p>
        </w:tc>
        <w:tc>
          <w:tcPr>
            <w:tcW w:w="100" w:type="dxa"/>
            <w:vAlign w:val="bottom"/>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10"/>
                <w:szCs w:val="10"/>
                <w:b w:val="1"/>
                <w:bCs w:val="1"/>
                <w:color w:val="auto"/>
                <w:w w:val="93"/>
              </w:rPr>
              <w:t>187</w:t>
            </w:r>
          </w:p>
        </w:tc>
        <w:tc>
          <w:tcPr>
            <w:tcW w:w="680" w:type="dxa"/>
            <w:vAlign w:val="bottom"/>
            <w:gridSpan w:val="3"/>
            <w:vMerge w:val="continue"/>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52,193</w:t>
            </w:r>
          </w:p>
        </w:tc>
        <w:tc>
          <w:tcPr>
            <w:tcW w:w="40" w:type="dxa"/>
            <w:vAlign w:val="bottom"/>
          </w:tcPr>
          <w:p>
            <w:pPr>
              <w:spacing w:after="0"/>
              <w:rPr>
                <w:sz w:val="13"/>
                <w:szCs w:val="13"/>
                <w:color w:val="auto"/>
              </w:rPr>
            </w:pPr>
          </w:p>
        </w:tc>
        <w:tc>
          <w:tcPr>
            <w:tcW w:w="480" w:type="dxa"/>
            <w:vAlign w:val="bottom"/>
            <w:gridSpan w:val="2"/>
          </w:tcPr>
          <w:p>
            <w:pPr>
              <w:ind w:left="320"/>
              <w:spacing w:after="0"/>
              <w:rPr>
                <w:sz w:val="20"/>
                <w:szCs w:val="20"/>
                <w:color w:val="auto"/>
              </w:rPr>
            </w:pPr>
            <w:r>
              <w:rPr>
                <w:rFonts w:ascii="Times New Roman" w:cs="Times New Roman" w:eastAsia="Times New Roman" w:hAnsi="Times New Roman"/>
                <w:sz w:val="10"/>
                <w:szCs w:val="10"/>
                <w:b w:val="1"/>
                <w:bCs w:val="1"/>
                <w:color w:val="auto"/>
                <w:w w:val="93"/>
              </w:rPr>
              <w:t>227</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52,420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p>
    <w:p>
      <w:pPr>
        <w:spacing w:after="0" w:line="11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color w:val="auto"/>
        </w:rPr>
        <w:t>F- 11</w:t>
      </w:r>
    </w:p>
    <w:p>
      <w:pPr>
        <w:sectPr>
          <w:pgSz w:w="11900" w:h="16838" w:orient="portrait"/>
          <w:cols w:equalWidth="0" w:num="1">
            <w:col w:w="10159"/>
          </w:cols>
          <w:pgMar w:left="300" w:top="388" w:right="1440"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2">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EHANG HOLDING LIMITED CONSOLIDATED STATEMENTS OF CASH FLOWS</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3">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272" w:lineRule="exact"/>
        <w:rPr>
          <w:sz w:val="20"/>
          <w:szCs w:val="20"/>
          <w:color w:val="auto"/>
        </w:rPr>
      </w:pPr>
    </w:p>
    <w:tbl>
      <w:tblPr>
        <w:tblLayout w:type="fixed"/>
        <w:tblInd w:w="1680" w:type="dxa"/>
        <w:tblCellMar>
          <w:top w:w="0" w:type="dxa"/>
          <w:left w:w="0" w:type="dxa"/>
          <w:bottom w:w="0" w:type="dxa"/>
          <w:right w:w="0" w:type="dxa"/>
        </w:tblCellMar>
      </w:tblPr>
      <w:tr>
        <w:trPr>
          <w:trHeight w:val="124"/>
        </w:trPr>
        <w:tc>
          <w:tcPr>
            <w:tcW w:w="3800" w:type="dxa"/>
            <w:vAlign w:val="bottom"/>
          </w:tcPr>
          <w:p>
            <w:pPr>
              <w:spacing w:after="0"/>
              <w:rPr>
                <w:sz w:val="10"/>
                <w:szCs w:val="10"/>
                <w:color w:val="auto"/>
              </w:rPr>
            </w:pPr>
          </w:p>
        </w:tc>
        <w:tc>
          <w:tcPr>
            <w:tcW w:w="1620" w:type="dxa"/>
            <w:vAlign w:val="bottom"/>
            <w:vMerge w:val="restart"/>
          </w:tcPr>
          <w:p>
            <w:pPr>
              <w:jc w:val="right"/>
              <w:ind w:right="96"/>
              <w:spacing w:after="0"/>
              <w:rPr>
                <w:sz w:val="20"/>
                <w:szCs w:val="20"/>
                <w:color w:val="auto"/>
              </w:rPr>
            </w:pPr>
            <w:r>
              <w:rPr>
                <w:rFonts w:ascii="Times New Roman" w:cs="Times New Roman" w:eastAsia="Times New Roman" w:hAnsi="Times New Roman"/>
                <w:sz w:val="10"/>
                <w:szCs w:val="10"/>
                <w:b w:val="1"/>
                <w:bCs w:val="1"/>
                <w:color w:val="auto"/>
              </w:rPr>
              <w:t>Note</w:t>
            </w:r>
          </w:p>
        </w:tc>
        <w:tc>
          <w:tcPr>
            <w:tcW w:w="20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0"/>
                <w:szCs w:val="10"/>
                <w:b w:val="1"/>
                <w:bCs w:val="1"/>
                <w:color w:val="auto"/>
              </w:rPr>
              <w:t>For the years ended December 31,</w:t>
            </w:r>
          </w:p>
        </w:tc>
        <w:tc>
          <w:tcPr>
            <w:tcW w:w="4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800" w:type="dxa"/>
            <w:vAlign w:val="bottom"/>
          </w:tcPr>
          <w:p>
            <w:pPr>
              <w:spacing w:after="0"/>
              <w:rPr>
                <w:sz w:val="8"/>
                <w:szCs w:val="8"/>
                <w:color w:val="auto"/>
              </w:rPr>
            </w:pPr>
          </w:p>
        </w:tc>
        <w:tc>
          <w:tcPr>
            <w:tcW w:w="1620" w:type="dxa"/>
            <w:vAlign w:val="bottom"/>
            <w:vMerge w:val="continue"/>
          </w:tcPr>
          <w:p>
            <w:pPr>
              <w:spacing w:after="0"/>
              <w:rPr>
                <w:sz w:val="8"/>
                <w:szCs w:val="8"/>
                <w:color w:val="auto"/>
              </w:rPr>
            </w:pPr>
          </w:p>
        </w:tc>
        <w:tc>
          <w:tcPr>
            <w:tcW w:w="520" w:type="dxa"/>
            <w:vAlign w:val="bottom"/>
            <w:tcBorders>
              <w:bottom w:val="single" w:sz="8" w:color="auto"/>
            </w:tcBorders>
          </w:tcPr>
          <w:p>
            <w:pPr>
              <w:jc w:val="right"/>
              <w:ind w:right="96"/>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40" w:type="dxa"/>
            <w:vAlign w:val="bottom"/>
          </w:tcPr>
          <w:p>
            <w:pPr>
              <w:spacing w:after="0"/>
              <w:rPr>
                <w:sz w:val="8"/>
                <w:szCs w:val="8"/>
                <w:color w:val="auto"/>
              </w:rPr>
            </w:pPr>
          </w:p>
        </w:tc>
        <w:tc>
          <w:tcPr>
            <w:tcW w:w="520" w:type="dxa"/>
            <w:vAlign w:val="bottom"/>
            <w:tcBorders>
              <w:bottom w:val="single" w:sz="8" w:color="auto"/>
            </w:tcBorders>
          </w:tcPr>
          <w:p>
            <w:pPr>
              <w:jc w:val="right"/>
              <w:ind w:right="96"/>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160" w:type="dxa"/>
            <w:vAlign w:val="bottom"/>
          </w:tcPr>
          <w:p>
            <w:pPr>
              <w:spacing w:after="0"/>
              <w:rPr>
                <w:sz w:val="8"/>
                <w:szCs w:val="8"/>
                <w:color w:val="auto"/>
              </w:rPr>
            </w:pPr>
          </w:p>
        </w:tc>
        <w:tc>
          <w:tcPr>
            <w:tcW w:w="660" w:type="dxa"/>
            <w:vAlign w:val="bottom"/>
            <w:tcBorders>
              <w:bottom w:val="single" w:sz="8" w:color="auto"/>
            </w:tcBorders>
            <w:gridSpan w:val="2"/>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4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38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RMB</w:t>
            </w:r>
          </w:p>
        </w:tc>
        <w:tc>
          <w:tcPr>
            <w:tcW w:w="680" w:type="dxa"/>
            <w:vAlign w:val="bottom"/>
            <w:gridSpan w:val="2"/>
          </w:tcPr>
          <w:p>
            <w:pPr>
              <w:jc w:val="right"/>
              <w:ind w:right="262"/>
              <w:spacing w:after="0"/>
              <w:rPr>
                <w:sz w:val="20"/>
                <w:szCs w:val="20"/>
                <w:color w:val="auto"/>
              </w:rPr>
            </w:pPr>
            <w:r>
              <w:rPr>
                <w:rFonts w:ascii="Times New Roman" w:cs="Times New Roman" w:eastAsia="Times New Roman" w:hAnsi="Times New Roman"/>
                <w:sz w:val="10"/>
                <w:szCs w:val="10"/>
                <w:b w:val="1"/>
                <w:bCs w:val="1"/>
                <w:color w:val="auto"/>
              </w:rPr>
              <w:t>RMB</w:t>
            </w:r>
          </w:p>
        </w:tc>
        <w:tc>
          <w:tcPr>
            <w:tcW w:w="660" w:type="dxa"/>
            <w:vAlign w:val="bottom"/>
            <w:gridSpan w:val="2"/>
          </w:tcPr>
          <w:p>
            <w:pPr>
              <w:jc w:val="right"/>
              <w:ind w:right="262"/>
              <w:spacing w:after="0"/>
              <w:rPr>
                <w:sz w:val="20"/>
                <w:szCs w:val="20"/>
                <w:color w:val="auto"/>
              </w:rPr>
            </w:pPr>
            <w:r>
              <w:rPr>
                <w:rFonts w:ascii="Times New Roman" w:cs="Times New Roman" w:eastAsia="Times New Roman" w:hAnsi="Times New Roman"/>
                <w:sz w:val="10"/>
                <w:szCs w:val="10"/>
                <w:b w:val="1"/>
                <w:bCs w:val="1"/>
                <w:color w:val="auto"/>
              </w:rPr>
              <w:t>RMB</w:t>
            </w:r>
          </w:p>
        </w:tc>
        <w:tc>
          <w:tcPr>
            <w:tcW w:w="520" w:type="dxa"/>
            <w:vAlign w:val="bottom"/>
            <w:gridSpan w:val="2"/>
          </w:tcPr>
          <w:p>
            <w:pPr>
              <w:jc w:val="right"/>
              <w:ind w:right="182"/>
              <w:spacing w:after="0"/>
              <w:rPr>
                <w:sz w:val="20"/>
                <w:szCs w:val="20"/>
                <w:color w:val="auto"/>
              </w:rPr>
            </w:pPr>
            <w:r>
              <w:rPr>
                <w:rFonts w:ascii="Times New Roman" w:cs="Times New Roman" w:eastAsia="Times New Roman" w:hAnsi="Times New Roman"/>
                <w:sz w:val="10"/>
                <w:szCs w:val="10"/>
                <w:b w:val="1"/>
                <w:bCs w:val="1"/>
                <w:color w:val="auto"/>
              </w:rPr>
              <w:t>US$</w:t>
            </w:r>
          </w:p>
        </w:tc>
        <w:tc>
          <w:tcPr>
            <w:tcW w:w="0" w:type="dxa"/>
            <w:vAlign w:val="bottom"/>
          </w:tcPr>
          <w:p>
            <w:pPr>
              <w:spacing w:after="0"/>
              <w:rPr>
                <w:sz w:val="1"/>
                <w:szCs w:val="1"/>
                <w:color w:val="auto"/>
              </w:rPr>
            </w:pPr>
          </w:p>
        </w:tc>
      </w:tr>
      <w:tr>
        <w:trPr>
          <w:trHeight w:val="124"/>
        </w:trPr>
        <w:tc>
          <w:tcPr>
            <w:tcW w:w="38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gridSpan w:val="2"/>
          </w:tcPr>
          <w:p>
            <w:pPr>
              <w:jc w:val="right"/>
              <w:ind w:right="82"/>
              <w:spacing w:after="0"/>
              <w:rPr>
                <w:sz w:val="20"/>
                <w:szCs w:val="20"/>
                <w:color w:val="auto"/>
              </w:rPr>
            </w:pPr>
            <w:r>
              <w:rPr>
                <w:rFonts w:ascii="Times New Roman" w:cs="Times New Roman" w:eastAsia="Times New Roman" w:hAnsi="Times New Roman"/>
                <w:sz w:val="10"/>
                <w:szCs w:val="10"/>
                <w:color w:val="auto"/>
                <w:w w:val="99"/>
              </w:rPr>
              <w:t>Note 2(e)</w:t>
            </w:r>
          </w:p>
        </w:tc>
        <w:tc>
          <w:tcPr>
            <w:tcW w:w="0" w:type="dxa"/>
            <w:vAlign w:val="bottom"/>
          </w:tcPr>
          <w:p>
            <w:pPr>
              <w:spacing w:after="0"/>
              <w:rPr>
                <w:sz w:val="1"/>
                <w:szCs w:val="1"/>
                <w:color w:val="auto"/>
              </w:rPr>
            </w:pPr>
          </w:p>
        </w:tc>
      </w:tr>
      <w:tr>
        <w:trPr>
          <w:trHeight w:val="15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6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16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(47,994)</w:t>
            </w:r>
          </w:p>
        </w:tc>
        <w:tc>
          <w:tcPr>
            <w:tcW w:w="68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color w:val="auto"/>
              </w:rPr>
              <w:t>(92,041)</w:t>
            </w:r>
          </w:p>
        </w:tc>
        <w:tc>
          <w:tcPr>
            <w:tcW w:w="66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color w:val="auto"/>
              </w:rPr>
              <w:t>(313,896)</w:t>
            </w:r>
          </w:p>
        </w:tc>
        <w:tc>
          <w:tcPr>
            <w:tcW w:w="52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rPr>
              <w:t>(49,258)</w:t>
            </w:r>
          </w:p>
        </w:tc>
        <w:tc>
          <w:tcPr>
            <w:tcW w:w="0" w:type="dxa"/>
            <w:vAlign w:val="bottom"/>
          </w:tcPr>
          <w:p>
            <w:pPr>
              <w:spacing w:after="0"/>
              <w:rPr>
                <w:sz w:val="1"/>
                <w:szCs w:val="1"/>
                <w:color w:val="auto"/>
              </w:rPr>
            </w:pPr>
          </w:p>
        </w:tc>
      </w:tr>
      <w:tr>
        <w:trPr>
          <w:trHeight w:val="15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9"/>
              </w:rPr>
              <w:t>Adjustments to reconcile net loss to net cash used in operating activities:</w:t>
            </w:r>
          </w:p>
        </w:tc>
        <w:tc>
          <w:tcPr>
            <w:tcW w:w="16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6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5,673</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6,192</w:t>
            </w:r>
          </w:p>
        </w:tc>
        <w:tc>
          <w:tcPr>
            <w:tcW w:w="1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7,773</w:t>
            </w: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Deferred income tax (benefit) expense</w:t>
            </w:r>
          </w:p>
        </w:tc>
        <w:tc>
          <w:tcPr>
            <w:tcW w:w="16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16</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(49)</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8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Share-based compensation</w:t>
            </w:r>
          </w:p>
        </w:tc>
        <w:tc>
          <w:tcPr>
            <w:tcW w:w="16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15</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14,747</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54,857</w:t>
            </w:r>
          </w:p>
        </w:tc>
        <w:tc>
          <w:tcPr>
            <w:tcW w:w="1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121,131</w:t>
            </w: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19,009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Loss on disposal of intangible assets</w:t>
            </w:r>
          </w:p>
        </w:tc>
        <w:tc>
          <w:tcPr>
            <w:tcW w:w="16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8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Loss on disposal of property and equipment</w:t>
            </w:r>
          </w:p>
        </w:tc>
        <w:tc>
          <w:tcPr>
            <w:tcW w:w="1620" w:type="dxa"/>
            <w:vAlign w:val="bottom"/>
          </w:tcPr>
          <w:p>
            <w:pPr>
              <w:jc w:val="right"/>
              <w:ind w:right="56"/>
              <w:spacing w:after="0" w:line="155" w:lineRule="exact"/>
              <w:rPr>
                <w:sz w:val="20"/>
                <w:szCs w:val="20"/>
                <w:color w:val="auto"/>
              </w:rPr>
            </w:pPr>
            <w:r>
              <w:rPr>
                <w:rFonts w:ascii="Calibri" w:cs="Calibri" w:eastAsia="Calibri" w:hAnsi="Calibri"/>
                <w:sz w:val="13"/>
                <w:szCs w:val="13"/>
                <w:color w:val="auto"/>
              </w:rPr>
              <w:t>2(m)</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456</w:t>
            </w:r>
          </w:p>
        </w:tc>
        <w:tc>
          <w:tcPr>
            <w:tcW w:w="1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820</w:t>
            </w: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Gain on disposal of long-term investment</w:t>
            </w:r>
          </w:p>
        </w:tc>
        <w:tc>
          <w:tcPr>
            <w:tcW w:w="16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3"/>
                <w:szCs w:val="13"/>
                <w:color w:val="auto"/>
              </w:rPr>
              <w:t>(288)</w:t>
            </w:r>
          </w:p>
        </w:tc>
        <w:tc>
          <w:tcPr>
            <w:tcW w:w="66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8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Interest and investment income</w:t>
            </w:r>
          </w:p>
        </w:tc>
        <w:tc>
          <w:tcPr>
            <w:tcW w:w="1620" w:type="dxa"/>
            <w:vAlign w:val="bottom"/>
          </w:tcPr>
          <w:p>
            <w:pPr>
              <w:jc w:val="right"/>
              <w:ind w:right="56"/>
              <w:spacing w:after="0" w:line="155" w:lineRule="exact"/>
              <w:rPr>
                <w:sz w:val="20"/>
                <w:szCs w:val="20"/>
                <w:color w:val="auto"/>
              </w:rPr>
            </w:pPr>
            <w:r>
              <w:rPr>
                <w:rFonts w:ascii="Calibri" w:cs="Calibri" w:eastAsia="Calibri" w:hAnsi="Calibri"/>
                <w:sz w:val="13"/>
                <w:szCs w:val="13"/>
                <w:color w:val="auto"/>
              </w:rPr>
              <w:t>4</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22"/>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color w:val="auto"/>
              </w:rPr>
              <w:t>(1,367)</w:t>
            </w:r>
          </w:p>
        </w:tc>
        <w:tc>
          <w:tcPr>
            <w:tcW w:w="52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rPr>
              <w:t>(215)</w:t>
            </w:r>
          </w:p>
        </w:tc>
        <w:tc>
          <w:tcPr>
            <w:tcW w:w="0" w:type="dxa"/>
            <w:vAlign w:val="bottom"/>
          </w:tcPr>
          <w:p>
            <w:pPr>
              <w:spacing w:after="0"/>
              <w:rPr>
                <w:sz w:val="1"/>
                <w:szCs w:val="1"/>
                <w:color w:val="auto"/>
              </w:rPr>
            </w:pPr>
          </w:p>
        </w:tc>
      </w:tr>
      <w:tr>
        <w:trPr>
          <w:trHeight w:val="156"/>
        </w:trPr>
        <w:tc>
          <w:tcPr>
            <w:tcW w:w="3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Loss from an equity method investment</w:t>
            </w:r>
          </w:p>
        </w:tc>
        <w:tc>
          <w:tcPr>
            <w:tcW w:w="16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w:t>
            </w: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Impairment of long-lived assets</w:t>
            </w:r>
          </w:p>
        </w:tc>
        <w:tc>
          <w:tcPr>
            <w:tcW w:w="16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2(o)</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22"/>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1,627</w:t>
            </w: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Allowance for doubtful accounts</w:t>
            </w:r>
          </w:p>
        </w:tc>
        <w:tc>
          <w:tcPr>
            <w:tcW w:w="16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619</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13,313</w:t>
            </w: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56,517</w:t>
            </w: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8,869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Foreign exchange loss</w:t>
            </w:r>
          </w:p>
        </w:tc>
        <w:tc>
          <w:tcPr>
            <w:tcW w:w="162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22"/>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827</w:t>
            </w: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6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receivable</w:t>
            </w:r>
          </w:p>
        </w:tc>
        <w:tc>
          <w:tcPr>
            <w:tcW w:w="16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(39,035)</w:t>
            </w:r>
          </w:p>
        </w:tc>
        <w:tc>
          <w:tcPr>
            <w:tcW w:w="68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color w:val="auto"/>
              </w:rPr>
              <w:t>(134,678)</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39,336</w:t>
            </w: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6,173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Unbilled revenue</w:t>
            </w:r>
          </w:p>
        </w:tc>
        <w:tc>
          <w:tcPr>
            <w:tcW w:w="16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14</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(4,807 )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4,281</w:t>
            </w: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2,800</w:t>
            </w: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Cost and estimated earnings in excess of billings</w:t>
            </w:r>
          </w:p>
        </w:tc>
        <w:tc>
          <w:tcPr>
            <w:tcW w:w="16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4,199</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13,495</w:t>
            </w:r>
          </w:p>
        </w:tc>
        <w:tc>
          <w:tcPr>
            <w:tcW w:w="160" w:type="dxa"/>
            <w:vAlign w:val="bottom"/>
          </w:tcPr>
          <w:p>
            <w:pPr>
              <w:spacing w:after="0"/>
              <w:rPr>
                <w:sz w:val="13"/>
                <w:szCs w:val="13"/>
                <w:color w:val="auto"/>
              </w:rPr>
            </w:pPr>
          </w:p>
        </w:tc>
        <w:tc>
          <w:tcPr>
            <w:tcW w:w="660" w:type="dxa"/>
            <w:vAlign w:val="bottom"/>
            <w:gridSpan w:val="2"/>
          </w:tcPr>
          <w:p>
            <w:pPr>
              <w:jc w:val="right"/>
              <w:ind w:right="122"/>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42"/>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Inventories</w:t>
            </w:r>
          </w:p>
        </w:tc>
        <w:tc>
          <w:tcPr>
            <w:tcW w:w="16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(12,305)</w:t>
            </w:r>
          </w:p>
        </w:tc>
        <w:tc>
          <w:tcPr>
            <w:tcW w:w="68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3"/>
                <w:szCs w:val="13"/>
                <w:color w:val="auto"/>
              </w:rPr>
              <w:t>(29,269)</w:t>
            </w:r>
          </w:p>
        </w:tc>
        <w:tc>
          <w:tcPr>
            <w:tcW w:w="6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3"/>
                <w:szCs w:val="13"/>
                <w:color w:val="auto"/>
              </w:rPr>
              <w:t>(35,967)</w:t>
            </w:r>
          </w:p>
        </w:tc>
        <w:tc>
          <w:tcPr>
            <w:tcW w:w="5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(5,644)</w:t>
            </w:r>
          </w:p>
        </w:tc>
        <w:tc>
          <w:tcPr>
            <w:tcW w:w="0" w:type="dxa"/>
            <w:vAlign w:val="bottom"/>
          </w:tcPr>
          <w:p>
            <w:pPr>
              <w:spacing w:after="0"/>
              <w:rPr>
                <w:sz w:val="1"/>
                <w:szCs w:val="1"/>
                <w:color w:val="auto"/>
              </w:rPr>
            </w:pPr>
          </w:p>
        </w:tc>
      </w:tr>
      <w:tr>
        <w:trPr>
          <w:trHeight w:val="156"/>
        </w:trPr>
        <w:tc>
          <w:tcPr>
            <w:tcW w:w="38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Prepayments and other current assets</w:t>
            </w:r>
          </w:p>
        </w:tc>
        <w:tc>
          <w:tcPr>
            <w:tcW w:w="16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(5,771)</w:t>
            </w:r>
          </w:p>
        </w:tc>
        <w:tc>
          <w:tcPr>
            <w:tcW w:w="68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color w:val="auto"/>
              </w:rPr>
              <w:t>(5,001)</w:t>
            </w:r>
          </w:p>
        </w:tc>
        <w:tc>
          <w:tcPr>
            <w:tcW w:w="66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color w:val="auto"/>
              </w:rPr>
              <w:t>(12,972)</w:t>
            </w:r>
          </w:p>
        </w:tc>
        <w:tc>
          <w:tcPr>
            <w:tcW w:w="52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rPr>
              <w:t>(2,036)</w:t>
            </w:r>
          </w:p>
        </w:tc>
        <w:tc>
          <w:tcPr>
            <w:tcW w:w="0" w:type="dxa"/>
            <w:vAlign w:val="bottom"/>
          </w:tcPr>
          <w:p>
            <w:pPr>
              <w:spacing w:after="0"/>
              <w:rPr>
                <w:sz w:val="1"/>
                <w:szCs w:val="1"/>
                <w:color w:val="auto"/>
              </w:rPr>
            </w:pPr>
          </w:p>
        </w:tc>
      </w:tr>
      <w:tr>
        <w:trPr>
          <w:trHeight w:val="156"/>
        </w:trPr>
        <w:tc>
          <w:tcPr>
            <w:tcW w:w="3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Amounts due from a related party</w:t>
            </w:r>
          </w:p>
        </w:tc>
        <w:tc>
          <w:tcPr>
            <w:tcW w:w="16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17</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3"/>
                <w:szCs w:val="13"/>
                <w:color w:val="auto"/>
              </w:rPr>
              <w:t>(2,639)</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1,279</w:t>
            </w: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non-current assets</w:t>
            </w:r>
          </w:p>
        </w:tc>
        <w:tc>
          <w:tcPr>
            <w:tcW w:w="16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40" w:type="dxa"/>
            <w:vAlign w:val="bottom"/>
          </w:tcPr>
          <w:p>
            <w:pPr>
              <w:spacing w:after="0"/>
              <w:rPr>
                <w:sz w:val="13"/>
                <w:szCs w:val="13"/>
                <w:color w:val="auto"/>
              </w:rPr>
            </w:pPr>
          </w:p>
        </w:tc>
        <w:tc>
          <w:tcPr>
            <w:tcW w:w="68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color w:val="auto"/>
              </w:rPr>
              <w:t>(16,155)</w:t>
            </w:r>
          </w:p>
        </w:tc>
        <w:tc>
          <w:tcPr>
            <w:tcW w:w="660" w:type="dxa"/>
            <w:vAlign w:val="bottom"/>
            <w:gridSpan w:val="2"/>
          </w:tcPr>
          <w:p>
            <w:pPr>
              <w:jc w:val="right"/>
              <w:ind w:right="122"/>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42"/>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Accounts payable</w:t>
            </w:r>
          </w:p>
        </w:tc>
        <w:tc>
          <w:tcPr>
            <w:tcW w:w="16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10,358</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26,611</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3"/>
                <w:szCs w:val="13"/>
                <w:color w:val="auto"/>
              </w:rPr>
              <w:t>(7,748)</w:t>
            </w:r>
          </w:p>
        </w:tc>
        <w:tc>
          <w:tcPr>
            <w:tcW w:w="5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(1,216)</w:t>
            </w:r>
          </w:p>
        </w:tc>
        <w:tc>
          <w:tcPr>
            <w:tcW w:w="0" w:type="dxa"/>
            <w:vAlign w:val="bottom"/>
          </w:tcPr>
          <w:p>
            <w:pPr>
              <w:spacing w:after="0"/>
              <w:rPr>
                <w:sz w:val="1"/>
                <w:szCs w:val="1"/>
                <w:color w:val="auto"/>
              </w:rPr>
            </w:pPr>
          </w:p>
        </w:tc>
      </w:tr>
      <w:tr>
        <w:trPr>
          <w:trHeight w:val="156"/>
        </w:trPr>
        <w:tc>
          <w:tcPr>
            <w:tcW w:w="38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Contract liabilities</w:t>
            </w:r>
          </w:p>
        </w:tc>
        <w:tc>
          <w:tcPr>
            <w:tcW w:w="16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4,011</w:t>
            </w:r>
          </w:p>
        </w:tc>
        <w:tc>
          <w:tcPr>
            <w:tcW w:w="140" w:type="dxa"/>
            <w:vAlign w:val="bottom"/>
          </w:tcPr>
          <w:p>
            <w:pPr>
              <w:spacing w:after="0"/>
              <w:rPr>
                <w:sz w:val="13"/>
                <w:szCs w:val="13"/>
                <w:color w:val="auto"/>
              </w:rPr>
            </w:pPr>
          </w:p>
        </w:tc>
        <w:tc>
          <w:tcPr>
            <w:tcW w:w="68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color w:val="auto"/>
              </w:rPr>
              <w:t>(2,426)</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7,051</w:t>
            </w: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16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14,187</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7,667</w:t>
            </w: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11,370</w:t>
            </w: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Deferred income</w:t>
            </w:r>
          </w:p>
        </w:tc>
        <w:tc>
          <w:tcPr>
            <w:tcW w:w="162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3,720</w:t>
            </w:r>
          </w:p>
        </w:tc>
        <w:tc>
          <w:tcPr>
            <w:tcW w:w="160" w:type="dxa"/>
            <w:vAlign w:val="bottom"/>
          </w:tcPr>
          <w:p>
            <w:pPr>
              <w:spacing w:after="0"/>
              <w:rPr>
                <w:sz w:val="13"/>
                <w:szCs w:val="13"/>
                <w:color w:val="auto"/>
              </w:rPr>
            </w:pPr>
          </w:p>
        </w:tc>
        <w:tc>
          <w:tcPr>
            <w:tcW w:w="66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color w:val="auto"/>
              </w:rPr>
              <w:t>(60)</w:t>
            </w:r>
          </w:p>
        </w:tc>
        <w:tc>
          <w:tcPr>
            <w:tcW w:w="52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56"/>
        </w:trPr>
        <w:tc>
          <w:tcPr>
            <w:tcW w:w="3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Deferred government subsidies</w:t>
            </w:r>
          </w:p>
        </w:tc>
        <w:tc>
          <w:tcPr>
            <w:tcW w:w="16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(80)</w:t>
            </w:r>
          </w:p>
        </w:tc>
        <w:tc>
          <w:tcPr>
            <w:tcW w:w="68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3"/>
                <w:szCs w:val="13"/>
                <w:color w:val="auto"/>
              </w:rPr>
              <w:t>(80)</w:t>
            </w:r>
          </w:p>
        </w:tc>
        <w:tc>
          <w:tcPr>
            <w:tcW w:w="6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3"/>
                <w:szCs w:val="13"/>
                <w:color w:val="auto"/>
              </w:rPr>
              <w:t>(430)</w:t>
            </w:r>
          </w:p>
        </w:tc>
        <w:tc>
          <w:tcPr>
            <w:tcW w:w="5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(67)</w:t>
            </w:r>
          </w:p>
        </w:tc>
        <w:tc>
          <w:tcPr>
            <w:tcW w:w="0" w:type="dxa"/>
            <w:vAlign w:val="bottom"/>
          </w:tcPr>
          <w:p>
            <w:pPr>
              <w:spacing w:after="0"/>
              <w:rPr>
                <w:sz w:val="1"/>
                <w:szCs w:val="1"/>
                <w:color w:val="auto"/>
              </w:rPr>
            </w:pPr>
          </w:p>
        </w:tc>
      </w:tr>
      <w:tr>
        <w:trPr>
          <w:trHeight w:val="156"/>
        </w:trPr>
        <w:tc>
          <w:tcPr>
            <w:tcW w:w="38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Income taxes payable</w:t>
            </w:r>
          </w:p>
        </w:tc>
        <w:tc>
          <w:tcPr>
            <w:tcW w:w="16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40" w:type="dxa"/>
            <w:vAlign w:val="bottom"/>
          </w:tcPr>
          <w:p>
            <w:pPr>
              <w:spacing w:after="0"/>
              <w:rPr>
                <w:sz w:val="13"/>
                <w:szCs w:val="13"/>
                <w:color w:val="auto"/>
              </w:rPr>
            </w:pPr>
          </w:p>
        </w:tc>
        <w:tc>
          <w:tcPr>
            <w:tcW w:w="68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color w:val="auto"/>
              </w:rPr>
              <w:t>(5)</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Unrecognized tax benefits</w:t>
            </w:r>
          </w:p>
        </w:tc>
        <w:tc>
          <w:tcPr>
            <w:tcW w:w="16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602</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3"/>
                <w:szCs w:val="13"/>
                <w:color w:val="auto"/>
              </w:rPr>
              <w:t>(14)</w:t>
            </w:r>
          </w:p>
        </w:tc>
        <w:tc>
          <w:tcPr>
            <w:tcW w:w="66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38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cash flow used in operating activities</w:t>
            </w:r>
          </w:p>
        </w:tc>
        <w:tc>
          <w:tcPr>
            <w:tcW w:w="162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(55,518)</w:t>
            </w:r>
          </w:p>
        </w:tc>
        <w:tc>
          <w:tcPr>
            <w:tcW w:w="14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(151,696</w:t>
            </w:r>
          </w:p>
        </w:tc>
        <w:tc>
          <w:tcPr>
            <w:tcW w:w="160" w:type="dxa"/>
            <w:vAlign w:val="bottom"/>
          </w:tcPr>
          <w:p>
            <w:pPr>
              <w:jc w:val="right"/>
              <w:ind w:right="8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(121,629</w:t>
            </w:r>
          </w:p>
        </w:tc>
        <w:tc>
          <w:tcPr>
            <w:tcW w:w="160" w:type="dxa"/>
            <w:vAlign w:val="bottom"/>
          </w:tcPr>
          <w:p>
            <w:pPr>
              <w:jc w:val="right"/>
              <w:ind w:right="8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(19,086</w:t>
            </w:r>
          </w:p>
        </w:tc>
        <w:tc>
          <w:tcPr>
            <w:tcW w:w="80" w:type="dxa"/>
            <w:vAlign w:val="bottom"/>
          </w:tcPr>
          <w:p>
            <w:pPr>
              <w:jc w:val="right"/>
              <w:ind w:right="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155"/>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6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Deconsolidation of a subsidiary</w:t>
            </w:r>
          </w:p>
        </w:tc>
        <w:tc>
          <w:tcPr>
            <w:tcW w:w="162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color w:val="auto"/>
              </w:rPr>
              <w:t>(54)</w:t>
            </w:r>
          </w:p>
        </w:tc>
        <w:tc>
          <w:tcPr>
            <w:tcW w:w="660" w:type="dxa"/>
            <w:vAlign w:val="bottom"/>
            <w:gridSpan w:val="2"/>
          </w:tcPr>
          <w:p>
            <w:pPr>
              <w:jc w:val="right"/>
              <w:ind w:right="122"/>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42"/>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Purchase of short-term investments</w:t>
            </w:r>
          </w:p>
        </w:tc>
        <w:tc>
          <w:tcPr>
            <w:tcW w:w="16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(113,404)</w:t>
            </w:r>
          </w:p>
        </w:tc>
        <w:tc>
          <w:tcPr>
            <w:tcW w:w="68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3"/>
                <w:szCs w:val="13"/>
                <w:color w:val="auto"/>
              </w:rPr>
              <w:t>(115,364)</w:t>
            </w:r>
          </w:p>
        </w:tc>
        <w:tc>
          <w:tcPr>
            <w:tcW w:w="6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3"/>
                <w:szCs w:val="13"/>
                <w:color w:val="auto"/>
              </w:rPr>
              <w:t>(157,761)</w:t>
            </w:r>
          </w:p>
        </w:tc>
        <w:tc>
          <w:tcPr>
            <w:tcW w:w="5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(24,756)</w:t>
            </w:r>
          </w:p>
        </w:tc>
        <w:tc>
          <w:tcPr>
            <w:tcW w:w="0" w:type="dxa"/>
            <w:vAlign w:val="bottom"/>
          </w:tcPr>
          <w:p>
            <w:pPr>
              <w:spacing w:after="0"/>
              <w:rPr>
                <w:sz w:val="1"/>
                <w:szCs w:val="1"/>
                <w:color w:val="auto"/>
              </w:rPr>
            </w:pPr>
          </w:p>
        </w:tc>
      </w:tr>
      <w:tr>
        <w:trPr>
          <w:trHeight w:val="156"/>
        </w:trPr>
        <w:tc>
          <w:tcPr>
            <w:tcW w:w="38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Proceeds from maturities of short-term investments</w:t>
            </w:r>
          </w:p>
        </w:tc>
        <w:tc>
          <w:tcPr>
            <w:tcW w:w="16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105,730</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71,996</w:t>
            </w:r>
          </w:p>
        </w:tc>
        <w:tc>
          <w:tcPr>
            <w:tcW w:w="1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140,756</w:t>
            </w: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22,088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Purchase of property and equipment</w:t>
            </w:r>
          </w:p>
        </w:tc>
        <w:tc>
          <w:tcPr>
            <w:tcW w:w="16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(2,740)</w:t>
            </w:r>
          </w:p>
        </w:tc>
        <w:tc>
          <w:tcPr>
            <w:tcW w:w="68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3"/>
                <w:szCs w:val="13"/>
                <w:color w:val="auto"/>
              </w:rPr>
              <w:t>(8,742)</w:t>
            </w:r>
          </w:p>
        </w:tc>
        <w:tc>
          <w:tcPr>
            <w:tcW w:w="6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3"/>
                <w:szCs w:val="13"/>
                <w:color w:val="auto"/>
              </w:rPr>
              <w:t>(15,645)</w:t>
            </w:r>
          </w:p>
        </w:tc>
        <w:tc>
          <w:tcPr>
            <w:tcW w:w="5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(2,455)</w:t>
            </w:r>
          </w:p>
        </w:tc>
        <w:tc>
          <w:tcPr>
            <w:tcW w:w="0" w:type="dxa"/>
            <w:vAlign w:val="bottom"/>
          </w:tcPr>
          <w:p>
            <w:pPr>
              <w:spacing w:after="0"/>
              <w:rPr>
                <w:sz w:val="1"/>
                <w:szCs w:val="1"/>
                <w:color w:val="auto"/>
              </w:rPr>
            </w:pPr>
          </w:p>
        </w:tc>
      </w:tr>
      <w:tr>
        <w:trPr>
          <w:trHeight w:val="156"/>
        </w:trPr>
        <w:tc>
          <w:tcPr>
            <w:tcW w:w="38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Proceeds from disposal of property and equipment</w:t>
            </w:r>
          </w:p>
        </w:tc>
        <w:tc>
          <w:tcPr>
            <w:tcW w:w="162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160" w:type="dxa"/>
            <w:vAlign w:val="bottom"/>
          </w:tcPr>
          <w:p>
            <w:pPr>
              <w:spacing w:after="0"/>
              <w:rPr>
                <w:sz w:val="13"/>
                <w:szCs w:val="13"/>
                <w:color w:val="auto"/>
              </w:rPr>
            </w:pPr>
          </w:p>
        </w:tc>
        <w:tc>
          <w:tcPr>
            <w:tcW w:w="660" w:type="dxa"/>
            <w:vAlign w:val="bottom"/>
            <w:gridSpan w:val="2"/>
          </w:tcPr>
          <w:p>
            <w:pPr>
              <w:jc w:val="right"/>
              <w:ind w:right="122"/>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42"/>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Acquisition of intangible assets</w:t>
            </w:r>
          </w:p>
        </w:tc>
        <w:tc>
          <w:tcPr>
            <w:tcW w:w="16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(999)</w:t>
            </w:r>
          </w:p>
        </w:tc>
        <w:tc>
          <w:tcPr>
            <w:tcW w:w="68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3"/>
                <w:szCs w:val="13"/>
                <w:color w:val="auto"/>
              </w:rPr>
              <w:t>(337)</w:t>
            </w:r>
          </w:p>
        </w:tc>
        <w:tc>
          <w:tcPr>
            <w:tcW w:w="6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3"/>
                <w:szCs w:val="13"/>
                <w:color w:val="auto"/>
              </w:rPr>
              <w:t>(51)</w:t>
            </w:r>
          </w:p>
        </w:tc>
        <w:tc>
          <w:tcPr>
            <w:tcW w:w="5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56"/>
        </w:trPr>
        <w:tc>
          <w:tcPr>
            <w:tcW w:w="38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Cash paid for long-term investment</w:t>
            </w:r>
          </w:p>
        </w:tc>
        <w:tc>
          <w:tcPr>
            <w:tcW w:w="162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22"/>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color w:val="auto"/>
              </w:rPr>
              <w:t>(700)</w:t>
            </w:r>
          </w:p>
        </w:tc>
        <w:tc>
          <w:tcPr>
            <w:tcW w:w="52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rPr>
              <w:t>(110)</w:t>
            </w:r>
          </w:p>
        </w:tc>
        <w:tc>
          <w:tcPr>
            <w:tcW w:w="0" w:type="dxa"/>
            <w:vAlign w:val="bottom"/>
          </w:tcPr>
          <w:p>
            <w:pPr>
              <w:spacing w:after="0"/>
              <w:rPr>
                <w:sz w:val="1"/>
                <w:szCs w:val="1"/>
                <w:color w:val="auto"/>
              </w:rPr>
            </w:pPr>
          </w:p>
        </w:tc>
      </w:tr>
      <w:tr>
        <w:trPr>
          <w:trHeight w:val="156"/>
        </w:trPr>
        <w:tc>
          <w:tcPr>
            <w:tcW w:w="3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Loans to third parties</w:t>
            </w:r>
          </w:p>
        </w:tc>
        <w:tc>
          <w:tcPr>
            <w:tcW w:w="16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3"/>
                <w:szCs w:val="13"/>
                <w:color w:val="auto"/>
              </w:rPr>
              <w:t>(53,900)</w:t>
            </w:r>
          </w:p>
        </w:tc>
        <w:tc>
          <w:tcPr>
            <w:tcW w:w="66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8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Repayment of loan to a third party</w:t>
            </w:r>
          </w:p>
        </w:tc>
        <w:tc>
          <w:tcPr>
            <w:tcW w:w="16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9</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40,000</w:t>
            </w:r>
          </w:p>
        </w:tc>
        <w:tc>
          <w:tcPr>
            <w:tcW w:w="160" w:type="dxa"/>
            <w:vAlign w:val="bottom"/>
          </w:tcPr>
          <w:p>
            <w:pPr>
              <w:spacing w:after="0"/>
              <w:rPr>
                <w:sz w:val="13"/>
                <w:szCs w:val="13"/>
                <w:color w:val="auto"/>
              </w:rPr>
            </w:pPr>
          </w:p>
        </w:tc>
        <w:tc>
          <w:tcPr>
            <w:tcW w:w="660" w:type="dxa"/>
            <w:vAlign w:val="bottom"/>
            <w:gridSpan w:val="2"/>
          </w:tcPr>
          <w:p>
            <w:pPr>
              <w:jc w:val="right"/>
              <w:ind w:right="122"/>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42"/>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Loan to a related party</w:t>
            </w:r>
          </w:p>
        </w:tc>
        <w:tc>
          <w:tcPr>
            <w:tcW w:w="16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17</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(425)</w:t>
            </w:r>
          </w:p>
        </w:tc>
        <w:tc>
          <w:tcPr>
            <w:tcW w:w="68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8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Repayment of loan to a related party</w:t>
            </w:r>
          </w:p>
        </w:tc>
        <w:tc>
          <w:tcPr>
            <w:tcW w:w="16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17</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140" w:type="dxa"/>
            <w:vAlign w:val="bottom"/>
          </w:tcPr>
          <w:p>
            <w:pPr>
              <w:spacing w:after="0"/>
              <w:rPr>
                <w:sz w:val="13"/>
                <w:szCs w:val="13"/>
                <w:color w:val="auto"/>
              </w:rPr>
            </w:pPr>
          </w:p>
        </w:tc>
        <w:tc>
          <w:tcPr>
            <w:tcW w:w="680" w:type="dxa"/>
            <w:vAlign w:val="bottom"/>
            <w:gridSpan w:val="2"/>
          </w:tcPr>
          <w:p>
            <w:pPr>
              <w:jc w:val="right"/>
              <w:ind w:right="122"/>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22"/>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42"/>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cash flow used in investing activities</w:t>
            </w:r>
          </w:p>
        </w:tc>
        <w:tc>
          <w:tcPr>
            <w:tcW w:w="1620" w:type="dxa"/>
            <w:vAlign w:val="bottom"/>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(10,988)</w:t>
            </w:r>
          </w:p>
        </w:tc>
        <w:tc>
          <w:tcPr>
            <w:tcW w:w="140" w:type="dxa"/>
            <w:vAlign w:val="bottom"/>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(66,209)</w:t>
            </w:r>
          </w:p>
        </w:tc>
        <w:tc>
          <w:tcPr>
            <w:tcW w:w="160" w:type="dxa"/>
            <w:vAlign w:val="bottom"/>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(33,401)</w:t>
            </w:r>
          </w:p>
        </w:tc>
        <w:tc>
          <w:tcPr>
            <w:tcW w:w="160" w:type="dxa"/>
            <w:vAlign w:val="bottom"/>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(5,241)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3800" w:type="dxa"/>
            <w:vAlign w:val="bottom"/>
          </w:tcPr>
          <w:p>
            <w:pPr>
              <w:spacing w:after="0"/>
              <w:rPr>
                <w:sz w:val="22"/>
                <w:szCs w:val="22"/>
                <w:color w:val="auto"/>
              </w:rPr>
            </w:pPr>
          </w:p>
        </w:tc>
        <w:tc>
          <w:tcPr>
            <w:tcW w:w="1620" w:type="dxa"/>
            <w:vAlign w:val="bottom"/>
          </w:tcPr>
          <w:p>
            <w:pPr>
              <w:jc w:val="right"/>
              <w:ind w:right="1256"/>
              <w:spacing w:after="0"/>
              <w:rPr>
                <w:sz w:val="20"/>
                <w:szCs w:val="20"/>
                <w:color w:val="auto"/>
              </w:rPr>
            </w:pPr>
            <w:r>
              <w:rPr>
                <w:rFonts w:ascii="Times New Roman" w:cs="Times New Roman" w:eastAsia="Times New Roman" w:hAnsi="Times New Roman"/>
                <w:sz w:val="13"/>
                <w:szCs w:val="13"/>
                <w:color w:val="auto"/>
              </w:rPr>
              <w:t>F- 12</w:t>
            </w: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8" w:right="1440"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4">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EHANG HOLDING LIMITED</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 (CONTINUED)</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5">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5" w:lineRule="exact"/>
        <w:rPr>
          <w:sz w:val="20"/>
          <w:szCs w:val="20"/>
          <w:color w:val="auto"/>
        </w:rPr>
      </w:pPr>
    </w:p>
    <w:tbl>
      <w:tblPr>
        <w:tblLayout w:type="fixed"/>
        <w:tblInd w:w="1680" w:type="dxa"/>
        <w:tblCellMar>
          <w:top w:w="0" w:type="dxa"/>
          <w:left w:w="0" w:type="dxa"/>
          <w:bottom w:w="0" w:type="dxa"/>
          <w:right w:w="0" w:type="dxa"/>
        </w:tblCellMar>
      </w:tblPr>
      <w:tr>
        <w:trPr>
          <w:trHeight w:val="124"/>
        </w:trPr>
        <w:tc>
          <w:tcPr>
            <w:tcW w:w="4860" w:type="dxa"/>
            <w:vAlign w:val="bottom"/>
          </w:tcPr>
          <w:p>
            <w:pPr>
              <w:spacing w:after="0"/>
              <w:rPr>
                <w:sz w:val="10"/>
                <w:szCs w:val="10"/>
                <w:color w:val="auto"/>
              </w:rPr>
            </w:pPr>
          </w:p>
        </w:tc>
        <w:tc>
          <w:tcPr>
            <w:tcW w:w="700" w:type="dxa"/>
            <w:vAlign w:val="bottom"/>
            <w:vMerge w:val="restart"/>
          </w:tcPr>
          <w:p>
            <w:pPr>
              <w:jc w:val="right"/>
              <w:ind w:right="77"/>
              <w:spacing w:after="0"/>
              <w:rPr>
                <w:sz w:val="20"/>
                <w:szCs w:val="20"/>
                <w:color w:val="auto"/>
              </w:rPr>
            </w:pPr>
            <w:r>
              <w:rPr>
                <w:rFonts w:ascii="Times New Roman" w:cs="Times New Roman" w:eastAsia="Times New Roman" w:hAnsi="Times New Roman"/>
                <w:sz w:val="10"/>
                <w:szCs w:val="10"/>
                <w:b w:val="1"/>
                <w:bCs w:val="1"/>
                <w:color w:val="auto"/>
              </w:rPr>
              <w:t>Note</w:t>
            </w:r>
          </w:p>
        </w:tc>
        <w:tc>
          <w:tcPr>
            <w:tcW w:w="19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0"/>
                <w:szCs w:val="10"/>
                <w:b w:val="1"/>
                <w:bCs w:val="1"/>
                <w:color w:val="auto"/>
              </w:rPr>
              <w:t>For the years ended December 31,</w:t>
            </w:r>
          </w:p>
        </w:tc>
        <w:tc>
          <w:tcPr>
            <w:tcW w:w="4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486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tcBorders>
              <w:bottom w:val="single" w:sz="8" w:color="auto"/>
            </w:tcBorders>
          </w:tcPr>
          <w:p>
            <w:pPr>
              <w:jc w:val="right"/>
              <w:ind w:right="77"/>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60" w:type="dxa"/>
            <w:vAlign w:val="bottom"/>
          </w:tcPr>
          <w:p>
            <w:pPr>
              <w:spacing w:after="0"/>
              <w:rPr>
                <w:sz w:val="8"/>
                <w:szCs w:val="8"/>
                <w:color w:val="auto"/>
              </w:rPr>
            </w:pPr>
          </w:p>
        </w:tc>
        <w:tc>
          <w:tcPr>
            <w:tcW w:w="500" w:type="dxa"/>
            <w:vAlign w:val="bottom"/>
            <w:tcBorders>
              <w:bottom w:val="single" w:sz="8" w:color="auto"/>
            </w:tcBorders>
          </w:tcPr>
          <w:p>
            <w:pPr>
              <w:jc w:val="right"/>
              <w:ind w:right="97"/>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160" w:type="dxa"/>
            <w:vAlign w:val="bottom"/>
          </w:tcPr>
          <w:p>
            <w:pPr>
              <w:spacing w:after="0"/>
              <w:rPr>
                <w:sz w:val="8"/>
                <w:szCs w:val="8"/>
                <w:color w:val="auto"/>
              </w:rPr>
            </w:pPr>
          </w:p>
        </w:tc>
        <w:tc>
          <w:tcPr>
            <w:tcW w:w="620" w:type="dxa"/>
            <w:vAlign w:val="bottom"/>
            <w:tcBorders>
              <w:bottom w:val="single" w:sz="8" w:color="auto"/>
            </w:tcBorders>
            <w:gridSpan w:val="2"/>
          </w:tcPr>
          <w:p>
            <w:pPr>
              <w:jc w:val="right"/>
              <w:ind w:right="20"/>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4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jc w:val="right"/>
              <w:ind w:right="57"/>
              <w:spacing w:after="0" w:line="80" w:lineRule="exact"/>
              <w:rPr>
                <w:sz w:val="20"/>
                <w:szCs w:val="20"/>
                <w:color w:val="auto"/>
              </w:rPr>
            </w:pPr>
            <w:r>
              <w:rPr>
                <w:rFonts w:ascii="Times New Roman" w:cs="Times New Roman" w:eastAsia="Times New Roman" w:hAnsi="Times New Roman"/>
                <w:sz w:val="9"/>
                <w:szCs w:val="9"/>
                <w:b w:val="1"/>
                <w:bCs w:val="1"/>
                <w:color w:val="auto"/>
              </w:rPr>
              <w:t>RMB</w:t>
            </w:r>
          </w:p>
        </w:tc>
        <w:tc>
          <w:tcPr>
            <w:tcW w:w="160" w:type="dxa"/>
            <w:vAlign w:val="bottom"/>
          </w:tcPr>
          <w:p>
            <w:pPr>
              <w:spacing w:after="0"/>
              <w:rPr>
                <w:sz w:val="6"/>
                <w:szCs w:val="6"/>
                <w:color w:val="auto"/>
              </w:rPr>
            </w:pPr>
          </w:p>
        </w:tc>
        <w:tc>
          <w:tcPr>
            <w:tcW w:w="500" w:type="dxa"/>
            <w:vAlign w:val="bottom"/>
          </w:tcPr>
          <w:p>
            <w:pPr>
              <w:jc w:val="right"/>
              <w:ind w:right="77"/>
              <w:spacing w:after="0" w:line="80" w:lineRule="exact"/>
              <w:rPr>
                <w:sz w:val="20"/>
                <w:szCs w:val="20"/>
                <w:color w:val="auto"/>
              </w:rPr>
            </w:pPr>
            <w:r>
              <w:rPr>
                <w:rFonts w:ascii="Times New Roman" w:cs="Times New Roman" w:eastAsia="Times New Roman" w:hAnsi="Times New Roman"/>
                <w:sz w:val="9"/>
                <w:szCs w:val="9"/>
                <w:b w:val="1"/>
                <w:bCs w:val="1"/>
                <w:color w:val="auto"/>
              </w:rPr>
              <w:t>RMB</w:t>
            </w:r>
          </w:p>
        </w:tc>
        <w:tc>
          <w:tcPr>
            <w:tcW w:w="160" w:type="dxa"/>
            <w:vAlign w:val="bottom"/>
          </w:tcPr>
          <w:p>
            <w:pPr>
              <w:spacing w:after="0"/>
              <w:rPr>
                <w:sz w:val="6"/>
                <w:szCs w:val="6"/>
                <w:color w:val="auto"/>
              </w:rPr>
            </w:pPr>
          </w:p>
        </w:tc>
        <w:tc>
          <w:tcPr>
            <w:tcW w:w="620" w:type="dxa"/>
            <w:vAlign w:val="bottom"/>
            <w:gridSpan w:val="2"/>
          </w:tcPr>
          <w:p>
            <w:pPr>
              <w:jc w:val="right"/>
              <w:ind w:right="280"/>
              <w:spacing w:after="0" w:line="80" w:lineRule="exact"/>
              <w:rPr>
                <w:sz w:val="20"/>
                <w:szCs w:val="20"/>
                <w:color w:val="auto"/>
              </w:rPr>
            </w:pPr>
            <w:r>
              <w:rPr>
                <w:rFonts w:ascii="Times New Roman" w:cs="Times New Roman" w:eastAsia="Times New Roman" w:hAnsi="Times New Roman"/>
                <w:sz w:val="9"/>
                <w:szCs w:val="9"/>
                <w:b w:val="1"/>
                <w:bCs w:val="1"/>
                <w:color w:val="auto"/>
              </w:rPr>
              <w:t>RMB</w:t>
            </w:r>
          </w:p>
        </w:tc>
        <w:tc>
          <w:tcPr>
            <w:tcW w:w="400" w:type="dxa"/>
            <w:vAlign w:val="bottom"/>
          </w:tcPr>
          <w:p>
            <w:pPr>
              <w:jc w:val="right"/>
              <w:ind w:right="57"/>
              <w:spacing w:after="0" w:line="80" w:lineRule="exact"/>
              <w:rPr>
                <w:sz w:val="20"/>
                <w:szCs w:val="20"/>
                <w:color w:val="auto"/>
              </w:rPr>
            </w:pPr>
            <w:r>
              <w:rPr>
                <w:rFonts w:ascii="Times New Roman" w:cs="Times New Roman" w:eastAsia="Times New Roman" w:hAnsi="Times New Roman"/>
                <w:sz w:val="9"/>
                <w:szCs w:val="9"/>
                <w:b w:val="1"/>
                <w:bCs w:val="1"/>
                <w:color w:val="auto"/>
              </w:rPr>
              <w:t>US$</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48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w w:val="99"/>
              </w:rPr>
              <w:t>Note 2(e)</w:t>
            </w:r>
          </w:p>
        </w:tc>
        <w:tc>
          <w:tcPr>
            <w:tcW w:w="0" w:type="dxa"/>
            <w:vAlign w:val="bottom"/>
          </w:tcPr>
          <w:p>
            <w:pPr>
              <w:spacing w:after="0"/>
              <w:rPr>
                <w:sz w:val="1"/>
                <w:szCs w:val="1"/>
                <w:color w:val="auto"/>
              </w:rPr>
            </w:pPr>
          </w:p>
        </w:tc>
      </w:tr>
      <w:tr>
        <w:trPr>
          <w:trHeight w:val="15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7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Proceeds from short-term bank loans</w:t>
            </w: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1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1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Repayment of short-term bank loans</w:t>
            </w: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12</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(5,000 )</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(5,000)</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(15,000)</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(2,354)</w:t>
            </w:r>
          </w:p>
        </w:tc>
        <w:tc>
          <w:tcPr>
            <w:tcW w:w="0" w:type="dxa"/>
            <w:vAlign w:val="bottom"/>
          </w:tcPr>
          <w:p>
            <w:pPr>
              <w:spacing w:after="0"/>
              <w:rPr>
                <w:sz w:val="1"/>
                <w:szCs w:val="1"/>
                <w:color w:val="auto"/>
              </w:rPr>
            </w:pPr>
          </w:p>
        </w:tc>
      </w:tr>
      <w:tr>
        <w:trPr>
          <w:trHeight w:val="156"/>
        </w:trPr>
        <w:tc>
          <w:tcPr>
            <w:tcW w:w="4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Proceeds from long-term bank loans</w:t>
            </w: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20,000</w:t>
            </w:r>
          </w:p>
        </w:tc>
        <w:tc>
          <w:tcPr>
            <w:tcW w:w="1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Proceeds from loans from third parties</w:t>
            </w: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11</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4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Repayment of loans from third parties</w:t>
            </w: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(5,000)</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(2,000)</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(5,000)</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(785)</w:t>
            </w:r>
          </w:p>
        </w:tc>
        <w:tc>
          <w:tcPr>
            <w:tcW w:w="0" w:type="dxa"/>
            <w:vAlign w:val="bottom"/>
          </w:tcPr>
          <w:p>
            <w:pPr>
              <w:spacing w:after="0"/>
              <w:rPr>
                <w:sz w:val="1"/>
                <w:szCs w:val="1"/>
                <w:color w:val="auto"/>
              </w:rPr>
            </w:pPr>
          </w:p>
        </w:tc>
      </w:tr>
      <w:tr>
        <w:trPr>
          <w:trHeight w:val="156"/>
        </w:trPr>
        <w:tc>
          <w:tcPr>
            <w:tcW w:w="4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Proceeds from mandatorily redeemable non-controlling interests of a subsidiary</w:t>
            </w: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13</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40,000</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4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Proceeds from issuance of a subsidiary’s equity to non-controlling interest holders</w:t>
            </w:r>
          </w:p>
        </w:tc>
        <w:tc>
          <w:tcPr>
            <w:tcW w:w="70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16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4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Shares issued upon vesting of restricted share units</w:t>
            </w:r>
          </w:p>
        </w:tc>
        <w:tc>
          <w:tcPr>
            <w:tcW w:w="7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4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Proceeds from IPO, net of issuance costs</w:t>
            </w:r>
          </w:p>
        </w:tc>
        <w:tc>
          <w:tcPr>
            <w:tcW w:w="7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252,861</w:t>
            </w:r>
          </w:p>
        </w:tc>
        <w:tc>
          <w:tcPr>
            <w:tcW w:w="16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4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Proceeds from issuance of Class A ordinary shares, net of issuance costs</w:t>
            </w:r>
          </w:p>
        </w:tc>
        <w:tc>
          <w:tcPr>
            <w:tcW w:w="7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7,313</w:t>
            </w: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256,945</w:t>
            </w: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40,320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Proceeds from issuance of Series C redeemable convertible preferred shares</w:t>
            </w:r>
          </w:p>
        </w:tc>
        <w:tc>
          <w:tcPr>
            <w:tcW w:w="7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47,436</w:t>
            </w:r>
          </w:p>
        </w:tc>
        <w:tc>
          <w:tcPr>
            <w:tcW w:w="16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4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Payment of underwriters’ exercise of over-allotment option’s issuance costs</w:t>
            </w:r>
          </w:p>
        </w:tc>
        <w:tc>
          <w:tcPr>
            <w:tcW w:w="7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(750)</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4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Payment of issuance costs for IPO</w:t>
            </w:r>
          </w:p>
        </w:tc>
        <w:tc>
          <w:tcPr>
            <w:tcW w:w="70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(13,906)</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cash provided by financing activities</w:t>
            </w:r>
          </w:p>
        </w:tc>
        <w:tc>
          <w:tcPr>
            <w:tcW w:w="700" w:type="dxa"/>
            <w:vAlign w:val="bottom"/>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325,302</w:t>
            </w:r>
          </w:p>
        </w:tc>
        <w:tc>
          <w:tcPr>
            <w:tcW w:w="160" w:type="dxa"/>
            <w:vAlign w:val="bottom"/>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42,680</w:t>
            </w:r>
          </w:p>
        </w:tc>
        <w:tc>
          <w:tcPr>
            <w:tcW w:w="160" w:type="dxa"/>
            <w:vAlign w:val="bottom"/>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266,947</w:t>
            </w:r>
          </w:p>
        </w:tc>
        <w:tc>
          <w:tcPr>
            <w:tcW w:w="160" w:type="dxa"/>
            <w:vAlign w:val="bottom"/>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41,888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860" w:type="dxa"/>
            <w:vAlign w:val="bottom"/>
          </w:tcPr>
          <w:p>
            <w:pPr>
              <w:spacing w:after="0"/>
              <w:rPr>
                <w:sz w:val="20"/>
                <w:szCs w:val="20"/>
                <w:color w:val="auto"/>
              </w:rPr>
            </w:pPr>
            <w:r>
              <w:rPr>
                <w:rFonts w:ascii="Times New Roman" w:cs="Times New Roman" w:eastAsia="Times New Roman" w:hAnsi="Times New Roman"/>
                <w:sz w:val="13"/>
                <w:szCs w:val="13"/>
                <w:color w:val="auto"/>
              </w:rPr>
              <w:t>Effect of exchange rate changes on cash, cash equivalents and restricted cash</w:t>
            </w:r>
          </w:p>
        </w:tc>
        <w:tc>
          <w:tcPr>
            <w:tcW w:w="700" w:type="dxa"/>
            <w:vAlign w:val="bottom"/>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1,347</w:t>
            </w:r>
          </w:p>
        </w:tc>
        <w:tc>
          <w:tcPr>
            <w:tcW w:w="160" w:type="dxa"/>
            <w:vAlign w:val="bottom"/>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(6,264)</w:t>
            </w:r>
          </w:p>
        </w:tc>
        <w:tc>
          <w:tcPr>
            <w:tcW w:w="160" w:type="dxa"/>
            <w:vAlign w:val="bottom"/>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(5,067)</w:t>
            </w:r>
          </w:p>
        </w:tc>
        <w:tc>
          <w:tcPr>
            <w:tcW w:w="160" w:type="dxa"/>
            <w:vAlign w:val="bottom"/>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increase (decrease) in cash, cash equivalents and restricted cash</w:t>
            </w:r>
          </w:p>
        </w:tc>
        <w:tc>
          <w:tcPr>
            <w:tcW w:w="7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260,143</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(181,489)</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106,850</w:t>
            </w: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16,767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60" w:type="dxa"/>
            <w:vAlign w:val="bottom"/>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at the beginning of the year</w:t>
            </w:r>
          </w:p>
        </w:tc>
        <w:tc>
          <w:tcPr>
            <w:tcW w:w="700" w:type="dxa"/>
            <w:vAlign w:val="bottom"/>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61,519</w:t>
            </w:r>
          </w:p>
        </w:tc>
        <w:tc>
          <w:tcPr>
            <w:tcW w:w="160" w:type="dxa"/>
            <w:vAlign w:val="bottom"/>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321,662</w:t>
            </w:r>
          </w:p>
        </w:tc>
        <w:tc>
          <w:tcPr>
            <w:tcW w:w="160" w:type="dxa"/>
            <w:vAlign w:val="bottom"/>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140,173</w:t>
            </w:r>
          </w:p>
        </w:tc>
        <w:tc>
          <w:tcPr>
            <w:tcW w:w="160" w:type="dxa"/>
            <w:vAlign w:val="bottom"/>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21,996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the end of the year</w:t>
            </w:r>
          </w:p>
        </w:tc>
        <w:tc>
          <w:tcPr>
            <w:tcW w:w="70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321,662</w:t>
            </w:r>
          </w:p>
        </w:tc>
        <w:tc>
          <w:tcPr>
            <w:tcW w:w="16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140,173</w:t>
            </w:r>
          </w:p>
        </w:tc>
        <w:tc>
          <w:tcPr>
            <w:tcW w:w="16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247,023</w:t>
            </w:r>
          </w:p>
        </w:tc>
        <w:tc>
          <w:tcPr>
            <w:tcW w:w="16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38,763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disclosures of cash flow information:</w:t>
            </w: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paid</w:t>
            </w:r>
          </w:p>
        </w:tc>
        <w:tc>
          <w:tcPr>
            <w:tcW w:w="7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w:t>
            </w: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1,178</w:t>
            </w: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860" w:type="dxa"/>
            <w:vAlign w:val="bottom"/>
          </w:tcPr>
          <w:p>
            <w:pPr>
              <w:spacing w:after="0"/>
              <w:rPr>
                <w:sz w:val="20"/>
                <w:szCs w:val="20"/>
                <w:color w:val="auto"/>
              </w:rPr>
            </w:pPr>
            <w:r>
              <w:rPr>
                <w:rFonts w:ascii="Times New Roman" w:cs="Times New Roman" w:eastAsia="Times New Roman" w:hAnsi="Times New Roman"/>
                <w:sz w:val="13"/>
                <w:szCs w:val="13"/>
                <w:color w:val="auto"/>
              </w:rPr>
              <w:t>Income taxes paid</w:t>
            </w:r>
          </w:p>
        </w:tc>
        <w:tc>
          <w:tcPr>
            <w:tcW w:w="7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1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860" w:type="dxa"/>
            <w:vAlign w:val="bottom"/>
          </w:tcPr>
          <w:p>
            <w:pPr>
              <w:ind w:left="3820"/>
              <w:spacing w:after="0"/>
              <w:rPr>
                <w:sz w:val="20"/>
                <w:szCs w:val="20"/>
                <w:color w:val="auto"/>
              </w:rPr>
            </w:pPr>
            <w:r>
              <w:rPr>
                <w:rFonts w:ascii="Times New Roman" w:cs="Times New Roman" w:eastAsia="Times New Roman" w:hAnsi="Times New Roman"/>
                <w:sz w:val="13"/>
                <w:szCs w:val="13"/>
                <w:color w:val="auto"/>
              </w:rPr>
              <w:t>F- 13</w:t>
            </w: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8" w:right="1440"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6">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EHANG HOLDING LIMITED</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 (CONTINUED)</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7">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5" w:lineRule="exact"/>
        <w:rPr>
          <w:sz w:val="20"/>
          <w:szCs w:val="20"/>
          <w:color w:val="auto"/>
        </w:rPr>
      </w:pPr>
    </w:p>
    <w:tbl>
      <w:tblPr>
        <w:tblLayout w:type="fixed"/>
        <w:tblInd w:w="1680" w:type="dxa"/>
        <w:tblCellMar>
          <w:top w:w="0" w:type="dxa"/>
          <w:left w:w="0" w:type="dxa"/>
          <w:bottom w:w="0" w:type="dxa"/>
          <w:right w:w="0" w:type="dxa"/>
        </w:tblCellMar>
      </w:tblPr>
      <w:tr>
        <w:trPr>
          <w:trHeight w:val="124"/>
        </w:trPr>
        <w:tc>
          <w:tcPr>
            <w:tcW w:w="5220" w:type="dxa"/>
            <w:vAlign w:val="bottom"/>
          </w:tcPr>
          <w:p>
            <w:pPr>
              <w:spacing w:after="0"/>
              <w:rPr>
                <w:sz w:val="10"/>
                <w:szCs w:val="10"/>
                <w:color w:val="auto"/>
              </w:rPr>
            </w:pPr>
          </w:p>
        </w:tc>
        <w:tc>
          <w:tcPr>
            <w:tcW w:w="520" w:type="dxa"/>
            <w:vAlign w:val="bottom"/>
            <w:vMerge w:val="restart"/>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Note</w:t>
            </w:r>
          </w:p>
        </w:tc>
        <w:tc>
          <w:tcPr>
            <w:tcW w:w="2200" w:type="dxa"/>
            <w:vAlign w:val="bottom"/>
            <w:gridSpan w:val="8"/>
          </w:tcPr>
          <w:p>
            <w:pPr>
              <w:ind w:left="320"/>
              <w:spacing w:after="0"/>
              <w:rPr>
                <w:sz w:val="20"/>
                <w:szCs w:val="20"/>
                <w:color w:val="auto"/>
              </w:rPr>
            </w:pPr>
            <w:r>
              <w:rPr>
                <w:rFonts w:ascii="Times New Roman" w:cs="Times New Roman" w:eastAsia="Times New Roman" w:hAnsi="Times New Roman"/>
                <w:sz w:val="10"/>
                <w:szCs w:val="10"/>
                <w:b w:val="1"/>
                <w:bCs w:val="1"/>
                <w:color w:val="auto"/>
              </w:rPr>
              <w:t>For the years ended December 31,</w:t>
            </w:r>
          </w:p>
        </w:tc>
        <w:tc>
          <w:tcPr>
            <w:tcW w:w="0" w:type="dxa"/>
            <w:vAlign w:val="bottom"/>
          </w:tcPr>
          <w:p>
            <w:pPr>
              <w:spacing w:after="0"/>
              <w:rPr>
                <w:sz w:val="1"/>
                <w:szCs w:val="1"/>
                <w:color w:val="auto"/>
              </w:rPr>
            </w:pPr>
          </w:p>
        </w:tc>
      </w:tr>
      <w:tr>
        <w:trPr>
          <w:trHeight w:val="97"/>
        </w:trPr>
        <w:tc>
          <w:tcPr>
            <w:tcW w:w="5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480" w:type="dxa"/>
            <w:vAlign w:val="bottom"/>
            <w:tcBorders>
              <w:top w:val="single" w:sz="8" w:color="auto"/>
            </w:tcBorders>
          </w:tcPr>
          <w:p>
            <w:pPr>
              <w:jc w:val="right"/>
              <w:ind w:right="79"/>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580" w:type="dxa"/>
            <w:vAlign w:val="bottom"/>
            <w:tcBorders>
              <w:top w:val="single" w:sz="8" w:color="auto"/>
            </w:tcBorders>
            <w:gridSpan w:val="2"/>
          </w:tcPr>
          <w:p>
            <w:pPr>
              <w:jc w:val="right"/>
              <w:ind w:right="81"/>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1100" w:type="dxa"/>
            <w:vAlign w:val="bottom"/>
            <w:tcBorders>
              <w:top w:val="single" w:sz="8" w:color="auto"/>
            </w:tcBorders>
            <w:gridSpan w:val="4"/>
          </w:tcPr>
          <w:p>
            <w:pPr>
              <w:jc w:val="right"/>
              <w:ind w:right="339"/>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5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80" w:type="dxa"/>
            <w:vAlign w:val="bottom"/>
            <w:tcBorders>
              <w:top w:val="single" w:sz="8" w:color="auto"/>
            </w:tcBorders>
          </w:tcPr>
          <w:p>
            <w:pPr>
              <w:jc w:val="right"/>
              <w:ind w:right="59"/>
              <w:spacing w:after="0" w:line="80" w:lineRule="exact"/>
              <w:rPr>
                <w:sz w:val="20"/>
                <w:szCs w:val="20"/>
                <w:color w:val="auto"/>
              </w:rPr>
            </w:pPr>
            <w:r>
              <w:rPr>
                <w:rFonts w:ascii="Times New Roman" w:cs="Times New Roman" w:eastAsia="Times New Roman" w:hAnsi="Times New Roman"/>
                <w:sz w:val="9"/>
                <w:szCs w:val="9"/>
                <w:b w:val="1"/>
                <w:bCs w:val="1"/>
                <w:color w:val="auto"/>
              </w:rPr>
              <w:t>RMB</w:t>
            </w:r>
          </w:p>
        </w:tc>
        <w:tc>
          <w:tcPr>
            <w:tcW w:w="120" w:type="dxa"/>
            <w:vAlign w:val="bottom"/>
          </w:tcPr>
          <w:p>
            <w:pPr>
              <w:spacing w:after="0"/>
              <w:rPr>
                <w:sz w:val="6"/>
                <w:szCs w:val="6"/>
                <w:color w:val="auto"/>
              </w:rPr>
            </w:pPr>
          </w:p>
        </w:tc>
        <w:tc>
          <w:tcPr>
            <w:tcW w:w="460" w:type="dxa"/>
            <w:vAlign w:val="bottom"/>
            <w:tcBorders>
              <w:top w:val="single" w:sz="8" w:color="auto"/>
            </w:tcBorders>
          </w:tcPr>
          <w:p>
            <w:pPr>
              <w:jc w:val="right"/>
              <w:ind w:right="61"/>
              <w:spacing w:after="0" w:line="80" w:lineRule="exact"/>
              <w:rPr>
                <w:sz w:val="20"/>
                <w:szCs w:val="20"/>
                <w:color w:val="auto"/>
              </w:rPr>
            </w:pPr>
            <w:r>
              <w:rPr>
                <w:rFonts w:ascii="Times New Roman" w:cs="Times New Roman" w:eastAsia="Times New Roman" w:hAnsi="Times New Roman"/>
                <w:sz w:val="9"/>
                <w:szCs w:val="9"/>
                <w:b w:val="1"/>
                <w:bCs w:val="1"/>
                <w:color w:val="auto"/>
              </w:rPr>
              <w:t>RMB</w:t>
            </w:r>
          </w:p>
        </w:tc>
        <w:tc>
          <w:tcPr>
            <w:tcW w:w="120" w:type="dxa"/>
            <w:vAlign w:val="bottom"/>
          </w:tcPr>
          <w:p>
            <w:pPr>
              <w:spacing w:after="0"/>
              <w:rPr>
                <w:sz w:val="6"/>
                <w:szCs w:val="6"/>
                <w:color w:val="auto"/>
              </w:rPr>
            </w:pPr>
          </w:p>
        </w:tc>
        <w:tc>
          <w:tcPr>
            <w:tcW w:w="460" w:type="dxa"/>
            <w:vAlign w:val="bottom"/>
            <w:tcBorders>
              <w:top w:val="single" w:sz="8" w:color="auto"/>
            </w:tcBorders>
          </w:tcPr>
          <w:p>
            <w:pPr>
              <w:jc w:val="right"/>
              <w:ind w:right="59"/>
              <w:spacing w:after="0" w:line="80" w:lineRule="exact"/>
              <w:rPr>
                <w:sz w:val="20"/>
                <w:szCs w:val="20"/>
                <w:color w:val="auto"/>
              </w:rPr>
            </w:pPr>
            <w:r>
              <w:rPr>
                <w:rFonts w:ascii="Times New Roman" w:cs="Times New Roman" w:eastAsia="Times New Roman" w:hAnsi="Times New Roman"/>
                <w:sz w:val="9"/>
                <w:szCs w:val="9"/>
                <w:b w:val="1"/>
                <w:bCs w:val="1"/>
                <w:color w:val="auto"/>
              </w:rPr>
              <w:t>RMB</w:t>
            </w:r>
          </w:p>
        </w:tc>
        <w:tc>
          <w:tcPr>
            <w:tcW w:w="12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jc w:val="right"/>
              <w:ind w:right="59"/>
              <w:spacing w:after="0" w:line="80" w:lineRule="exact"/>
              <w:rPr>
                <w:sz w:val="20"/>
                <w:szCs w:val="20"/>
                <w:color w:val="auto"/>
              </w:rPr>
            </w:pPr>
            <w:r>
              <w:rPr>
                <w:rFonts w:ascii="Times New Roman" w:cs="Times New Roman" w:eastAsia="Times New Roman" w:hAnsi="Times New Roman"/>
                <w:sz w:val="9"/>
                <w:szCs w:val="9"/>
                <w:b w:val="1"/>
                <w:bCs w:val="1"/>
                <w:color w:val="auto"/>
              </w:rPr>
              <w:t>US$</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5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gridSpan w:val="3"/>
          </w:tcPr>
          <w:p>
            <w:pPr>
              <w:ind w:left="120"/>
              <w:spacing w:after="0"/>
              <w:rPr>
                <w:sz w:val="20"/>
                <w:szCs w:val="20"/>
                <w:color w:val="auto"/>
              </w:rPr>
            </w:pPr>
            <w:r>
              <w:rPr>
                <w:rFonts w:ascii="Times New Roman" w:cs="Times New Roman" w:eastAsia="Times New Roman" w:hAnsi="Times New Roman"/>
                <w:sz w:val="10"/>
                <w:szCs w:val="10"/>
                <w:color w:val="auto"/>
              </w:rPr>
              <w:t>Note 2(e)</w:t>
            </w:r>
          </w:p>
        </w:tc>
        <w:tc>
          <w:tcPr>
            <w:tcW w:w="0" w:type="dxa"/>
            <w:vAlign w:val="bottom"/>
          </w:tcPr>
          <w:p>
            <w:pPr>
              <w:spacing w:after="0"/>
              <w:rPr>
                <w:sz w:val="1"/>
                <w:szCs w:val="1"/>
                <w:color w:val="auto"/>
              </w:rPr>
            </w:pPr>
          </w:p>
        </w:tc>
      </w:tr>
      <w:tr>
        <w:trPr>
          <w:trHeight w:val="15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Non-cash investing and financing activities:</w:t>
            </w:r>
          </w:p>
        </w:tc>
        <w:tc>
          <w:tcPr>
            <w:tcW w:w="5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20" w:type="dxa"/>
            <w:vAlign w:val="bottom"/>
          </w:tcPr>
          <w:p>
            <w:pPr>
              <w:spacing w:after="0"/>
              <w:rPr>
                <w:sz w:val="20"/>
                <w:szCs w:val="20"/>
                <w:color w:val="auto"/>
              </w:rPr>
            </w:pPr>
            <w:r>
              <w:rPr>
                <w:rFonts w:ascii="Times New Roman" w:cs="Times New Roman" w:eastAsia="Times New Roman" w:hAnsi="Times New Roman"/>
                <w:sz w:val="13"/>
                <w:szCs w:val="13"/>
                <w:color w:val="auto"/>
              </w:rPr>
              <w:t>Long-term loan from a third party settled by accounts receivable</w:t>
            </w:r>
          </w:p>
        </w:tc>
        <w:tc>
          <w:tcPr>
            <w:tcW w:w="52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auto"/>
              </w:rPr>
              <w:t>11</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3,923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Purchase of property and equipment included in Accrued expenses and other liabilities</w:t>
            </w:r>
          </w:p>
        </w:tc>
        <w:tc>
          <w:tcPr>
            <w:tcW w:w="5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4,967</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1,228</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22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Issuance costs for Series C redeemable convertible preferred shares included in Accrued expenses</w:t>
            </w: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and other liabilities</w:t>
            </w:r>
          </w:p>
        </w:tc>
        <w:tc>
          <w:tcPr>
            <w:tcW w:w="5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743</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costs for IPO included in Accrued expenses and other liabilities</w:t>
            </w:r>
          </w:p>
        </w:tc>
        <w:tc>
          <w:tcPr>
            <w:tcW w:w="5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14,727</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821</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3"/>
        </w:trPr>
        <w:tc>
          <w:tcPr>
            <w:tcW w:w="522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Unpaid issuance costs for issuance of Class A ordinary shares pursuant to underwriters’ exercise of</w:t>
            </w: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overallotment option included in Accrued expenses and other liabilities</w:t>
            </w:r>
          </w:p>
        </w:tc>
        <w:tc>
          <w:tcPr>
            <w:tcW w:w="5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812</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Reconciliation of cash, cash equivalents and restricted cash:</w:t>
            </w:r>
          </w:p>
        </w:tc>
        <w:tc>
          <w:tcPr>
            <w:tcW w:w="5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5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321,662</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137,840</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246,863</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38,738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Restricted cash</w:t>
            </w:r>
          </w:p>
        </w:tc>
        <w:tc>
          <w:tcPr>
            <w:tcW w:w="5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w:t>
            </w:r>
            <w:r>
              <w:rPr>
                <w:rFonts w:ascii="Times New Roman" w:cs="Times New Roman" w:eastAsia="Times New Roman" w:hAnsi="Times New Roman"/>
                <w:sz w:val="11"/>
                <w:szCs w:val="11"/>
                <w:color w:val="auto"/>
              </w:rPr>
              <w:t>(g)</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2,333</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cash, cash equivalents and restricted cash in the statements of cash flows</w:t>
            </w:r>
          </w:p>
        </w:tc>
        <w:tc>
          <w:tcPr>
            <w:tcW w:w="52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321,662</w:t>
            </w:r>
          </w:p>
        </w:tc>
        <w:tc>
          <w:tcPr>
            <w:tcW w:w="12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140,173</w:t>
            </w:r>
          </w:p>
        </w:tc>
        <w:tc>
          <w:tcPr>
            <w:tcW w:w="12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247,023</w:t>
            </w:r>
          </w:p>
        </w:tc>
        <w:tc>
          <w:tcPr>
            <w:tcW w:w="12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38,763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p>
    <w:p>
      <w:pPr>
        <w:spacing w:after="0" w:line="11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color w:val="auto"/>
        </w:rPr>
        <w:t>F- 14</w:t>
      </w:r>
    </w:p>
    <w:p>
      <w:pPr>
        <w:sectPr>
          <w:pgSz w:w="11900" w:h="16838" w:orient="portrait"/>
          <w:cols w:equalWidth="0" w:num="1">
            <w:col w:w="10159"/>
          </w:cols>
          <w:pgMar w:left="300" w:top="388" w:right="1440"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8">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9">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225" w:lineRule="exact"/>
        <w:rPr>
          <w:sz w:val="20"/>
          <w:szCs w:val="20"/>
          <w:color w:val="auto"/>
        </w:rPr>
      </w:pPr>
    </w:p>
    <w:p>
      <w:pPr>
        <w:ind w:left="1980" w:hanging="304"/>
        <w:spacing w:after="0"/>
        <w:tabs>
          <w:tab w:leader="none" w:pos="1980" w:val="left"/>
        </w:tabs>
        <w:numPr>
          <w:ilvl w:val="0"/>
          <w:numId w:val="8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Organization and Basis of Presentation</w:t>
      </w:r>
    </w:p>
    <w:p>
      <w:pPr>
        <w:spacing w:after="0" w:line="85" w:lineRule="exact"/>
        <w:rPr>
          <w:rFonts w:ascii="Times New Roman" w:cs="Times New Roman" w:eastAsia="Times New Roman" w:hAnsi="Times New Roman"/>
          <w:sz w:val="13"/>
          <w:szCs w:val="13"/>
          <w:b w:val="1"/>
          <w:bCs w:val="1"/>
          <w:color w:val="auto"/>
        </w:rPr>
      </w:pPr>
    </w:p>
    <w:p>
      <w:pPr>
        <w:ind w:left="2000" w:right="559"/>
        <w:spacing w:after="0" w:line="259"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EHang Holdings Limited (the ‘‘Company’’) was incorporated in the Cayman Islands on December 23, 2014 under the Cayman Islands Companies Law as an exempted company with limited liability. The Company through its consolidated subsidiaries, variable interest entity (the ‘‘VIE’’) and the subsidiaries of the VIE (collectively, the ‘‘Group’’) are principally engaged in the manufacturing, sales and operations of autonomous aerial vehicles.</w:t>
      </w:r>
    </w:p>
    <w:p>
      <w:pPr>
        <w:spacing w:after="0" w:line="55" w:lineRule="exact"/>
        <w:rPr>
          <w:rFonts w:ascii="Times New Roman" w:cs="Times New Roman" w:eastAsia="Times New Roman" w:hAnsi="Times New Roman"/>
          <w:sz w:val="13"/>
          <w:szCs w:val="13"/>
          <w:b w:val="1"/>
          <w:bCs w:val="1"/>
          <w:color w:val="auto"/>
        </w:rPr>
      </w:pPr>
    </w:p>
    <w:p>
      <w:pPr>
        <w:ind w:left="2000" w:right="559"/>
        <w:spacing w:after="0" w:line="278"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On June 15, 2020, the Group established Yunfu EHang Intelligent Technology Limited (“EHang Yunfu”) (Note 13) as a subsidiary of the Group in the PRC mainly for the manufacturing of its passenger-grade Autonomous Aerial Vehicles (“AAVs”).</w:t>
      </w:r>
    </w:p>
    <w:p>
      <w:pPr>
        <w:spacing w:after="0" w:line="42" w:lineRule="exact"/>
        <w:rPr>
          <w:rFonts w:ascii="Times New Roman" w:cs="Times New Roman" w:eastAsia="Times New Roman" w:hAnsi="Times New Roman"/>
          <w:sz w:val="13"/>
          <w:szCs w:val="13"/>
          <w:b w:val="1"/>
          <w:bCs w:val="1"/>
          <w:color w:val="auto"/>
        </w:rPr>
      </w:pPr>
    </w:p>
    <w:p>
      <w:pPr>
        <w:ind w:left="2000" w:right="1099"/>
        <w:spacing w:after="0" w:line="278"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On March 11, 2021, the VIE established Guangdong EHang General Aviation Co., Ltd., as a subsidiary in the PRC mainly for providing operational flight services with AAVs in the future.</w:t>
      </w:r>
    </w:p>
    <w:p>
      <w:pPr>
        <w:spacing w:after="0" w:line="42" w:lineRule="exact"/>
        <w:rPr>
          <w:rFonts w:ascii="Times New Roman" w:cs="Times New Roman" w:eastAsia="Times New Roman" w:hAnsi="Times New Roman"/>
          <w:sz w:val="13"/>
          <w:szCs w:val="13"/>
          <w:b w:val="1"/>
          <w:bCs w:val="1"/>
          <w:color w:val="auto"/>
        </w:rPr>
      </w:pPr>
    </w:p>
    <w:p>
      <w:pPr>
        <w:ind w:left="2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As of December 31, 2021, the Company’s major subsidiaries, VIE and the subsidiaries of the VIE are as follows:</w:t>
      </w:r>
    </w:p>
    <w:p>
      <w:pPr>
        <w:sectPr>
          <w:pgSz w:w="11900" w:h="16838" w:orient="portrait"/>
          <w:cols w:equalWidth="0" w:num="1">
            <w:col w:w="10159"/>
          </w:cols>
          <w:pgMar w:left="300" w:top="388" w:right="1440" w:bottom="1440" w:gutter="0" w:footer="0" w:header="0"/>
        </w:sectPr>
      </w:pPr>
    </w:p>
    <w:p>
      <w:pPr>
        <w:spacing w:after="0" w:line="27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0"/>
          <w:szCs w:val="10"/>
          <w:b w:val="1"/>
          <w:bCs w:val="1"/>
          <w:u w:val="single" w:color="auto"/>
          <w:color w:val="auto"/>
        </w:rPr>
        <w:t>Entities</w:t>
      </w:r>
    </w:p>
    <w:p>
      <w:pPr>
        <w:spacing w:after="0" w:line="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0"/>
          <w:szCs w:val="10"/>
          <w:u w:val="single" w:color="auto"/>
          <w:color w:val="auto"/>
        </w:rPr>
        <w:t>Subsidiaries:</w:t>
      </w:r>
    </w:p>
    <w:p>
      <w:pPr>
        <w:spacing w:after="0" w:line="110"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3"/>
          <w:szCs w:val="13"/>
          <w:color w:val="auto"/>
        </w:rPr>
        <w:t>Ehfly Technology Limited (“Ehfly”)</w:t>
      </w:r>
    </w:p>
    <w:p>
      <w:pPr>
        <w:spacing w:after="0" w:line="16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2"/>
          <w:szCs w:val="12"/>
          <w:color w:val="auto"/>
        </w:rPr>
        <w:t>EHang Intelligent Equipment (Guangzhou) Co., Ltd.</w:t>
      </w:r>
    </w:p>
    <w:p>
      <w:pPr>
        <w:spacing w:after="0" w:line="30"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3"/>
          <w:szCs w:val="13"/>
          <w:color w:val="auto"/>
        </w:rPr>
        <w:t>(“EHang Intelligent” or the “WFOE”)</w:t>
      </w:r>
    </w:p>
    <w:p>
      <w:pPr>
        <w:spacing w:after="0" w:line="150"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3"/>
          <w:szCs w:val="13"/>
          <w:color w:val="auto"/>
        </w:rPr>
        <w:t>EHang Yunfu</w:t>
      </w:r>
    </w:p>
    <w:p>
      <w:pPr>
        <w:spacing w:after="0" w:line="31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u w:val="single" w:color="auto"/>
          <w:color w:val="auto"/>
        </w:rPr>
        <w:t>Variable Interest Entity</w:t>
      </w:r>
    </w:p>
    <w:p>
      <w:pPr>
        <w:spacing w:after="0" w:line="1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3"/>
          <w:szCs w:val="13"/>
          <w:color w:val="auto"/>
        </w:rPr>
        <w:t>Guangzhou EHang Intelligent Technology Co., Ltd.</w:t>
      </w:r>
    </w:p>
    <w:p>
      <w:pPr>
        <w:spacing w:after="0" w:line="6"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3"/>
          <w:szCs w:val="13"/>
          <w:color w:val="auto"/>
        </w:rPr>
        <w:t>(“EHang GZ” or the “VIE”)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Date of</w:t>
            </w:r>
          </w:p>
        </w:tc>
        <w:tc>
          <w:tcPr>
            <w:tcW w:w="80" w:type="dxa"/>
            <w:vAlign w:val="bottom"/>
          </w:tcPr>
          <w:p>
            <w:pPr>
              <w:spacing w:after="0"/>
              <w:rPr>
                <w:sz w:val="10"/>
                <w:szCs w:val="10"/>
                <w:color w:val="auto"/>
              </w:rPr>
            </w:pP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Place of</w:t>
            </w:r>
          </w:p>
        </w:tc>
        <w:tc>
          <w:tcPr>
            <w:tcW w:w="1000" w:type="dxa"/>
            <w:vAlign w:val="bottom"/>
            <w:gridSpan w:val="3"/>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Percentage of</w:t>
            </w:r>
          </w:p>
        </w:tc>
        <w:tc>
          <w:tcPr>
            <w:tcW w:w="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96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incorporation</w:t>
            </w:r>
          </w:p>
        </w:tc>
        <w:tc>
          <w:tcPr>
            <w:tcW w:w="760" w:type="dxa"/>
            <w:vAlign w:val="bottom"/>
            <w:gridSpan w:val="3"/>
          </w:tcPr>
          <w:p>
            <w:pPr>
              <w:ind w:left="60"/>
              <w:spacing w:after="0" w:line="107" w:lineRule="exact"/>
              <w:rPr>
                <w:sz w:val="20"/>
                <w:szCs w:val="20"/>
                <w:color w:val="auto"/>
              </w:rPr>
            </w:pPr>
            <w:r>
              <w:rPr>
                <w:rFonts w:ascii="Times New Roman" w:cs="Times New Roman" w:eastAsia="Times New Roman" w:hAnsi="Times New Roman"/>
                <w:sz w:val="10"/>
                <w:szCs w:val="10"/>
                <w:b w:val="1"/>
                <w:bCs w:val="1"/>
                <w:color w:val="auto"/>
              </w:rPr>
              <w:t>incorporation</w:t>
            </w:r>
          </w:p>
        </w:tc>
        <w:tc>
          <w:tcPr>
            <w:tcW w:w="1000" w:type="dxa"/>
            <w:vAlign w:val="bottom"/>
            <w:gridSpan w:val="3"/>
          </w:tcPr>
          <w:p>
            <w:pPr>
              <w:jc w:val="center"/>
              <w:ind w:right="180"/>
              <w:spacing w:after="0" w:line="107" w:lineRule="exact"/>
              <w:rPr>
                <w:sz w:val="20"/>
                <w:szCs w:val="20"/>
                <w:color w:val="auto"/>
              </w:rPr>
            </w:pPr>
            <w:r>
              <w:rPr>
                <w:rFonts w:ascii="Times New Roman" w:cs="Times New Roman" w:eastAsia="Times New Roman" w:hAnsi="Times New Roman"/>
                <w:sz w:val="10"/>
                <w:szCs w:val="10"/>
                <w:b w:val="1"/>
                <w:bCs w:val="1"/>
                <w:color w:val="auto"/>
              </w:rPr>
              <w:t>direct or indirect</w:t>
            </w:r>
          </w:p>
        </w:tc>
        <w:tc>
          <w:tcPr>
            <w:tcW w:w="60" w:type="dxa"/>
            <w:vAlign w:val="bottom"/>
          </w:tcPr>
          <w:p>
            <w:pPr>
              <w:spacing w:after="0"/>
              <w:rPr>
                <w:sz w:val="9"/>
                <w:szCs w:val="9"/>
                <w:color w:val="auto"/>
              </w:rPr>
            </w:pPr>
          </w:p>
        </w:tc>
        <w:tc>
          <w:tcPr>
            <w:tcW w:w="1680" w:type="dxa"/>
            <w:vAlign w:val="bottom"/>
            <w:vMerge w:val="restart"/>
          </w:tcPr>
          <w:p>
            <w:pPr>
              <w:ind w:left="420"/>
              <w:spacing w:after="0"/>
              <w:rPr>
                <w:sz w:val="20"/>
                <w:szCs w:val="20"/>
                <w:color w:val="auto"/>
              </w:rPr>
            </w:pPr>
            <w:r>
              <w:rPr>
                <w:rFonts w:ascii="Times New Roman" w:cs="Times New Roman" w:eastAsia="Times New Roman" w:hAnsi="Times New Roman"/>
                <w:sz w:val="10"/>
                <w:szCs w:val="10"/>
                <w:b w:val="1"/>
                <w:bCs w:val="1"/>
                <w:color w:val="auto"/>
              </w:rPr>
              <w:t>Principal activities</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establishment</w:t>
            </w: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establishment</w:t>
            </w: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ownership</w:t>
            </w:r>
          </w:p>
        </w:tc>
        <w:tc>
          <w:tcPr>
            <w:tcW w:w="6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ind w:right="122"/>
              <w:spacing w:after="0"/>
              <w:rPr>
                <w:sz w:val="20"/>
                <w:szCs w:val="20"/>
                <w:color w:val="auto"/>
              </w:rPr>
            </w:pPr>
            <w:r>
              <w:rPr>
                <w:rFonts w:ascii="Times New Roman" w:cs="Times New Roman" w:eastAsia="Times New Roman" w:hAnsi="Times New Roman"/>
                <w:sz w:val="10"/>
                <w:szCs w:val="10"/>
                <w:color w:val="auto"/>
                <w:w w:val="95"/>
              </w:rPr>
              <w:t>Direct</w:t>
            </w:r>
          </w:p>
        </w:tc>
        <w:tc>
          <w:tcPr>
            <w:tcW w:w="4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Indirect</w:t>
            </w:r>
          </w:p>
        </w:tc>
        <w:tc>
          <w:tcPr>
            <w:tcW w:w="160" w:type="dxa"/>
            <w:vAlign w:val="bottom"/>
            <w:vMerge w:val="continue"/>
          </w:tcPr>
          <w:p>
            <w:pPr>
              <w:spacing w:after="0"/>
              <w:rPr>
                <w:sz w:val="10"/>
                <w:szCs w:val="10"/>
                <w:color w:val="auto"/>
              </w:rPr>
            </w:pPr>
          </w:p>
        </w:tc>
        <w:tc>
          <w:tcPr>
            <w:tcW w:w="1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auto"/>
              </w:rPr>
              <w:t>Product sales investment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December 5, 2014</w:t>
            </w: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Hong Kong</w:t>
            </w:r>
          </w:p>
        </w:tc>
        <w:tc>
          <w:tcPr>
            <w:tcW w:w="440" w:type="dxa"/>
            <w:vAlign w:val="bottom"/>
          </w:tcPr>
          <w:p>
            <w:pPr>
              <w:jc w:val="right"/>
              <w:ind w:right="2"/>
              <w:spacing w:after="0"/>
              <w:rPr>
                <w:sz w:val="20"/>
                <w:szCs w:val="20"/>
                <w:color w:val="auto"/>
              </w:rPr>
            </w:pPr>
            <w:r>
              <w:rPr>
                <w:rFonts w:ascii="Times New Roman" w:cs="Times New Roman" w:eastAsia="Times New Roman" w:hAnsi="Times New Roman"/>
                <w:sz w:val="13"/>
                <w:szCs w:val="13"/>
                <w:color w:val="auto"/>
              </w:rPr>
              <w:t>100%</w:t>
            </w: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holding</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Research and development,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manufacturing and product</w:t>
            </w:r>
          </w:p>
        </w:tc>
        <w:tc>
          <w:tcPr>
            <w:tcW w:w="0" w:type="dxa"/>
            <w:vAlign w:val="bottom"/>
          </w:tcPr>
          <w:p>
            <w:pPr>
              <w:spacing w:after="0"/>
              <w:rPr>
                <w:sz w:val="1"/>
                <w:szCs w:val="1"/>
                <w:color w:val="auto"/>
              </w:rPr>
            </w:pPr>
          </w:p>
        </w:tc>
      </w:tr>
      <w:tr>
        <w:trPr>
          <w:trHeight w:val="156"/>
        </w:trPr>
        <w:tc>
          <w:tcPr>
            <w:tcW w:w="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October 15, 2015</w:t>
            </w: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PRC</w:t>
            </w:r>
          </w:p>
        </w:tc>
        <w:tc>
          <w:tcPr>
            <w:tcW w:w="440" w:type="dxa"/>
            <w:vAlign w:val="bottom"/>
          </w:tcPr>
          <w:p>
            <w:pPr>
              <w:jc w:val="right"/>
              <w:ind w:right="2"/>
              <w:spacing w:after="0"/>
              <w:rPr>
                <w:sz w:val="20"/>
                <w:szCs w:val="20"/>
                <w:color w:val="auto"/>
              </w:rPr>
            </w:pPr>
            <w:r>
              <w:rPr>
                <w:rFonts w:ascii="Times New Roman" w:cs="Times New Roman" w:eastAsia="Times New Roman" w:hAnsi="Times New Roman"/>
                <w:sz w:val="13"/>
                <w:szCs w:val="13"/>
                <w:color w:val="auto"/>
              </w:rPr>
              <w:t>100%</w:t>
            </w: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sales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Research and development,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manufacturing and product</w:t>
            </w:r>
          </w:p>
        </w:tc>
        <w:tc>
          <w:tcPr>
            <w:tcW w:w="0" w:type="dxa"/>
            <w:vAlign w:val="bottom"/>
          </w:tcPr>
          <w:p>
            <w:pPr>
              <w:spacing w:after="0"/>
              <w:rPr>
                <w:sz w:val="1"/>
                <w:szCs w:val="1"/>
                <w:color w:val="auto"/>
              </w:rPr>
            </w:pPr>
          </w:p>
        </w:tc>
      </w:tr>
      <w:tr>
        <w:trPr>
          <w:trHeight w:val="168"/>
        </w:trPr>
        <w:tc>
          <w:tcPr>
            <w:tcW w:w="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June 15, 2020</w:t>
            </w: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PRC</w:t>
            </w:r>
          </w:p>
        </w:tc>
        <w:tc>
          <w:tcPr>
            <w:tcW w:w="440" w:type="dxa"/>
            <w:vAlign w:val="bottom"/>
          </w:tcPr>
          <w:p>
            <w:pPr>
              <w:jc w:val="right"/>
              <w:ind w:right="2"/>
              <w:spacing w:after="0"/>
              <w:rPr>
                <w:sz w:val="20"/>
                <w:szCs w:val="20"/>
                <w:color w:val="auto"/>
              </w:rPr>
            </w:pPr>
            <w:r>
              <w:rPr>
                <w:rFonts w:ascii="Times New Roman" w:cs="Times New Roman" w:eastAsia="Times New Roman" w:hAnsi="Times New Roman"/>
                <w:sz w:val="13"/>
                <w:szCs w:val="13"/>
                <w:color w:val="auto"/>
              </w:rPr>
              <w:t>68.5%</w:t>
            </w: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sales</w:t>
            </w: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Research and development,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manufacturing and product</w:t>
            </w:r>
          </w:p>
        </w:tc>
        <w:tc>
          <w:tcPr>
            <w:tcW w:w="0" w:type="dxa"/>
            <w:vAlign w:val="bottom"/>
          </w:tcPr>
          <w:p>
            <w:pPr>
              <w:spacing w:after="0"/>
              <w:rPr>
                <w:sz w:val="1"/>
                <w:szCs w:val="1"/>
                <w:color w:val="auto"/>
              </w:rPr>
            </w:pPr>
          </w:p>
        </w:tc>
      </w:tr>
      <w:tr>
        <w:trPr>
          <w:trHeight w:val="168"/>
        </w:trPr>
        <w:tc>
          <w:tcPr>
            <w:tcW w:w="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August 8, 2014</w:t>
            </w: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PRC</w:t>
            </w:r>
          </w:p>
        </w:tc>
        <w:tc>
          <w:tcPr>
            <w:tcW w:w="440" w:type="dxa"/>
            <w:vAlign w:val="bottom"/>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100%</w:t>
            </w: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sales</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F- 15</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-2196465</wp:posOffset>
            </wp:positionH>
            <wp:positionV relativeFrom="paragraph">
              <wp:posOffset>-1351280</wp:posOffset>
            </wp:positionV>
            <wp:extent cx="5039995" cy="1974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0">
                      <a:extLst>
                        <a:ext uri="{28A0092B-C50C-407E-A947-70E740481C1C}"/>
                      </a:extLst>
                    </a:blip>
                    <a:srcRect/>
                    <a:stretch>
                      <a:fillRect/>
                    </a:stretch>
                  </pic:blipFill>
                  <pic:spPr bwMode="auto">
                    <a:xfrm>
                      <a:off x="0" y="0"/>
                      <a:ext cx="5039995" cy="197485"/>
                    </a:xfrm>
                    <a:prstGeom prst="rect">
                      <a:avLst/>
                    </a:prstGeom>
                    <a:noFill/>
                  </pic:spPr>
                </pic:pic>
              </a:graphicData>
            </a:graphic>
          </wp:anchor>
        </w:drawing>
        <w:drawing>
          <wp:anchor simplePos="0" relativeHeight="251657728" behindDoc="1" locked="0" layoutInCell="0" allowOverlap="1">
            <wp:simplePos x="0" y="0"/>
            <wp:positionH relativeFrom="column">
              <wp:posOffset>-2196465</wp:posOffset>
            </wp:positionH>
            <wp:positionV relativeFrom="paragraph">
              <wp:posOffset>-857250</wp:posOffset>
            </wp:positionV>
            <wp:extent cx="5039995" cy="296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1">
                      <a:extLst>
                        <a:ext uri="{28A0092B-C50C-407E-A947-70E740481C1C}"/>
                      </a:extLst>
                    </a:blip>
                    <a:srcRect/>
                    <a:stretch>
                      <a:fillRect/>
                    </a:stretch>
                  </pic:blipFill>
                  <pic:spPr bwMode="auto">
                    <a:xfrm>
                      <a:off x="0" y="0"/>
                      <a:ext cx="5039995" cy="296545"/>
                    </a:xfrm>
                    <a:prstGeom prst="rect">
                      <a:avLst/>
                    </a:prstGeom>
                    <a:noFill/>
                  </pic:spPr>
                </pic:pic>
              </a:graphicData>
            </a:graphic>
          </wp:anchor>
        </w:drawing>
        <w:drawing>
          <wp:anchor simplePos="0" relativeHeight="251657728" behindDoc="1" locked="0" layoutInCell="0" allowOverlap="1">
            <wp:simplePos x="0" y="0"/>
            <wp:positionH relativeFrom="column">
              <wp:posOffset>-2196465</wp:posOffset>
            </wp:positionH>
            <wp:positionV relativeFrom="paragraph">
              <wp:posOffset>-462280</wp:posOffset>
            </wp:positionV>
            <wp:extent cx="5039995" cy="296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2">
                      <a:extLst>
                        <a:ext uri="{28A0092B-C50C-407E-A947-70E740481C1C}"/>
                      </a:extLst>
                    </a:blip>
                    <a:srcRect/>
                    <a:stretch>
                      <a:fillRect/>
                    </a:stretch>
                  </pic:blipFill>
                  <pic:spPr bwMode="auto">
                    <a:xfrm>
                      <a:off x="0" y="0"/>
                      <a:ext cx="5039995" cy="296545"/>
                    </a:xfrm>
                    <a:prstGeom prst="rect">
                      <a:avLst/>
                    </a:prstGeom>
                    <a:noFill/>
                  </pic:spPr>
                </pic:pic>
              </a:graphicData>
            </a:graphic>
          </wp:anchor>
        </w:drawing>
      </w:r>
    </w:p>
    <w:p>
      <w:pPr>
        <w:sectPr>
          <w:pgSz w:w="11900" w:h="16838" w:orient="portrait"/>
          <w:cols w:equalWidth="0" w:num="2">
            <w:col w:w="4680" w:space="460"/>
            <w:col w:w="5019"/>
          </w:cols>
          <w:pgMar w:left="300" w:top="388" w:right="1440" w:bottom="1440" w:gutter="0" w:footer="0" w:header="0"/>
          <w:type w:val="continuous"/>
        </w:sectPr>
      </w:pPr>
    </w:p>
    <w:bookmarkStart w:id="183" w:name="page184"/>
    <w:bookmarkEnd w:id="18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3">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 (CONTINUED)</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4">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7" w:lineRule="exact"/>
        <w:rPr>
          <w:sz w:val="20"/>
          <w:szCs w:val="20"/>
          <w:color w:val="auto"/>
        </w:rPr>
      </w:pPr>
    </w:p>
    <w:p>
      <w:pPr>
        <w:ind w:left="1980" w:hanging="304"/>
        <w:spacing w:after="0"/>
        <w:tabs>
          <w:tab w:leader="none" w:pos="1980" w:val="left"/>
        </w:tabs>
        <w:numPr>
          <w:ilvl w:val="0"/>
          <w:numId w:val="8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Organization and Basis of Presentation (Continued)</w:t>
      </w:r>
    </w:p>
    <w:p>
      <w:pPr>
        <w:spacing w:after="0" w:line="115" w:lineRule="exact"/>
        <w:rPr>
          <w:rFonts w:ascii="Times New Roman" w:cs="Times New Roman" w:eastAsia="Times New Roman" w:hAnsi="Times New Roman"/>
          <w:sz w:val="13"/>
          <w:szCs w:val="13"/>
          <w:b w:val="1"/>
          <w:bCs w:val="1"/>
          <w:color w:val="auto"/>
        </w:rPr>
      </w:pPr>
    </w:p>
    <w:p>
      <w:pPr>
        <w:ind w:left="2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As of December 31, 2021, the Company’s major subsidiaries, VIE and the subsidiaries of the VIE are as follows (continued):</w:t>
      </w:r>
    </w:p>
    <w:p>
      <w:pPr>
        <w:spacing w:after="0" w:line="169"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332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Entities</w:t>
            </w:r>
          </w:p>
        </w:tc>
        <w:tc>
          <w:tcPr>
            <w:tcW w:w="16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Date of</w:t>
            </w:r>
          </w:p>
        </w:tc>
        <w:tc>
          <w:tcPr>
            <w:tcW w:w="120" w:type="dxa"/>
            <w:vAlign w:val="bottom"/>
          </w:tcPr>
          <w:p>
            <w:pPr>
              <w:spacing w:after="0"/>
              <w:rPr>
                <w:sz w:val="10"/>
                <w:szCs w:val="10"/>
                <w:color w:val="auto"/>
              </w:rPr>
            </w:pP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Place of</w:t>
            </w:r>
          </w:p>
        </w:tc>
        <w:tc>
          <w:tcPr>
            <w:tcW w:w="1240" w:type="dxa"/>
            <w:vAlign w:val="bottom"/>
            <w:gridSpan w:val="3"/>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rPr>
              <w:t>Percentage of direct</w:t>
            </w:r>
          </w:p>
        </w:tc>
        <w:tc>
          <w:tcPr>
            <w:tcW w:w="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332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jc w:val="center"/>
              <w:spacing w:after="0" w:line="85" w:lineRule="exact"/>
              <w:rPr>
                <w:sz w:val="20"/>
                <w:szCs w:val="20"/>
                <w:color w:val="auto"/>
              </w:rPr>
            </w:pPr>
            <w:r>
              <w:rPr>
                <w:rFonts w:ascii="Times New Roman" w:cs="Times New Roman" w:eastAsia="Times New Roman" w:hAnsi="Times New Roman"/>
                <w:sz w:val="9"/>
                <w:szCs w:val="9"/>
                <w:b w:val="1"/>
                <w:bCs w:val="1"/>
                <w:color w:val="auto"/>
              </w:rPr>
              <w:t>incorporation</w:t>
            </w:r>
          </w:p>
        </w:tc>
        <w:tc>
          <w:tcPr>
            <w:tcW w:w="860" w:type="dxa"/>
            <w:vAlign w:val="bottom"/>
            <w:gridSpan w:val="3"/>
          </w:tcPr>
          <w:p>
            <w:pPr>
              <w:ind w:left="120"/>
              <w:spacing w:after="0" w:line="85" w:lineRule="exact"/>
              <w:rPr>
                <w:sz w:val="20"/>
                <w:szCs w:val="20"/>
                <w:color w:val="auto"/>
              </w:rPr>
            </w:pPr>
            <w:r>
              <w:rPr>
                <w:rFonts w:ascii="Times New Roman" w:cs="Times New Roman" w:eastAsia="Times New Roman" w:hAnsi="Times New Roman"/>
                <w:sz w:val="9"/>
                <w:szCs w:val="9"/>
                <w:b w:val="1"/>
                <w:bCs w:val="1"/>
                <w:color w:val="auto"/>
              </w:rPr>
              <w:t>incorporation</w:t>
            </w:r>
          </w:p>
        </w:tc>
        <w:tc>
          <w:tcPr>
            <w:tcW w:w="1240" w:type="dxa"/>
            <w:vAlign w:val="bottom"/>
            <w:gridSpan w:val="3"/>
          </w:tcPr>
          <w:p>
            <w:pPr>
              <w:jc w:val="center"/>
              <w:ind w:right="340"/>
              <w:spacing w:after="0" w:line="85" w:lineRule="exact"/>
              <w:rPr>
                <w:sz w:val="20"/>
                <w:szCs w:val="20"/>
                <w:color w:val="auto"/>
              </w:rPr>
            </w:pPr>
            <w:r>
              <w:rPr>
                <w:rFonts w:ascii="Times New Roman" w:cs="Times New Roman" w:eastAsia="Times New Roman" w:hAnsi="Times New Roman"/>
                <w:sz w:val="9"/>
                <w:szCs w:val="9"/>
                <w:b w:val="1"/>
                <w:bCs w:val="1"/>
                <w:color w:val="auto"/>
              </w:rPr>
              <w:t>or indirect</w:t>
            </w:r>
          </w:p>
        </w:tc>
        <w:tc>
          <w:tcPr>
            <w:tcW w:w="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340" w:type="dxa"/>
            <w:vAlign w:val="bottom"/>
            <w:tcBorders>
              <w:top w:val="single" w:sz="8" w:color="auto"/>
            </w:tcBorders>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VIE’s</w:t>
            </w:r>
          </w:p>
        </w:tc>
        <w:tc>
          <w:tcPr>
            <w:tcW w:w="2980" w:type="dxa"/>
            <w:vAlign w:val="bottom"/>
            <w:gridSpan w:val="2"/>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Subsidiaries</w:t>
            </w:r>
          </w:p>
        </w:tc>
        <w:tc>
          <w:tcPr>
            <w:tcW w:w="160" w:type="dxa"/>
            <w:vAlign w:val="bottom"/>
          </w:tcPr>
          <w:p>
            <w:pPr>
              <w:spacing w:after="0"/>
              <w:rPr>
                <w:sz w:val="8"/>
                <w:szCs w:val="8"/>
                <w:color w:val="auto"/>
              </w:rPr>
            </w:pPr>
          </w:p>
        </w:tc>
        <w:tc>
          <w:tcPr>
            <w:tcW w:w="820" w:type="dxa"/>
            <w:vAlign w:val="bottom"/>
          </w:tcPr>
          <w:p>
            <w:pPr>
              <w:jc w:val="center"/>
              <w:spacing w:after="0" w:line="97" w:lineRule="exact"/>
              <w:rPr>
                <w:sz w:val="20"/>
                <w:szCs w:val="20"/>
                <w:color w:val="auto"/>
              </w:rPr>
            </w:pPr>
            <w:r>
              <w:rPr>
                <w:rFonts w:ascii="Times New Roman" w:cs="Times New Roman" w:eastAsia="Times New Roman" w:hAnsi="Times New Roman"/>
                <w:sz w:val="10"/>
                <w:szCs w:val="10"/>
                <w:b w:val="1"/>
                <w:bCs w:val="1"/>
                <w:color w:val="auto"/>
              </w:rPr>
              <w:t>establishment</w:t>
            </w:r>
          </w:p>
        </w:tc>
        <w:tc>
          <w:tcPr>
            <w:tcW w:w="860" w:type="dxa"/>
            <w:vAlign w:val="bottom"/>
            <w:gridSpan w:val="3"/>
          </w:tcPr>
          <w:p>
            <w:pPr>
              <w:ind w:left="120"/>
              <w:spacing w:after="0" w:line="97" w:lineRule="exact"/>
              <w:rPr>
                <w:sz w:val="20"/>
                <w:szCs w:val="20"/>
                <w:color w:val="auto"/>
              </w:rPr>
            </w:pPr>
            <w:r>
              <w:rPr>
                <w:rFonts w:ascii="Times New Roman" w:cs="Times New Roman" w:eastAsia="Times New Roman" w:hAnsi="Times New Roman"/>
                <w:sz w:val="10"/>
                <w:szCs w:val="10"/>
                <w:b w:val="1"/>
                <w:bCs w:val="1"/>
                <w:color w:val="auto"/>
              </w:rPr>
              <w:t>establishment</w:t>
            </w:r>
          </w:p>
        </w:tc>
        <w:tc>
          <w:tcPr>
            <w:tcW w:w="1240" w:type="dxa"/>
            <w:vAlign w:val="bottom"/>
            <w:gridSpan w:val="3"/>
          </w:tcPr>
          <w:p>
            <w:pPr>
              <w:jc w:val="center"/>
              <w:ind w:right="340"/>
              <w:spacing w:after="0" w:line="97" w:lineRule="exact"/>
              <w:rPr>
                <w:sz w:val="20"/>
                <w:szCs w:val="20"/>
                <w:color w:val="auto"/>
              </w:rPr>
            </w:pPr>
            <w:r>
              <w:rPr>
                <w:rFonts w:ascii="Times New Roman" w:cs="Times New Roman" w:eastAsia="Times New Roman" w:hAnsi="Times New Roman"/>
                <w:sz w:val="10"/>
                <w:szCs w:val="10"/>
                <w:b w:val="1"/>
                <w:bCs w:val="1"/>
                <w:color w:val="auto"/>
              </w:rPr>
              <w:t>ownership</w:t>
            </w:r>
          </w:p>
        </w:tc>
        <w:tc>
          <w:tcPr>
            <w:tcW w:w="60" w:type="dxa"/>
            <w:vAlign w:val="bottom"/>
          </w:tcPr>
          <w:p>
            <w:pPr>
              <w:spacing w:after="0"/>
              <w:rPr>
                <w:sz w:val="8"/>
                <w:szCs w:val="8"/>
                <w:color w:val="auto"/>
              </w:rPr>
            </w:pPr>
          </w:p>
        </w:tc>
        <w:tc>
          <w:tcPr>
            <w:tcW w:w="1480" w:type="dxa"/>
            <w:vAlign w:val="bottom"/>
          </w:tcPr>
          <w:p>
            <w:pPr>
              <w:ind w:left="320"/>
              <w:spacing w:after="0" w:line="97" w:lineRule="exact"/>
              <w:rPr>
                <w:sz w:val="20"/>
                <w:szCs w:val="20"/>
                <w:color w:val="auto"/>
              </w:rPr>
            </w:pPr>
            <w:r>
              <w:rPr>
                <w:rFonts w:ascii="Times New Roman" w:cs="Times New Roman" w:eastAsia="Times New Roman" w:hAnsi="Times New Roman"/>
                <w:sz w:val="10"/>
                <w:szCs w:val="10"/>
                <w:b w:val="1"/>
                <w:bCs w:val="1"/>
                <w:color w:val="auto"/>
              </w:rPr>
              <w:t>Principal activities</w:t>
            </w:r>
          </w:p>
        </w:tc>
        <w:tc>
          <w:tcPr>
            <w:tcW w:w="0" w:type="dxa"/>
            <w:vAlign w:val="bottom"/>
          </w:tcPr>
          <w:p>
            <w:pPr>
              <w:spacing w:after="0"/>
              <w:rPr>
                <w:sz w:val="1"/>
                <w:szCs w:val="1"/>
                <w:color w:val="auto"/>
              </w:rPr>
            </w:pPr>
          </w:p>
        </w:tc>
      </w:tr>
      <w:tr>
        <w:trPr>
          <w:trHeight w:val="106"/>
        </w:trPr>
        <w:tc>
          <w:tcPr>
            <w:tcW w:w="3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Borders>
              <w:top w:val="single" w:sz="8" w:color="auto"/>
            </w:tcBorders>
          </w:tcPr>
          <w:p>
            <w:pPr>
              <w:ind w:left="20"/>
              <w:spacing w:after="0" w:line="107" w:lineRule="exact"/>
              <w:rPr>
                <w:sz w:val="20"/>
                <w:szCs w:val="20"/>
                <w:color w:val="auto"/>
              </w:rPr>
            </w:pPr>
            <w:r>
              <w:rPr>
                <w:rFonts w:ascii="Times New Roman" w:cs="Times New Roman" w:eastAsia="Times New Roman" w:hAnsi="Times New Roman"/>
                <w:sz w:val="10"/>
                <w:szCs w:val="10"/>
                <w:color w:val="auto"/>
              </w:rPr>
              <w:t>Direct</w:t>
            </w:r>
          </w:p>
        </w:tc>
        <w:tc>
          <w:tcPr>
            <w:tcW w:w="500" w:type="dxa"/>
            <w:vAlign w:val="bottom"/>
            <w:tcBorders>
              <w:top w:val="single" w:sz="8" w:color="auto"/>
            </w:tcBorders>
          </w:tcPr>
          <w:p>
            <w:pPr>
              <w:ind w:left="120"/>
              <w:spacing w:after="0" w:line="107" w:lineRule="exact"/>
              <w:rPr>
                <w:sz w:val="20"/>
                <w:szCs w:val="20"/>
                <w:color w:val="auto"/>
              </w:rPr>
            </w:pPr>
            <w:r>
              <w:rPr>
                <w:rFonts w:ascii="Times New Roman" w:cs="Times New Roman" w:eastAsia="Times New Roman" w:hAnsi="Times New Roman"/>
                <w:sz w:val="10"/>
                <w:szCs w:val="10"/>
                <w:color w:val="auto"/>
              </w:rPr>
              <w:t>Indirect</w:t>
            </w: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320" w:type="dxa"/>
            <w:vAlign w:val="bottom"/>
            <w:gridSpan w:val="3"/>
            <w:shd w:val="clear" w:color="auto" w:fill="CCEEFF"/>
          </w:tcPr>
          <w:p>
            <w:pPr>
              <w:ind w:left="260"/>
              <w:spacing w:after="0" w:line="133" w:lineRule="exact"/>
              <w:rPr>
                <w:sz w:val="20"/>
                <w:szCs w:val="20"/>
                <w:color w:val="auto"/>
              </w:rPr>
            </w:pPr>
            <w:r>
              <w:rPr>
                <w:rFonts w:ascii="Times New Roman" w:cs="Times New Roman" w:eastAsia="Times New Roman" w:hAnsi="Times New Roman"/>
                <w:sz w:val="13"/>
                <w:szCs w:val="13"/>
                <w:color w:val="auto"/>
              </w:rPr>
              <w:t>Guangdong EHang General Aviation Co., Ltd. (“EHang</w:t>
            </w: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4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Aviation”)</w:t>
            </w:r>
          </w:p>
        </w:tc>
        <w:tc>
          <w:tcPr>
            <w:tcW w:w="980" w:type="dxa"/>
            <w:vAlign w:val="bottom"/>
            <w:gridSpan w:val="2"/>
            <w:shd w:val="clear" w:color="auto" w:fill="CCEEFF"/>
          </w:tcPr>
          <w:p>
            <w:pPr>
              <w:jc w:val="center"/>
              <w:ind w:left="95"/>
              <w:spacing w:after="0"/>
              <w:rPr>
                <w:sz w:val="20"/>
                <w:szCs w:val="20"/>
                <w:color w:val="auto"/>
              </w:rPr>
            </w:pPr>
            <w:r>
              <w:rPr>
                <w:rFonts w:ascii="Times New Roman" w:cs="Times New Roman" w:eastAsia="Times New Roman" w:hAnsi="Times New Roman"/>
                <w:sz w:val="13"/>
                <w:szCs w:val="13"/>
                <w:color w:val="auto"/>
                <w:w w:val="99"/>
              </w:rPr>
              <w:t>March 11, 2021</w:t>
            </w:r>
          </w:p>
        </w:tc>
        <w:tc>
          <w:tcPr>
            <w:tcW w:w="8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PRC</w:t>
            </w:r>
          </w:p>
        </w:tc>
        <w:tc>
          <w:tcPr>
            <w:tcW w:w="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100%(a)</w:t>
            </w:r>
          </w:p>
        </w:tc>
        <w:tc>
          <w:tcPr>
            <w:tcW w:w="15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Operational flight services</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1980" w:hanging="304"/>
        <w:spacing w:after="0"/>
        <w:tabs>
          <w:tab w:leader="none" w:pos="1980"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EHang GZ and EHang Intelligent hold 51% and 49% equity interests in EHang Aviation, respectively.</w:t>
      </w:r>
    </w:p>
    <w:p>
      <w:pPr>
        <w:spacing w:after="0" w:line="1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p>
    <w:p>
      <w:pPr>
        <w:spacing w:after="0" w:line="21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The VIE agreements</w:t>
      </w:r>
    </w:p>
    <w:p>
      <w:pPr>
        <w:spacing w:after="0" w:line="86" w:lineRule="exact"/>
        <w:rPr>
          <w:sz w:val="20"/>
          <w:szCs w:val="20"/>
          <w:color w:val="auto"/>
        </w:rPr>
      </w:pPr>
    </w:p>
    <w:p>
      <w:pPr>
        <w:ind w:left="2000" w:right="599"/>
        <w:spacing w:after="0" w:line="252" w:lineRule="auto"/>
        <w:rPr>
          <w:sz w:val="20"/>
          <w:szCs w:val="20"/>
          <w:color w:val="auto"/>
        </w:rPr>
      </w:pPr>
      <w:r>
        <w:rPr>
          <w:rFonts w:ascii="Times New Roman" w:cs="Times New Roman" w:eastAsia="Times New Roman" w:hAnsi="Times New Roman"/>
          <w:sz w:val="13"/>
          <w:szCs w:val="13"/>
          <w:color w:val="auto"/>
        </w:rPr>
        <w:t xml:space="preserve">The Group conducts all of its business in China through its subsidiaries, the VIE and the subsidiaries of the VIE in the PRC. Despite the lack of technical majority ownership, the Company has effective control of the VIE through a series of contractual arrangements (the “Contractual Agreements”) and a parent-subsidiary relationship exists between the Company and the VIE. As of December 31, 2019, the equity interests of the VIE were legally held by Mr. Huazhi Hu and Mr. Derrick Yifang Xiong (the “Former Shareholders”). For the year ended December 31, 2020, the Former Shareholders transferred their equity interests to Mr. Shuai Feng and Mr. Weixian Xia, both are the Group’s employees (the “Nominee Shareholders”). The Nominee Shareholders then signed the Contractual Agreements with terms essentially the same as the ones signed before. Through the Contractual Agreements, the Nominee Shareholders of the VIE effectively assigned all of their voting rights underlying their equity interests in the VIE to the WFOE, which is a wholly-owned entity by the Company; who further assigned the voting rights underlying their equity interests in the VIE to the Company. Therefore, the Company has the power to direct the activities of the VIE that most significantly impact their economic performance. The Company also has the right to receive economic benefits via the WFOE, and the obligation to absorb losses of the VIE, that potentially could be significant to the VIE. Based on the above, the Company consolidates the VIE in accordance with ASC810-10, </w:t>
      </w:r>
      <w:r>
        <w:rPr>
          <w:rFonts w:ascii="Times New Roman" w:cs="Times New Roman" w:eastAsia="Times New Roman" w:hAnsi="Times New Roman"/>
          <w:sz w:val="13"/>
          <w:szCs w:val="13"/>
          <w:i w:val="1"/>
          <w:iCs w:val="1"/>
          <w:color w:val="auto"/>
        </w:rPr>
        <w:t>Consolidation: Overall</w:t>
      </w:r>
      <w:r>
        <w:rPr>
          <w:rFonts w:ascii="Times New Roman" w:cs="Times New Roman" w:eastAsia="Times New Roman" w:hAnsi="Times New Roman"/>
          <w:sz w:val="13"/>
          <w:szCs w:val="13"/>
          <w:color w:val="auto"/>
        </w:rPr>
        <w:t>.</w:t>
      </w:r>
    </w:p>
    <w:p>
      <w:pPr>
        <w:spacing w:after="0" w:line="62" w:lineRule="exact"/>
        <w:rPr>
          <w:sz w:val="20"/>
          <w:szCs w:val="20"/>
          <w:color w:val="auto"/>
        </w:rPr>
      </w:pPr>
    </w:p>
    <w:p>
      <w:pPr>
        <w:ind w:left="2000" w:right="659"/>
        <w:spacing w:after="0" w:line="278" w:lineRule="auto"/>
        <w:rPr>
          <w:sz w:val="20"/>
          <w:szCs w:val="20"/>
          <w:color w:val="auto"/>
        </w:rPr>
      </w:pPr>
      <w:r>
        <w:rPr>
          <w:rFonts w:ascii="Times New Roman" w:cs="Times New Roman" w:eastAsia="Times New Roman" w:hAnsi="Times New Roman"/>
          <w:sz w:val="13"/>
          <w:szCs w:val="13"/>
          <w:color w:val="auto"/>
        </w:rPr>
        <w:t>The following is a summary of the Contractual Agreements among the Former Shareholders, the VIE and the WFOE, and then amended in 2020 to the Nominee Shareholders:</w:t>
      </w:r>
    </w:p>
    <w:p>
      <w:pPr>
        <w:spacing w:after="0" w:line="19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Loan Agreement</w:t>
      </w:r>
    </w:p>
    <w:p>
      <w:pPr>
        <w:spacing w:after="0" w:line="88" w:lineRule="exact"/>
        <w:rPr>
          <w:sz w:val="20"/>
          <w:szCs w:val="20"/>
          <w:color w:val="auto"/>
        </w:rPr>
      </w:pPr>
    </w:p>
    <w:p>
      <w:pPr>
        <w:jc w:val="both"/>
        <w:ind w:left="2000" w:right="579"/>
        <w:spacing w:after="0" w:line="264" w:lineRule="auto"/>
        <w:rPr>
          <w:sz w:val="20"/>
          <w:szCs w:val="20"/>
          <w:color w:val="auto"/>
        </w:rPr>
      </w:pPr>
      <w:r>
        <w:rPr>
          <w:rFonts w:ascii="Times New Roman" w:cs="Times New Roman" w:eastAsia="Times New Roman" w:hAnsi="Times New Roman"/>
          <w:sz w:val="13"/>
          <w:szCs w:val="13"/>
          <w:color w:val="auto"/>
        </w:rPr>
        <w:t>The WFOE has granted interest-free loans with an aggregate amount of RMB60,000 to the Nominee Shareholders of the VIE for the sole purpose of providing funds necessary for the capital injection of the VIE. The loans are repayable by such Nominee Shareholder through a transfer of their equity interests in the VIE to the WFOE, in proportion to the amount of the loans to be repaid.</w:t>
      </w:r>
    </w:p>
    <w:p>
      <w:pPr>
        <w:spacing w:after="0" w:line="8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color w:val="auto"/>
        </w:rPr>
        <w:t>F- 16</w:t>
      </w:r>
    </w:p>
    <w:p>
      <w:pPr>
        <w:sectPr>
          <w:pgSz w:w="11900" w:h="16838" w:orient="portrait"/>
          <w:cols w:equalWidth="0" w:num="1">
            <w:col w:w="10159"/>
          </w:cols>
          <w:pgMar w:left="300" w:top="388" w:right="1440"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5">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 (CONTINUED)</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6">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7" w:lineRule="exact"/>
        <w:rPr>
          <w:sz w:val="20"/>
          <w:szCs w:val="20"/>
          <w:color w:val="auto"/>
        </w:rPr>
      </w:pPr>
    </w:p>
    <w:p>
      <w:pPr>
        <w:ind w:left="2000" w:right="5299" w:hanging="324"/>
        <w:spacing w:after="0" w:line="420" w:lineRule="auto"/>
        <w:tabs>
          <w:tab w:leader="none" w:pos="1994" w:val="left"/>
        </w:tabs>
        <w:numPr>
          <w:ilvl w:val="0"/>
          <w:numId w:val="8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Organization and Basis of Presentation (Continued) The VIE agreements (Continued)</w:t>
      </w:r>
    </w:p>
    <w:p>
      <w:pPr>
        <w:ind w:left="2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i w:val="1"/>
          <w:iCs w:val="1"/>
          <w:color w:val="auto"/>
        </w:rPr>
        <w:t>Power of Attorney and Shareholders Voting Proxy</w:t>
      </w:r>
    </w:p>
    <w:p>
      <w:pPr>
        <w:spacing w:after="0" w:line="87" w:lineRule="exact"/>
        <w:rPr>
          <w:rFonts w:ascii="Times New Roman" w:cs="Times New Roman" w:eastAsia="Times New Roman" w:hAnsi="Times New Roman"/>
          <w:sz w:val="13"/>
          <w:szCs w:val="13"/>
          <w:b w:val="1"/>
          <w:bCs w:val="1"/>
          <w:color w:val="auto"/>
        </w:rPr>
      </w:pPr>
    </w:p>
    <w:p>
      <w:pPr>
        <w:ind w:left="2000" w:right="639"/>
        <w:spacing w:after="0" w:line="253"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Pursuant to the Power of Attorney and Shareholders Voting Proxy entered into between the Nominee Shareholders, the VIE and the WFOE, the Nominee Shareholders authorized the WFOE to act on behalf of the Nominee Shareholders as exclusive agent and attorney with respect to all matters concerning the VIE’s equity interests, including but not limited to: (1) attend shareholders’ meetings of the VIE; (2) exercise all the shareholders’ rights, including voting rights; and (3) designate and appoint the senior management members of the VIE. The proxy is irrevocable and continuously valid from the date of execution. The WFOE is entitled to re-authorize or assign its rights related to the equity interest to any other person or entity at its own discretion and without giving prior notice to the Nominee Shareholders or obtaining their consents. In 2019, the WFOE reassigned its rights under the Power of Attorney and Shareholders Voting Proxy to the Company, pursuant to the Commitment Letter below.</w:t>
      </w:r>
    </w:p>
    <w:p>
      <w:pPr>
        <w:spacing w:after="0" w:line="213" w:lineRule="exact"/>
        <w:rPr>
          <w:rFonts w:ascii="Times New Roman" w:cs="Times New Roman" w:eastAsia="Times New Roman" w:hAnsi="Times New Roman"/>
          <w:sz w:val="13"/>
          <w:szCs w:val="13"/>
          <w:b w:val="1"/>
          <w:bCs w:val="1"/>
          <w:color w:val="auto"/>
        </w:rPr>
      </w:pPr>
    </w:p>
    <w:p>
      <w:pPr>
        <w:ind w:left="2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i w:val="1"/>
          <w:iCs w:val="1"/>
          <w:color w:val="auto"/>
        </w:rPr>
        <w:t>Exclusive Option Agreements</w:t>
      </w:r>
    </w:p>
    <w:p>
      <w:pPr>
        <w:spacing w:after="0" w:line="87" w:lineRule="exact"/>
        <w:rPr>
          <w:rFonts w:ascii="Times New Roman" w:cs="Times New Roman" w:eastAsia="Times New Roman" w:hAnsi="Times New Roman"/>
          <w:sz w:val="13"/>
          <w:szCs w:val="13"/>
          <w:b w:val="1"/>
          <w:bCs w:val="1"/>
          <w:color w:val="auto"/>
        </w:rPr>
      </w:pPr>
    </w:p>
    <w:p>
      <w:pPr>
        <w:ind w:left="2000" w:right="539"/>
        <w:spacing w:after="0" w:line="253"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Pursuant to the Exclusive Option Agreements entered amongst the Nominee Shareholders, the VIE and WFOE, the Nominee Shareholders granted to WFOE or their designees an irrevocable and exclusive right to purchase all or part of the equity interests held by the Nominee Shareholders in the VIE at the WFOE’s sole discretion, to the extent permitted under the PRC laws, at an amount equal to the minimum consideration permitted under the applicable PRC law and administrative regulations. Any proceeds received by the Nominee Shareholders from the exercise of the options shall be remitted to the WFOE or its designated party, to the extent permitted under PRC laws. In addition, the VIE and the Nominee Shareholders have agreed that without prior written consent of the WFOE, they will not create any pledge or encumbrance on their equity interests in the VIE, or transfer or otherwise dispose of their equity interests in the VIE. The term of the agreement remains effective as long as each Nominee Shareholder remains a shareholder of the VIE. The WFOE may terminate the agreement at its sole discretion, whereas under no circumstances may the VIE or the Nominee Shareholders terminate the agreement.</w:t>
      </w:r>
    </w:p>
    <w:p>
      <w:pPr>
        <w:spacing w:after="0" w:line="211" w:lineRule="exact"/>
        <w:rPr>
          <w:rFonts w:ascii="Times New Roman" w:cs="Times New Roman" w:eastAsia="Times New Roman" w:hAnsi="Times New Roman"/>
          <w:sz w:val="13"/>
          <w:szCs w:val="13"/>
          <w:b w:val="1"/>
          <w:bCs w:val="1"/>
          <w:color w:val="auto"/>
        </w:rPr>
      </w:pPr>
    </w:p>
    <w:p>
      <w:pPr>
        <w:ind w:left="2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i w:val="1"/>
          <w:iCs w:val="1"/>
          <w:color w:val="auto"/>
        </w:rPr>
        <w:t>Exclusive Consulting and Service Agreement</w:t>
      </w:r>
    </w:p>
    <w:p>
      <w:pPr>
        <w:spacing w:after="0" w:line="87" w:lineRule="exact"/>
        <w:rPr>
          <w:rFonts w:ascii="Times New Roman" w:cs="Times New Roman" w:eastAsia="Times New Roman" w:hAnsi="Times New Roman"/>
          <w:sz w:val="13"/>
          <w:szCs w:val="13"/>
          <w:b w:val="1"/>
          <w:bCs w:val="1"/>
          <w:color w:val="auto"/>
        </w:rPr>
      </w:pPr>
    </w:p>
    <w:p>
      <w:pPr>
        <w:ind w:left="2000" w:right="579"/>
        <w:spacing w:after="0" w:line="253"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Pursuant to the Exclusive Consulting and Service Agreement between the WFOE and the VIE, the WFOE has the exclusive right to provide services to the VIE related to the VIE’s and the VIE’s subsidiaries’ business, including but not limited to the development, manufacturing and sales of intelligent aerial vehicles. In return, the VIE agrees to pay a service fee equal to 100% of the consolidated net profits of the VIE after the VIE turns cumulative profitable and after certain expenses. The WFOE has sole discretion in determining the service fee charged to the VIE under this agreement. Without the WFOE’s prior written consent, the VIE shall not, directly and indirectly, obtain the same or similar services as provided under this agreement from any third party. The WFOE will have the exclusive ownership of all intellectual property rights developed by performance of this agreement. The Exclusive Consulting and Service Agreement is valid for 10 years and renewable at the WFOE’s option. This agreement can be terminated by the WFOE with 30 days’ notice at any time but cannot be terminated by the VIE unless the WFOE is found to be in gross negligence.</w:t>
      </w:r>
    </w:p>
    <w:p>
      <w:pPr>
        <w:spacing w:after="0" w:line="8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color w:val="auto"/>
        </w:rPr>
        <w:t>F- 17</w:t>
      </w:r>
    </w:p>
    <w:p>
      <w:pPr>
        <w:sectPr>
          <w:pgSz w:w="11900" w:h="16838" w:orient="portrait"/>
          <w:cols w:equalWidth="0" w:num="1">
            <w:col w:w="10159"/>
          </w:cols>
          <w:pgMar w:left="300" w:top="388" w:right="1440"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7">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 (CONTINUED)</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8">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7" w:lineRule="exact"/>
        <w:rPr>
          <w:sz w:val="20"/>
          <w:szCs w:val="20"/>
          <w:color w:val="auto"/>
        </w:rPr>
      </w:pPr>
    </w:p>
    <w:p>
      <w:pPr>
        <w:ind w:left="2000" w:right="5299" w:hanging="324"/>
        <w:spacing w:after="0" w:line="420" w:lineRule="auto"/>
        <w:tabs>
          <w:tab w:leader="none" w:pos="1994" w:val="left"/>
        </w:tabs>
        <w:numPr>
          <w:ilvl w:val="0"/>
          <w:numId w:val="8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Organization and Basis of Presentation (Continued) The VIE agreements (Continued)</w:t>
      </w:r>
    </w:p>
    <w:p>
      <w:pPr>
        <w:ind w:left="2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i w:val="1"/>
          <w:iCs w:val="1"/>
          <w:color w:val="auto"/>
        </w:rPr>
        <w:t>Share Pledge Agreements</w:t>
      </w:r>
    </w:p>
    <w:p>
      <w:pPr>
        <w:spacing w:after="0" w:line="87" w:lineRule="exact"/>
        <w:rPr>
          <w:rFonts w:ascii="Times New Roman" w:cs="Times New Roman" w:eastAsia="Times New Roman" w:hAnsi="Times New Roman"/>
          <w:sz w:val="13"/>
          <w:szCs w:val="13"/>
          <w:b w:val="1"/>
          <w:bCs w:val="1"/>
          <w:color w:val="auto"/>
        </w:rPr>
      </w:pPr>
    </w:p>
    <w:p>
      <w:pPr>
        <w:ind w:left="2000" w:right="579"/>
        <w:spacing w:after="0" w:line="253"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Pursuant to the Share Pledge Agreements entered amongst the WFOE and the Nominee Shareholders, the Nominee Shareholders pledged all of their equity interests in the VIE to the WFOE in favor of the WFOE to secure the VIE and their obligations under the various contractual agreements, including the Exclusive Consulting and Service Agreements and Exclusive Option Agreements described above. The WFOE shall have the right to collect dividends generated by the pledged equity interests during the term of the pledge. If the Nominee Shareholders breach their respective contractual obligations under the Share Pledge Agreements, the WFOE, as pledgee, will be entitled to rights, including the right to dispose of the pledged equity interests entirely or partially. The Nominee Shareholders of the VIE agree not to create any encumbrance on or otherwise transfer or dispose of their respective equity interests in the VIE, without the prior consent of the WFOE. The Share Pledge Agreements will remain effective until all the contractual obligations have been satisfied in full under all the agreements mentioned above. In March 2021, the Company has completed the registration of the share pledge with the relevant office of Administration for the Industry and Commerce in accordance with the PRC Property Rights Law.</w:t>
      </w:r>
    </w:p>
    <w:p>
      <w:pPr>
        <w:spacing w:after="0" w:line="211" w:lineRule="exact"/>
        <w:rPr>
          <w:rFonts w:ascii="Times New Roman" w:cs="Times New Roman" w:eastAsia="Times New Roman" w:hAnsi="Times New Roman"/>
          <w:sz w:val="13"/>
          <w:szCs w:val="13"/>
          <w:b w:val="1"/>
          <w:bCs w:val="1"/>
          <w:color w:val="auto"/>
        </w:rPr>
      </w:pPr>
    </w:p>
    <w:p>
      <w:pPr>
        <w:ind w:left="2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Commitment Letter</w:t>
      </w:r>
    </w:p>
    <w:p>
      <w:pPr>
        <w:spacing w:after="0" w:line="85" w:lineRule="exact"/>
        <w:rPr>
          <w:rFonts w:ascii="Times New Roman" w:cs="Times New Roman" w:eastAsia="Times New Roman" w:hAnsi="Times New Roman"/>
          <w:sz w:val="13"/>
          <w:szCs w:val="13"/>
          <w:b w:val="1"/>
          <w:bCs w:val="1"/>
          <w:color w:val="auto"/>
        </w:rPr>
      </w:pPr>
    </w:p>
    <w:p>
      <w:pPr>
        <w:ind w:left="2000" w:right="659"/>
        <w:spacing w:after="0" w:line="264"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Pursuant to the Commitment Letter, the WFOE irrevocably and unconditionally commits to execute its rights and obligations under the Power of Attorney and Shareholders Voting Proxy under the instruction of the Company. In addition, the Company is obligated and undertakes to provide unlimited financial support to the VIE, to the extent permissible under applicable PRC laws and regulations.</w:t>
      </w:r>
    </w:p>
    <w:p>
      <w:pPr>
        <w:spacing w:after="0" w:line="51" w:lineRule="exact"/>
        <w:rPr>
          <w:rFonts w:ascii="Times New Roman" w:cs="Times New Roman" w:eastAsia="Times New Roman" w:hAnsi="Times New Roman"/>
          <w:sz w:val="13"/>
          <w:szCs w:val="13"/>
          <w:b w:val="1"/>
          <w:bCs w:val="1"/>
          <w:color w:val="auto"/>
        </w:rPr>
      </w:pPr>
    </w:p>
    <w:p>
      <w:pPr>
        <w:ind w:left="2000" w:right="559"/>
        <w:spacing w:after="0" w:line="255"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As of December 31, 2020, a judicial freeze was placed on the equity interests of the VIE in connection with an arbitration filed by a third party against Mr. Huazhi Hu, one of the Former Shareholders of the VIE. The arbitration arose from a financial dispute between the third party and Mr. Hu, and was unrelated to the Group. The third party did not have any claim against the VIE. The VIE was named as a party in the arbitration only because the third party regarded equity interests of the VIE as potential assets of Mr. Hu. The third party and Mr. Hu reached a settlement and as a result, in March 2021, the third party filed a petition with the court and the judicial freeze on the VIE’s equity interests has been released since then.</w:t>
      </w:r>
    </w:p>
    <w:p>
      <w:pPr>
        <w:spacing w:after="0" w:line="58" w:lineRule="exact"/>
        <w:rPr>
          <w:rFonts w:ascii="Times New Roman" w:cs="Times New Roman" w:eastAsia="Times New Roman" w:hAnsi="Times New Roman"/>
          <w:sz w:val="13"/>
          <w:szCs w:val="13"/>
          <w:b w:val="1"/>
          <w:bCs w:val="1"/>
          <w:color w:val="auto"/>
        </w:rPr>
      </w:pPr>
    </w:p>
    <w:p>
      <w:pPr>
        <w:ind w:left="2000" w:right="659"/>
        <w:spacing w:after="0" w:line="259"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Based on the opinion of the Company’s PRC legal counsel, (i) the ownership structure of the WFOE, the VIE and the subsidiaries of the VIE are in compliance with applicable PRC laws and regulations, (ii) such Contractual Agreements constitute valid, legal and binding obligations enforceable against each party of such agreements in accordance with the terms of each agreement, and will not result in any violation of PRC laws or regulations currently in effect.</w:t>
      </w:r>
    </w:p>
    <w:p>
      <w:pPr>
        <w:spacing w:after="0" w:line="55" w:lineRule="exact"/>
        <w:rPr>
          <w:rFonts w:ascii="Times New Roman" w:cs="Times New Roman" w:eastAsia="Times New Roman" w:hAnsi="Times New Roman"/>
          <w:sz w:val="13"/>
          <w:szCs w:val="13"/>
          <w:b w:val="1"/>
          <w:bCs w:val="1"/>
          <w:color w:val="auto"/>
        </w:rPr>
      </w:pPr>
    </w:p>
    <w:p>
      <w:pPr>
        <w:ind w:left="2000" w:right="559"/>
        <w:spacing w:after="0" w:line="253"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However, uncertainties in the PRC legal system could cause the relevant regulatory authorities to find the current Contractual Agreements and businesses to be in violation of any existing or future PRC laws or regulations. If the Company, the WFOE or any of their current or future VIE are found in violation of any existing or future laws or regulations, or fail to obtain or maintain any of the required permits or approvals, the relevant PRC regulatory authorities would have broad discretion in dealing with such violations, which may include, but not limited to, revocation of business and operating licenses, being required to discontinue or restrict its business operations, restriction of the Group’s right to collect revenues, being required to restructure its operations, imposition of additional conditions or requirements with which the Group may not be able to comply, or other regulatory or enforcement actions against the Group that could be harmful to its business. The imposition of any of these or other penalties may result in a material and adverse effect on the Group’s ability to conduct its business. In addition, if the imposition of any of these penalties causes the Company to lose the rights to direct the activities of the VIE or the right to receive their economic benefits, the Company would no longer be able to consolidate the VIE.</w:t>
      </w:r>
    </w:p>
    <w:p>
      <w:pPr>
        <w:spacing w:after="0" w:line="8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color w:val="auto"/>
        </w:rPr>
        <w:t>F- 18</w:t>
      </w:r>
    </w:p>
    <w:p>
      <w:pPr>
        <w:sectPr>
          <w:pgSz w:w="11900" w:h="16838" w:orient="portrait"/>
          <w:cols w:equalWidth="0" w:num="1">
            <w:col w:w="10159"/>
          </w:cols>
          <w:pgMar w:left="300" w:top="388" w:right="1440"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9">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 (CONTINUED)</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0">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7" w:lineRule="exact"/>
        <w:rPr>
          <w:sz w:val="20"/>
          <w:szCs w:val="20"/>
          <w:color w:val="auto"/>
        </w:rPr>
      </w:pPr>
    </w:p>
    <w:p>
      <w:pPr>
        <w:ind w:left="1980" w:hanging="304"/>
        <w:spacing w:after="0"/>
        <w:tabs>
          <w:tab w:leader="none" w:pos="1980" w:val="left"/>
        </w:tabs>
        <w:numPr>
          <w:ilvl w:val="0"/>
          <w:numId w:val="8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Organization and Basis of Presentation (Continued)</w:t>
      </w:r>
    </w:p>
    <w:p>
      <w:pPr>
        <w:spacing w:after="0" w:line="115" w:lineRule="exact"/>
        <w:rPr>
          <w:rFonts w:ascii="Times New Roman" w:cs="Times New Roman" w:eastAsia="Times New Roman" w:hAnsi="Times New Roman"/>
          <w:sz w:val="13"/>
          <w:szCs w:val="13"/>
          <w:b w:val="1"/>
          <w:bCs w:val="1"/>
          <w:color w:val="auto"/>
        </w:rPr>
      </w:pPr>
    </w:p>
    <w:p>
      <w:pPr>
        <w:ind w:left="2000" w:right="939"/>
        <w:spacing w:after="0" w:line="278"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following financial statement balances and amounts of the Group’s VIE and the VIE’s subsidiaries were included in the accompanying consolidated financial statements:</w:t>
      </w:r>
    </w:p>
    <w:p>
      <w:pPr>
        <w:spacing w:after="0" w:line="136" w:lineRule="exact"/>
        <w:rPr>
          <w:sz w:val="20"/>
          <w:szCs w:val="20"/>
          <w:color w:val="auto"/>
        </w:rPr>
      </w:pPr>
    </w:p>
    <w:tbl>
      <w:tblPr>
        <w:tblLayout w:type="fixed"/>
        <w:tblInd w:w="2320" w:type="dxa"/>
        <w:tblCellMar>
          <w:top w:w="0" w:type="dxa"/>
          <w:left w:w="0" w:type="dxa"/>
          <w:bottom w:w="0" w:type="dxa"/>
          <w:right w:w="0" w:type="dxa"/>
        </w:tblCellMar>
      </w:tblPr>
      <w:tr>
        <w:trPr>
          <w:trHeight w:val="124"/>
        </w:trPr>
        <w:tc>
          <w:tcPr>
            <w:tcW w:w="288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6"/>
          </w:tcPr>
          <w:p>
            <w:pPr>
              <w:ind w:left="260"/>
              <w:spacing w:after="0"/>
              <w:rPr>
                <w:sz w:val="20"/>
                <w:szCs w:val="20"/>
                <w:color w:val="auto"/>
              </w:rPr>
            </w:pPr>
            <w:r>
              <w:rPr>
                <w:rFonts w:ascii="Times New Roman" w:cs="Times New Roman" w:eastAsia="Times New Roman" w:hAnsi="Times New Roman"/>
                <w:sz w:val="10"/>
                <w:szCs w:val="10"/>
                <w:b w:val="1"/>
                <w:bCs w:val="1"/>
                <w:color w:val="auto"/>
              </w:rPr>
              <w:t>As of December 31,</w:t>
            </w:r>
          </w:p>
        </w:tc>
        <w:tc>
          <w:tcPr>
            <w:tcW w:w="3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7"/>
        </w:trPr>
        <w:tc>
          <w:tcPr>
            <w:tcW w:w="28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400" w:type="dxa"/>
            <w:vAlign w:val="bottom"/>
            <w:tcBorders>
              <w:bottom w:val="single" w:sz="8" w:color="auto"/>
            </w:tcBorders>
            <w:gridSpan w:val="2"/>
          </w:tcPr>
          <w:p>
            <w:pPr>
              <w:jc w:val="right"/>
              <w:ind w:right="42"/>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160" w:type="dxa"/>
            <w:vAlign w:val="bottom"/>
          </w:tcPr>
          <w:p>
            <w:pPr>
              <w:spacing w:after="0"/>
              <w:rPr>
                <w:sz w:val="8"/>
                <w:szCs w:val="8"/>
                <w:color w:val="auto"/>
              </w:rPr>
            </w:pPr>
          </w:p>
        </w:tc>
        <w:tc>
          <w:tcPr>
            <w:tcW w:w="560" w:type="dxa"/>
            <w:vAlign w:val="bottom"/>
            <w:tcBorders>
              <w:bottom w:val="single" w:sz="8" w:color="auto"/>
            </w:tcBorders>
            <w:gridSpan w:val="3"/>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r>
      <w:tr>
        <w:trPr>
          <w:trHeight w:val="97"/>
        </w:trPr>
        <w:tc>
          <w:tcPr>
            <w:tcW w:w="28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jc w:val="right"/>
              <w:ind w:right="22"/>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gridSpan w:val="3"/>
          </w:tcPr>
          <w:p>
            <w:pPr>
              <w:ind w:left="40"/>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300" w:type="dxa"/>
            <w:vAlign w:val="bottom"/>
          </w:tcPr>
          <w:p>
            <w:pPr>
              <w:jc w:val="right"/>
              <w:ind w:right="16"/>
              <w:spacing w:after="0" w:line="97" w:lineRule="exact"/>
              <w:rPr>
                <w:sz w:val="20"/>
                <w:szCs w:val="20"/>
                <w:color w:val="auto"/>
              </w:rPr>
            </w:pPr>
            <w:r>
              <w:rPr>
                <w:rFonts w:ascii="Times New Roman" w:cs="Times New Roman" w:eastAsia="Times New Roman" w:hAnsi="Times New Roman"/>
                <w:sz w:val="10"/>
                <w:szCs w:val="10"/>
                <w:b w:val="1"/>
                <w:bCs w:val="1"/>
                <w:color w:val="auto"/>
              </w:rPr>
              <w:t>US$</w:t>
            </w:r>
          </w:p>
        </w:tc>
        <w:tc>
          <w:tcPr>
            <w:tcW w:w="40" w:type="dxa"/>
            <w:vAlign w:val="bottom"/>
          </w:tcPr>
          <w:p>
            <w:pPr>
              <w:spacing w:after="0"/>
              <w:rPr>
                <w:sz w:val="8"/>
                <w:szCs w:val="8"/>
                <w:color w:val="auto"/>
              </w:rPr>
            </w:pPr>
          </w:p>
        </w:tc>
      </w:tr>
      <w:tr>
        <w:trPr>
          <w:trHeight w:val="15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6"/>
        </w:trPr>
        <w:tc>
          <w:tcPr>
            <w:tcW w:w="288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6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7,368</w:t>
            </w:r>
          </w:p>
        </w:tc>
        <w:tc>
          <w:tcPr>
            <w:tcW w:w="160" w:type="dxa"/>
            <w:vAlign w:val="bottom"/>
          </w:tcPr>
          <w:p>
            <w:pPr>
              <w:spacing w:after="0"/>
              <w:rPr>
                <w:sz w:val="13"/>
                <w:szCs w:val="13"/>
                <w:color w:val="auto"/>
              </w:rPr>
            </w:pP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8,014</w:t>
            </w:r>
          </w:p>
        </w:tc>
        <w:tc>
          <w:tcPr>
            <w:tcW w:w="40" w:type="dxa"/>
            <w:vAlign w:val="bottom"/>
          </w:tcPr>
          <w:p>
            <w:pPr>
              <w:spacing w:after="0"/>
              <w:rPr>
                <w:sz w:val="13"/>
                <w:szCs w:val="13"/>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5"/>
              </w:rPr>
              <w:t>1,258</w:t>
            </w:r>
          </w:p>
        </w:tc>
      </w:tr>
      <w:tr>
        <w:trPr>
          <w:trHeight w:val="15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Restricted cash</w:t>
            </w:r>
          </w:p>
        </w:tc>
        <w:tc>
          <w:tcPr>
            <w:tcW w:w="2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880" w:type="dxa"/>
            <w:vAlign w:val="bottom"/>
          </w:tcPr>
          <w:p>
            <w:pPr>
              <w:spacing w:after="0"/>
              <w:rPr>
                <w:sz w:val="20"/>
                <w:szCs w:val="20"/>
                <w:color w:val="auto"/>
              </w:rPr>
            </w:pPr>
            <w:r>
              <w:rPr>
                <w:rFonts w:ascii="Times New Roman" w:cs="Times New Roman" w:eastAsia="Times New Roman" w:hAnsi="Times New Roman"/>
                <w:sz w:val="13"/>
                <w:szCs w:val="13"/>
                <w:color w:val="auto"/>
              </w:rPr>
              <w:t>Accounts receivable, net</w:t>
            </w:r>
          </w:p>
        </w:tc>
        <w:tc>
          <w:tcPr>
            <w:tcW w:w="284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37,581</w:t>
            </w: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10,959</w:t>
            </w:r>
          </w:p>
        </w:tc>
        <w:tc>
          <w:tcPr>
            <w:tcW w:w="40" w:type="dxa"/>
            <w:vAlign w:val="bottom"/>
          </w:tcPr>
          <w:p>
            <w:pPr>
              <w:spacing w:after="0"/>
              <w:rPr>
                <w:sz w:val="13"/>
                <w:szCs w:val="13"/>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5"/>
              </w:rPr>
              <w:t>1,720</w:t>
            </w:r>
          </w:p>
        </w:tc>
      </w:tr>
      <w:tr>
        <w:trPr>
          <w:trHeight w:val="15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and estimated earnings in excess of billings</w:t>
            </w:r>
          </w:p>
        </w:tc>
        <w:tc>
          <w:tcPr>
            <w:tcW w:w="2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880" w:type="dxa"/>
            <w:vAlign w:val="bottom"/>
          </w:tcPr>
          <w:p>
            <w:pPr>
              <w:spacing w:after="0"/>
              <w:rPr>
                <w:sz w:val="20"/>
                <w:szCs w:val="20"/>
                <w:color w:val="auto"/>
              </w:rPr>
            </w:pPr>
            <w:r>
              <w:rPr>
                <w:rFonts w:ascii="Times New Roman" w:cs="Times New Roman" w:eastAsia="Times New Roman" w:hAnsi="Times New Roman"/>
                <w:sz w:val="13"/>
                <w:szCs w:val="13"/>
                <w:color w:val="auto"/>
              </w:rPr>
              <w:t>Inventories</w:t>
            </w:r>
          </w:p>
        </w:tc>
        <w:tc>
          <w:tcPr>
            <w:tcW w:w="26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837</w:t>
            </w:r>
          </w:p>
        </w:tc>
        <w:tc>
          <w:tcPr>
            <w:tcW w:w="160" w:type="dxa"/>
            <w:vAlign w:val="bottom"/>
          </w:tcPr>
          <w:p>
            <w:pPr>
              <w:spacing w:after="0"/>
              <w:rPr>
                <w:sz w:val="13"/>
                <w:szCs w:val="13"/>
                <w:color w:val="auto"/>
              </w:rPr>
            </w:pP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839</w:t>
            </w:r>
          </w:p>
        </w:tc>
        <w:tc>
          <w:tcPr>
            <w:tcW w:w="40" w:type="dxa"/>
            <w:vAlign w:val="bottom"/>
          </w:tcPr>
          <w:p>
            <w:pPr>
              <w:spacing w:after="0"/>
              <w:rPr>
                <w:sz w:val="13"/>
                <w:szCs w:val="13"/>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132</w:t>
            </w:r>
          </w:p>
        </w:tc>
      </w:tr>
      <w:tr>
        <w:trPr>
          <w:trHeight w:val="15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Prepayments and other current assets</w:t>
            </w:r>
          </w:p>
        </w:tc>
        <w:tc>
          <w:tcPr>
            <w:tcW w:w="2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5,550</w:t>
            </w:r>
          </w:p>
        </w:tc>
        <w:tc>
          <w:tcPr>
            <w:tcW w:w="16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4,302</w:t>
            </w:r>
          </w:p>
        </w:tc>
        <w:tc>
          <w:tcPr>
            <w:tcW w:w="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675</w:t>
            </w:r>
          </w:p>
        </w:tc>
      </w:tr>
      <w:tr>
        <w:trPr>
          <w:trHeight w:val="156"/>
        </w:trPr>
        <w:tc>
          <w:tcPr>
            <w:tcW w:w="2880" w:type="dxa"/>
            <w:vAlign w:val="bottom"/>
          </w:tcPr>
          <w:p>
            <w:pPr>
              <w:spacing w:after="0"/>
              <w:rPr>
                <w:sz w:val="20"/>
                <w:szCs w:val="20"/>
                <w:color w:val="auto"/>
              </w:rPr>
            </w:pPr>
            <w:r>
              <w:rPr>
                <w:rFonts w:ascii="Times New Roman" w:cs="Times New Roman" w:eastAsia="Times New Roman" w:hAnsi="Times New Roman"/>
                <w:sz w:val="13"/>
                <w:szCs w:val="13"/>
                <w:color w:val="auto"/>
              </w:rPr>
              <w:t>Amounts due from the Company’s subsidiaries</w:t>
            </w:r>
          </w:p>
        </w:tc>
        <w:tc>
          <w:tcPr>
            <w:tcW w:w="26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11,319</w:t>
            </w:r>
          </w:p>
        </w:tc>
        <w:tc>
          <w:tcPr>
            <w:tcW w:w="160" w:type="dxa"/>
            <w:vAlign w:val="bottom"/>
          </w:tcPr>
          <w:p>
            <w:pPr>
              <w:spacing w:after="0"/>
              <w:rPr>
                <w:sz w:val="13"/>
                <w:szCs w:val="13"/>
                <w:color w:val="auto"/>
              </w:rPr>
            </w:pP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25,774</w:t>
            </w:r>
          </w:p>
        </w:tc>
        <w:tc>
          <w:tcPr>
            <w:tcW w:w="40" w:type="dxa"/>
            <w:vAlign w:val="bottom"/>
          </w:tcPr>
          <w:p>
            <w:pPr>
              <w:spacing w:after="0"/>
              <w:rPr>
                <w:sz w:val="13"/>
                <w:szCs w:val="13"/>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5"/>
              </w:rPr>
              <w:t>4,045</w:t>
            </w:r>
          </w:p>
        </w:tc>
      </w:tr>
      <w:tr>
        <w:trPr>
          <w:trHeight w:val="15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Amounts due from a related party</w:t>
            </w:r>
          </w:p>
        </w:tc>
        <w:tc>
          <w:tcPr>
            <w:tcW w:w="2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2,639</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880" w:type="dxa"/>
            <w:vAlign w:val="bottom"/>
          </w:tcPr>
          <w:p>
            <w:pPr>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26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2,652</w:t>
            </w:r>
          </w:p>
        </w:tc>
        <w:tc>
          <w:tcPr>
            <w:tcW w:w="160" w:type="dxa"/>
            <w:vAlign w:val="bottom"/>
          </w:tcPr>
          <w:p>
            <w:pPr>
              <w:spacing w:after="0"/>
              <w:rPr>
                <w:sz w:val="13"/>
                <w:szCs w:val="13"/>
                <w:color w:val="auto"/>
              </w:rPr>
            </w:pP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2,032</w:t>
            </w:r>
          </w:p>
        </w:tc>
        <w:tc>
          <w:tcPr>
            <w:tcW w:w="40" w:type="dxa"/>
            <w:vAlign w:val="bottom"/>
          </w:tcPr>
          <w:p>
            <w:pPr>
              <w:spacing w:after="0"/>
              <w:rPr>
                <w:sz w:val="13"/>
                <w:szCs w:val="13"/>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319</w:t>
            </w:r>
          </w:p>
        </w:tc>
      </w:tr>
      <w:tr>
        <w:trPr>
          <w:trHeight w:val="15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Intangible assets, net</w:t>
            </w:r>
          </w:p>
        </w:tc>
        <w:tc>
          <w:tcPr>
            <w:tcW w:w="2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16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77</w:t>
            </w:r>
          </w:p>
        </w:tc>
        <w:tc>
          <w:tcPr>
            <w:tcW w:w="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w:t>
            </w:r>
          </w:p>
        </w:tc>
      </w:tr>
      <w:tr>
        <w:trPr>
          <w:trHeight w:val="156"/>
        </w:trPr>
        <w:tc>
          <w:tcPr>
            <w:tcW w:w="2880" w:type="dxa"/>
            <w:vAlign w:val="bottom"/>
          </w:tcPr>
          <w:p>
            <w:pPr>
              <w:spacing w:after="0"/>
              <w:rPr>
                <w:sz w:val="20"/>
                <w:szCs w:val="20"/>
                <w:color w:val="auto"/>
              </w:rPr>
            </w:pPr>
            <w:r>
              <w:rPr>
                <w:rFonts w:ascii="Times New Roman" w:cs="Times New Roman" w:eastAsia="Times New Roman" w:hAnsi="Times New Roman"/>
                <w:sz w:val="13"/>
                <w:szCs w:val="13"/>
                <w:color w:val="auto"/>
              </w:rPr>
              <w:t>Other non-current assets</w:t>
            </w:r>
          </w:p>
        </w:tc>
        <w:tc>
          <w:tcPr>
            <w:tcW w:w="26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160" w:type="dxa"/>
            <w:vAlign w:val="bottom"/>
          </w:tcPr>
          <w:p>
            <w:pPr>
              <w:spacing w:after="0"/>
              <w:rPr>
                <w:sz w:val="13"/>
                <w:szCs w:val="13"/>
                <w:color w:val="auto"/>
              </w:rPr>
            </w:pP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97</w:t>
            </w:r>
          </w:p>
        </w:tc>
        <w:tc>
          <w:tcPr>
            <w:tcW w:w="40" w:type="dxa"/>
            <w:vAlign w:val="bottom"/>
          </w:tcPr>
          <w:p>
            <w:pPr>
              <w:spacing w:after="0"/>
              <w:rPr>
                <w:sz w:val="13"/>
                <w:szCs w:val="13"/>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w:t>
            </w:r>
          </w:p>
        </w:tc>
      </w:tr>
      <w:tr>
        <w:trPr>
          <w:trHeight w:val="145"/>
        </w:trPr>
        <w:tc>
          <w:tcPr>
            <w:tcW w:w="2880" w:type="dxa"/>
            <w:vAlign w:val="bottom"/>
            <w:tcBorders>
              <w:top w:val="single" w:sz="8" w:color="CCEEFF"/>
            </w:tcBorders>
            <w:shd w:val="clear" w:color="auto" w:fill="CCEEFF"/>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2320" w:type="dxa"/>
            <w:vAlign w:val="bottom"/>
            <w:tcBorders>
              <w:top w:val="single" w:sz="8" w:color="CCEEFF"/>
            </w:tcBorders>
            <w:gridSpan w:val="2"/>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w w:val="94"/>
              </w:rPr>
              <w:t>68,944</w:t>
            </w: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w w:val="94"/>
              </w:rPr>
              <w:t>52,094</w:t>
            </w: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w w:val="95"/>
              </w:rPr>
              <w:t>8,176</w:t>
            </w:r>
          </w:p>
        </w:tc>
        <w:tc>
          <w:tcPr>
            <w:tcW w:w="40" w:type="dxa"/>
            <w:vAlign w:val="bottom"/>
            <w:tcBorders>
              <w:top w:val="single" w:sz="8" w:color="CCEEFF"/>
            </w:tcBorders>
            <w:shd w:val="clear" w:color="auto" w:fill="CCEEFF"/>
          </w:tcPr>
          <w:p>
            <w:pPr>
              <w:spacing w:after="0"/>
              <w:rPr>
                <w:sz w:val="12"/>
                <w:szCs w:val="12"/>
                <w:color w:val="auto"/>
              </w:rPr>
            </w:pPr>
          </w:p>
        </w:tc>
      </w:tr>
      <w:tr>
        <w:trPr>
          <w:trHeight w:val="136"/>
        </w:trPr>
        <w:tc>
          <w:tcPr>
            <w:tcW w:w="2880" w:type="dxa"/>
            <w:vAlign w:val="bottom"/>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22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5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Short-term bank loan</w:t>
            </w:r>
          </w:p>
        </w:tc>
        <w:tc>
          <w:tcPr>
            <w:tcW w:w="2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880" w:type="dxa"/>
            <w:vAlign w:val="bottom"/>
          </w:tcPr>
          <w:p>
            <w:pPr>
              <w:spacing w:after="0"/>
              <w:rPr>
                <w:sz w:val="20"/>
                <w:szCs w:val="20"/>
                <w:color w:val="auto"/>
              </w:rPr>
            </w:pPr>
            <w:r>
              <w:rPr>
                <w:rFonts w:ascii="Times New Roman" w:cs="Times New Roman" w:eastAsia="Times New Roman" w:hAnsi="Times New Roman"/>
                <w:sz w:val="13"/>
                <w:szCs w:val="13"/>
                <w:color w:val="auto"/>
              </w:rPr>
              <w:t>Accounts payable</w:t>
            </w:r>
          </w:p>
        </w:tc>
        <w:tc>
          <w:tcPr>
            <w:tcW w:w="26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6,252</w:t>
            </w:r>
          </w:p>
        </w:tc>
        <w:tc>
          <w:tcPr>
            <w:tcW w:w="160" w:type="dxa"/>
            <w:vAlign w:val="bottom"/>
          </w:tcPr>
          <w:p>
            <w:pPr>
              <w:spacing w:after="0"/>
              <w:rPr>
                <w:sz w:val="13"/>
                <w:szCs w:val="13"/>
                <w:color w:val="auto"/>
              </w:rPr>
            </w:pP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3,025</w:t>
            </w:r>
          </w:p>
        </w:tc>
        <w:tc>
          <w:tcPr>
            <w:tcW w:w="40" w:type="dxa"/>
            <w:vAlign w:val="bottom"/>
          </w:tcPr>
          <w:p>
            <w:pPr>
              <w:spacing w:after="0"/>
              <w:rPr>
                <w:sz w:val="13"/>
                <w:szCs w:val="13"/>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475</w:t>
            </w:r>
          </w:p>
        </w:tc>
      </w:tr>
      <w:tr>
        <w:trPr>
          <w:trHeight w:val="15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Current portion of long-term bank loans</w:t>
            </w:r>
          </w:p>
        </w:tc>
        <w:tc>
          <w:tcPr>
            <w:tcW w:w="2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1,000</w:t>
            </w:r>
          </w:p>
        </w:tc>
        <w:tc>
          <w:tcPr>
            <w:tcW w:w="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157</w:t>
            </w:r>
          </w:p>
        </w:tc>
      </w:tr>
      <w:tr>
        <w:trPr>
          <w:trHeight w:val="156"/>
        </w:trPr>
        <w:tc>
          <w:tcPr>
            <w:tcW w:w="2880" w:type="dxa"/>
            <w:vAlign w:val="bottom"/>
          </w:tcPr>
          <w:p>
            <w:pPr>
              <w:spacing w:after="0"/>
              <w:rPr>
                <w:sz w:val="20"/>
                <w:szCs w:val="20"/>
                <w:color w:val="auto"/>
              </w:rPr>
            </w:pPr>
            <w:r>
              <w:rPr>
                <w:rFonts w:ascii="Times New Roman" w:cs="Times New Roman" w:eastAsia="Times New Roman" w:hAnsi="Times New Roman"/>
                <w:sz w:val="13"/>
                <w:szCs w:val="13"/>
                <w:color w:val="auto"/>
              </w:rPr>
              <w:t>Contract liabilities</w:t>
            </w:r>
          </w:p>
        </w:tc>
        <w:tc>
          <w:tcPr>
            <w:tcW w:w="26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1,614</w:t>
            </w:r>
          </w:p>
        </w:tc>
        <w:tc>
          <w:tcPr>
            <w:tcW w:w="160" w:type="dxa"/>
            <w:vAlign w:val="bottom"/>
          </w:tcPr>
          <w:p>
            <w:pPr>
              <w:spacing w:after="0"/>
              <w:rPr>
                <w:sz w:val="13"/>
                <w:szCs w:val="13"/>
                <w:color w:val="auto"/>
              </w:rPr>
            </w:pP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1,677</w:t>
            </w:r>
          </w:p>
        </w:tc>
        <w:tc>
          <w:tcPr>
            <w:tcW w:w="40" w:type="dxa"/>
            <w:vAlign w:val="bottom"/>
          </w:tcPr>
          <w:p>
            <w:pPr>
              <w:spacing w:after="0"/>
              <w:rPr>
                <w:sz w:val="13"/>
                <w:szCs w:val="13"/>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263</w:t>
            </w:r>
          </w:p>
        </w:tc>
      </w:tr>
      <w:tr>
        <w:trPr>
          <w:trHeight w:val="15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Accrued expenses and current liabilities</w:t>
            </w:r>
          </w:p>
        </w:tc>
        <w:tc>
          <w:tcPr>
            <w:tcW w:w="2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15,395</w:t>
            </w:r>
          </w:p>
        </w:tc>
        <w:tc>
          <w:tcPr>
            <w:tcW w:w="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18,053</w:t>
            </w:r>
          </w:p>
        </w:tc>
        <w:tc>
          <w:tcPr>
            <w:tcW w:w="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5"/>
              </w:rPr>
              <w:t>2,833</w:t>
            </w:r>
          </w:p>
        </w:tc>
      </w:tr>
      <w:tr>
        <w:trPr>
          <w:trHeight w:val="168"/>
        </w:trPr>
        <w:tc>
          <w:tcPr>
            <w:tcW w:w="2880" w:type="dxa"/>
            <w:vAlign w:val="bottom"/>
          </w:tcPr>
          <w:p>
            <w:pPr>
              <w:spacing w:after="0"/>
              <w:rPr>
                <w:sz w:val="20"/>
                <w:szCs w:val="20"/>
                <w:color w:val="auto"/>
              </w:rPr>
            </w:pPr>
            <w:r>
              <w:rPr>
                <w:rFonts w:ascii="Times New Roman" w:cs="Times New Roman" w:eastAsia="Times New Roman" w:hAnsi="Times New Roman"/>
                <w:sz w:val="13"/>
                <w:szCs w:val="13"/>
                <w:color w:val="auto"/>
              </w:rPr>
              <w:t>Amounts due to the Company and its subsidiaries</w:t>
            </w:r>
          </w:p>
        </w:tc>
        <w:tc>
          <w:tcPr>
            <w:tcW w:w="284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58,801</w:t>
            </w: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45,991</w:t>
            </w:r>
          </w:p>
        </w:tc>
        <w:tc>
          <w:tcPr>
            <w:tcW w:w="40" w:type="dxa"/>
            <w:vAlign w:val="bottom"/>
          </w:tcPr>
          <w:p>
            <w:pPr>
              <w:spacing w:after="0"/>
              <w:rPr>
                <w:sz w:val="14"/>
                <w:szCs w:val="14"/>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5"/>
              </w:rPr>
              <w:t>7,217</w:t>
            </w:r>
          </w:p>
        </w:tc>
      </w:tr>
      <w:tr>
        <w:trPr>
          <w:trHeight w:val="250"/>
        </w:trPr>
        <w:tc>
          <w:tcPr>
            <w:tcW w:w="2880" w:type="dxa"/>
            <w:vAlign w:val="bottom"/>
          </w:tcPr>
          <w:p>
            <w:pPr>
              <w:spacing w:after="0"/>
              <w:rPr>
                <w:sz w:val="21"/>
                <w:szCs w:val="21"/>
                <w:color w:val="auto"/>
              </w:rPr>
            </w:pPr>
          </w:p>
        </w:tc>
        <w:tc>
          <w:tcPr>
            <w:tcW w:w="2840" w:type="dxa"/>
            <w:vAlign w:val="bottom"/>
            <w:gridSpan w:val="4"/>
          </w:tcPr>
          <w:p>
            <w:pPr>
              <w:ind w:left="300"/>
              <w:spacing w:after="0"/>
              <w:rPr>
                <w:sz w:val="20"/>
                <w:szCs w:val="20"/>
                <w:color w:val="auto"/>
              </w:rPr>
            </w:pPr>
            <w:r>
              <w:rPr>
                <w:rFonts w:ascii="Times New Roman" w:cs="Times New Roman" w:eastAsia="Times New Roman" w:hAnsi="Times New Roman"/>
                <w:sz w:val="13"/>
                <w:szCs w:val="13"/>
                <w:color w:val="auto"/>
              </w:rPr>
              <w:t>F- 19</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10159"/>
          </w:cols>
          <w:pgMar w:left="300" w:top="388" w:right="1440"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1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1">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2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 (CONTINUED)</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2">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7" w:lineRule="exact"/>
        <w:rPr>
          <w:sz w:val="20"/>
          <w:szCs w:val="20"/>
          <w:color w:val="auto"/>
        </w:rPr>
      </w:pPr>
    </w:p>
    <w:p>
      <w:pPr>
        <w:ind w:left="2000" w:right="5299" w:hanging="324"/>
        <w:spacing w:after="0" w:line="423" w:lineRule="auto"/>
        <w:tabs>
          <w:tab w:leader="none" w:pos="1994" w:val="left"/>
        </w:tabs>
        <w:numPr>
          <w:ilvl w:val="0"/>
          <w:numId w:val="8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Organization and Basis of Presentation (Continued) Commitment Letter (Continued)</w:t>
      </w:r>
    </w:p>
    <w:p>
      <w:pPr>
        <w:ind w:left="2000" w:right="939"/>
        <w:spacing w:after="0" w:line="278"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following financial statement balances and amounts of the Group’s VIE and the VIE’s subsidiaries were included in the accompanying consolidated financial statements (continued):</w:t>
      </w:r>
    </w:p>
    <w:p>
      <w:pPr>
        <w:spacing w:after="0" w:line="136" w:lineRule="exact"/>
        <w:rPr>
          <w:sz w:val="20"/>
          <w:szCs w:val="20"/>
          <w:color w:val="auto"/>
        </w:rPr>
      </w:pPr>
    </w:p>
    <w:tbl>
      <w:tblPr>
        <w:tblLayout w:type="fixed"/>
        <w:tblInd w:w="2320" w:type="dxa"/>
        <w:tblCellMar>
          <w:top w:w="0" w:type="dxa"/>
          <w:left w:w="0" w:type="dxa"/>
          <w:bottom w:w="0" w:type="dxa"/>
          <w:right w:w="0" w:type="dxa"/>
        </w:tblCellMar>
      </w:tblPr>
      <w:tr>
        <w:trPr>
          <w:trHeight w:val="124"/>
        </w:trPr>
        <w:tc>
          <w:tcPr>
            <w:tcW w:w="4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gridSpan w:val="7"/>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As of December 31,</w:t>
            </w:r>
          </w:p>
        </w:tc>
      </w:tr>
      <w:tr>
        <w:trPr>
          <w:trHeight w:val="97"/>
        </w:trPr>
        <w:tc>
          <w:tcPr>
            <w:tcW w:w="4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Borders>
              <w:top w:val="single" w:sz="8" w:color="auto"/>
            </w:tcBorders>
          </w:tcPr>
          <w:p>
            <w:pPr>
              <w:jc w:val="right"/>
              <w:ind w:right="22"/>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760" w:type="dxa"/>
            <w:vAlign w:val="bottom"/>
            <w:tcBorders>
              <w:top w:val="single" w:sz="8" w:color="auto"/>
            </w:tcBorders>
            <w:gridSpan w:val="4"/>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3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r>
      <w:tr>
        <w:trPr>
          <w:trHeight w:val="97"/>
        </w:trPr>
        <w:tc>
          <w:tcPr>
            <w:tcW w:w="4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Borders>
              <w:top w:val="single" w:sz="8" w:color="auto"/>
            </w:tcBorders>
          </w:tcPr>
          <w:p>
            <w:pPr>
              <w:jc w:val="right"/>
              <w:ind w:right="22"/>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180" w:type="dxa"/>
            <w:vAlign w:val="bottom"/>
          </w:tcPr>
          <w:p>
            <w:pPr>
              <w:spacing w:after="0"/>
              <w:rPr>
                <w:sz w:val="8"/>
                <w:szCs w:val="8"/>
                <w:color w:val="auto"/>
              </w:rPr>
            </w:pPr>
          </w:p>
        </w:tc>
        <w:tc>
          <w:tcPr>
            <w:tcW w:w="580" w:type="dxa"/>
            <w:vAlign w:val="bottom"/>
            <w:tcBorders>
              <w:top w:val="single" w:sz="8" w:color="auto"/>
            </w:tcBorders>
            <w:gridSpan w:val="3"/>
          </w:tcPr>
          <w:p>
            <w:pPr>
              <w:jc w:val="center"/>
              <w:ind w:right="180"/>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380" w:type="dxa"/>
            <w:vAlign w:val="bottom"/>
            <w:tcBorders>
              <w:top w:val="single" w:sz="8" w:color="auto"/>
            </w:tcBorders>
          </w:tcPr>
          <w:p>
            <w:pPr>
              <w:jc w:val="right"/>
              <w:ind w:right="58"/>
              <w:spacing w:after="0" w:line="97" w:lineRule="exact"/>
              <w:rPr>
                <w:sz w:val="20"/>
                <w:szCs w:val="20"/>
                <w:color w:val="auto"/>
              </w:rPr>
            </w:pPr>
            <w:r>
              <w:rPr>
                <w:rFonts w:ascii="Times New Roman" w:cs="Times New Roman" w:eastAsia="Times New Roman" w:hAnsi="Times New Roman"/>
                <w:sz w:val="10"/>
                <w:szCs w:val="10"/>
                <w:b w:val="1"/>
                <w:bCs w:val="1"/>
                <w:color w:val="auto"/>
              </w:rPr>
              <w:t>US$</w:t>
            </w:r>
          </w:p>
        </w:tc>
        <w:tc>
          <w:tcPr>
            <w:tcW w:w="40" w:type="dxa"/>
            <w:vAlign w:val="bottom"/>
          </w:tcPr>
          <w:p>
            <w:pPr>
              <w:spacing w:after="0"/>
              <w:rPr>
                <w:sz w:val="8"/>
                <w:szCs w:val="8"/>
                <w:color w:val="auto"/>
              </w:rPr>
            </w:pPr>
          </w:p>
        </w:tc>
      </w:tr>
      <w:tr>
        <w:trPr>
          <w:trHeight w:val="15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Long-term bank loans</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9,000</w:t>
            </w:r>
          </w:p>
        </w:tc>
        <w:tc>
          <w:tcPr>
            <w:tcW w:w="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1,412</w:t>
            </w:r>
          </w:p>
        </w:tc>
      </w:tr>
      <w:tr>
        <w:trPr>
          <w:trHeight w:val="156"/>
        </w:trPr>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Unrecognized tax benefit</w:t>
            </w:r>
          </w:p>
        </w:tc>
        <w:tc>
          <w:tcPr>
            <w:tcW w:w="12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588</w:t>
            </w:r>
          </w:p>
        </w:tc>
        <w:tc>
          <w:tcPr>
            <w:tcW w:w="1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588</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40" w:type="dxa"/>
            <w:vAlign w:val="bottom"/>
            <w:tcBorders>
              <w:bottom w:val="single" w:sz="8" w:color="CCEEFF"/>
            </w:tcBorders>
          </w:tcPr>
          <w:p>
            <w:pPr>
              <w:spacing w:after="0"/>
              <w:rPr>
                <w:sz w:val="13"/>
                <w:szCs w:val="13"/>
                <w:color w:val="auto"/>
              </w:rPr>
            </w:pPr>
          </w:p>
        </w:tc>
      </w:tr>
      <w:tr>
        <w:trPr>
          <w:trHeight w:val="164"/>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2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shd w:val="clear" w:color="auto" w:fill="CCEEFF"/>
              </w:rPr>
              <w:t>87,650</w:t>
            </w:r>
          </w:p>
        </w:tc>
        <w:tc>
          <w:tcPr>
            <w:tcW w:w="1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shd w:val="clear" w:color="auto" w:fill="CCEEFF"/>
              </w:rPr>
              <w:t>79,334</w:t>
            </w:r>
          </w:p>
        </w:tc>
        <w:tc>
          <w:tcPr>
            <w:tcW w:w="1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shd w:val="clear" w:color="auto" w:fill="CCEEFF"/>
              </w:rPr>
              <w:t>12,449</w:t>
            </w:r>
          </w:p>
        </w:tc>
        <w:tc>
          <w:tcPr>
            <w:tcW w:w="40" w:type="dxa"/>
            <w:vAlign w:val="bottom"/>
            <w:shd w:val="clear" w:color="auto" w:fill="CCEEFF"/>
          </w:tcPr>
          <w:p>
            <w:pPr>
              <w:spacing w:after="0"/>
              <w:rPr>
                <w:sz w:val="14"/>
                <w:szCs w:val="14"/>
                <w:color w:val="auto"/>
              </w:rPr>
            </w:pPr>
          </w:p>
        </w:tc>
      </w:tr>
    </w:tbl>
    <w:p>
      <w:pPr>
        <w:spacing w:after="0" w:line="168" w:lineRule="exact"/>
        <w:rPr>
          <w:sz w:val="20"/>
          <w:szCs w:val="20"/>
          <w:color w:val="auto"/>
        </w:rPr>
      </w:pPr>
    </w:p>
    <w:tbl>
      <w:tblPr>
        <w:tblLayout w:type="fixed"/>
        <w:tblInd w:w="2000" w:type="dxa"/>
        <w:tblCellMar>
          <w:top w:w="0" w:type="dxa"/>
          <w:left w:w="0" w:type="dxa"/>
          <w:bottom w:w="0" w:type="dxa"/>
          <w:right w:w="0" w:type="dxa"/>
        </w:tblCellMar>
      </w:tblPr>
      <w:tr>
        <w:trPr>
          <w:trHeight w:val="124"/>
        </w:trPr>
        <w:tc>
          <w:tcPr>
            <w:tcW w:w="5200" w:type="dxa"/>
            <w:vAlign w:val="bottom"/>
          </w:tcPr>
          <w:p>
            <w:pPr>
              <w:spacing w:after="0"/>
              <w:rPr>
                <w:sz w:val="10"/>
                <w:szCs w:val="10"/>
                <w:color w:val="auto"/>
              </w:rPr>
            </w:pPr>
          </w:p>
        </w:tc>
        <w:tc>
          <w:tcPr>
            <w:tcW w:w="2100" w:type="dxa"/>
            <w:vAlign w:val="bottom"/>
            <w:gridSpan w:val="7"/>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For the year ended December 31,</w:t>
            </w:r>
          </w:p>
        </w:tc>
      </w:tr>
      <w:tr>
        <w:trPr>
          <w:trHeight w:val="97"/>
        </w:trPr>
        <w:tc>
          <w:tcPr>
            <w:tcW w:w="5200" w:type="dxa"/>
            <w:vAlign w:val="bottom"/>
          </w:tcPr>
          <w:p>
            <w:pPr>
              <w:spacing w:after="0"/>
              <w:rPr>
                <w:sz w:val="8"/>
                <w:szCs w:val="8"/>
                <w:color w:val="auto"/>
              </w:rPr>
            </w:pPr>
          </w:p>
        </w:tc>
        <w:tc>
          <w:tcPr>
            <w:tcW w:w="400" w:type="dxa"/>
            <w:vAlign w:val="bottom"/>
            <w:tcBorders>
              <w:top w:val="single" w:sz="8" w:color="auto"/>
              <w:bottom w:val="single" w:sz="8" w:color="auto"/>
            </w:tcBorders>
          </w:tcPr>
          <w:p>
            <w:pPr>
              <w:jc w:val="right"/>
              <w:ind w:right="39"/>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40" w:type="dxa"/>
            <w:vAlign w:val="bottom"/>
            <w:tcBorders>
              <w:top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38"/>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160" w:type="dxa"/>
            <w:vAlign w:val="bottom"/>
            <w:tcBorders>
              <w:top w:val="single" w:sz="8" w:color="auto"/>
            </w:tcBorders>
          </w:tcPr>
          <w:p>
            <w:pPr>
              <w:spacing w:after="0"/>
              <w:rPr>
                <w:sz w:val="8"/>
                <w:szCs w:val="8"/>
                <w:color w:val="auto"/>
              </w:rPr>
            </w:pPr>
          </w:p>
        </w:tc>
        <w:tc>
          <w:tcPr>
            <w:tcW w:w="56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360" w:type="dxa"/>
            <w:vAlign w:val="bottom"/>
            <w:tcBorders>
              <w:top w:val="single" w:sz="8" w:color="auto"/>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97"/>
        </w:trPr>
        <w:tc>
          <w:tcPr>
            <w:tcW w:w="5200" w:type="dxa"/>
            <w:vAlign w:val="bottom"/>
          </w:tcPr>
          <w:p>
            <w:pPr>
              <w:spacing w:after="0"/>
              <w:rPr>
                <w:sz w:val="8"/>
                <w:szCs w:val="8"/>
                <w:color w:val="auto"/>
              </w:rPr>
            </w:pPr>
          </w:p>
        </w:tc>
        <w:tc>
          <w:tcPr>
            <w:tcW w:w="400" w:type="dxa"/>
            <w:vAlign w:val="bottom"/>
          </w:tcPr>
          <w:p>
            <w:pPr>
              <w:jc w:val="right"/>
              <w:ind w:right="19"/>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140" w:type="dxa"/>
            <w:vAlign w:val="bottom"/>
          </w:tcPr>
          <w:p>
            <w:pPr>
              <w:spacing w:after="0"/>
              <w:rPr>
                <w:sz w:val="8"/>
                <w:szCs w:val="8"/>
                <w:color w:val="auto"/>
              </w:rPr>
            </w:pPr>
          </w:p>
        </w:tc>
        <w:tc>
          <w:tcPr>
            <w:tcW w:w="400" w:type="dxa"/>
            <w:vAlign w:val="bottom"/>
          </w:tcPr>
          <w:p>
            <w:pPr>
              <w:jc w:val="right"/>
              <w:ind w:right="18"/>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160" w:type="dxa"/>
            <w:vAlign w:val="bottom"/>
          </w:tcPr>
          <w:p>
            <w:pPr>
              <w:spacing w:after="0"/>
              <w:rPr>
                <w:sz w:val="8"/>
                <w:szCs w:val="8"/>
                <w:color w:val="auto"/>
              </w:rPr>
            </w:pPr>
          </w:p>
        </w:tc>
        <w:tc>
          <w:tcPr>
            <w:tcW w:w="560" w:type="dxa"/>
            <w:vAlign w:val="bottom"/>
          </w:tcPr>
          <w:p>
            <w:pPr>
              <w:jc w:val="right"/>
              <w:ind w:right="198"/>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360" w:type="dxa"/>
            <w:vAlign w:val="bottom"/>
          </w:tcPr>
          <w:p>
            <w:pPr>
              <w:jc w:val="right"/>
              <w:ind w:right="37"/>
              <w:spacing w:after="0" w:line="97" w:lineRule="exact"/>
              <w:rPr>
                <w:sz w:val="20"/>
                <w:szCs w:val="20"/>
                <w:color w:val="auto"/>
              </w:rPr>
            </w:pPr>
            <w:r>
              <w:rPr>
                <w:rFonts w:ascii="Times New Roman" w:cs="Times New Roman" w:eastAsia="Times New Roman" w:hAnsi="Times New Roman"/>
                <w:sz w:val="10"/>
                <w:szCs w:val="10"/>
                <w:b w:val="1"/>
                <w:bCs w:val="1"/>
                <w:color w:val="auto"/>
              </w:rPr>
              <w:t>US$</w:t>
            </w:r>
          </w:p>
        </w:tc>
        <w:tc>
          <w:tcPr>
            <w:tcW w:w="80" w:type="dxa"/>
            <w:vAlign w:val="bottom"/>
          </w:tcPr>
          <w:p>
            <w:pPr>
              <w:spacing w:after="0"/>
              <w:rPr>
                <w:sz w:val="8"/>
                <w:szCs w:val="8"/>
                <w:color w:val="auto"/>
              </w:rPr>
            </w:pPr>
          </w:p>
        </w:tc>
      </w:tr>
      <w:tr>
        <w:trPr>
          <w:trHeight w:val="15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62,288</w:t>
            </w: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68,372</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3"/>
                <w:szCs w:val="13"/>
                <w:color w:val="auto"/>
              </w:rPr>
              <w:t>28,399</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4,456</w:t>
            </w:r>
          </w:p>
        </w:tc>
        <w:tc>
          <w:tcPr>
            <w:tcW w:w="80" w:type="dxa"/>
            <w:vAlign w:val="bottom"/>
            <w:shd w:val="clear" w:color="auto" w:fill="CCEEFF"/>
          </w:tcPr>
          <w:p>
            <w:pPr>
              <w:spacing w:after="0"/>
              <w:rPr>
                <w:sz w:val="13"/>
                <w:szCs w:val="13"/>
                <w:color w:val="auto"/>
              </w:rPr>
            </w:pPr>
          </w:p>
        </w:tc>
      </w:tr>
      <w:tr>
        <w:trPr>
          <w:trHeight w:val="156"/>
        </w:trPr>
        <w:tc>
          <w:tcPr>
            <w:tcW w:w="52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 Third-party revenue</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30,482</w:t>
            </w:r>
          </w:p>
        </w:tc>
        <w:tc>
          <w:tcPr>
            <w:tcW w:w="1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35,280</w:t>
            </w:r>
          </w:p>
        </w:tc>
        <w:tc>
          <w:tcPr>
            <w:tcW w:w="160" w:type="dxa"/>
            <w:vAlign w:val="bottom"/>
          </w:tcPr>
          <w:p>
            <w:pPr>
              <w:spacing w:after="0"/>
              <w:rPr>
                <w:sz w:val="13"/>
                <w:szCs w:val="13"/>
                <w:color w:val="auto"/>
              </w:rPr>
            </w:pPr>
          </w:p>
        </w:tc>
        <w:tc>
          <w:tcPr>
            <w:tcW w:w="560" w:type="dxa"/>
            <w:vAlign w:val="bottom"/>
          </w:tcPr>
          <w:p>
            <w:pPr>
              <w:jc w:val="right"/>
              <w:ind w:right="118"/>
              <w:spacing w:after="0"/>
              <w:rPr>
                <w:sz w:val="20"/>
                <w:szCs w:val="20"/>
                <w:color w:val="auto"/>
              </w:rPr>
            </w:pPr>
            <w:r>
              <w:rPr>
                <w:rFonts w:ascii="Times New Roman" w:cs="Times New Roman" w:eastAsia="Times New Roman" w:hAnsi="Times New Roman"/>
                <w:sz w:val="13"/>
                <w:szCs w:val="13"/>
                <w:color w:val="auto"/>
              </w:rPr>
              <w:t>230</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Pr>
          <w:p>
            <w:pPr>
              <w:spacing w:after="0"/>
              <w:rPr>
                <w:sz w:val="13"/>
                <w:szCs w:val="13"/>
                <w:color w:val="auto"/>
              </w:rPr>
            </w:pPr>
          </w:p>
        </w:tc>
      </w:tr>
      <w:tr>
        <w:trPr>
          <w:trHeight w:val="156"/>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 Inter-company revenue</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31,806</w:t>
            </w: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33,092</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3"/>
                <w:szCs w:val="13"/>
                <w:color w:val="auto"/>
              </w:rPr>
              <w:t>28,169</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4,420</w:t>
            </w:r>
          </w:p>
        </w:tc>
        <w:tc>
          <w:tcPr>
            <w:tcW w:w="80" w:type="dxa"/>
            <w:vAlign w:val="bottom"/>
            <w:shd w:val="clear" w:color="auto" w:fill="CCEEFF"/>
          </w:tcPr>
          <w:p>
            <w:pPr>
              <w:spacing w:after="0"/>
              <w:rPr>
                <w:sz w:val="13"/>
                <w:szCs w:val="13"/>
                <w:color w:val="auto"/>
              </w:rPr>
            </w:pPr>
          </w:p>
        </w:tc>
      </w:tr>
      <w:tr>
        <w:trPr>
          <w:trHeight w:val="156"/>
        </w:trPr>
        <w:tc>
          <w:tcPr>
            <w:tcW w:w="5200" w:type="dxa"/>
            <w:vAlign w:val="bottom"/>
          </w:tcPr>
          <w:p>
            <w:pPr>
              <w:spacing w:after="0"/>
              <w:rPr>
                <w:sz w:val="20"/>
                <w:szCs w:val="20"/>
                <w:color w:val="auto"/>
              </w:rPr>
            </w:pPr>
            <w:r>
              <w:rPr>
                <w:rFonts w:ascii="Times New Roman" w:cs="Times New Roman" w:eastAsia="Times New Roman" w:hAnsi="Times New Roman"/>
                <w:sz w:val="13"/>
                <w:szCs w:val="13"/>
                <w:color w:val="auto"/>
              </w:rPr>
              <w:t>Net profit (loss)</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2,211</w:t>
            </w:r>
          </w:p>
        </w:tc>
        <w:tc>
          <w:tcPr>
            <w:tcW w:w="1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25,755</w:t>
            </w:r>
          </w:p>
        </w:tc>
        <w:tc>
          <w:tcPr>
            <w:tcW w:w="160" w:type="dxa"/>
            <w:vAlign w:val="bottom"/>
          </w:tcPr>
          <w:p>
            <w:pPr>
              <w:spacing w:after="0"/>
              <w:rPr>
                <w:sz w:val="13"/>
                <w:szCs w:val="13"/>
                <w:color w:val="auto"/>
              </w:rPr>
            </w:pPr>
          </w:p>
        </w:tc>
        <w:tc>
          <w:tcPr>
            <w:tcW w:w="56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(8,534)</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(1,339)</w:t>
            </w:r>
          </w:p>
        </w:tc>
      </w:tr>
      <w:tr>
        <w:trPr>
          <w:trHeight w:val="15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(6,822)</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(5,118)</w:t>
            </w:r>
          </w:p>
        </w:tc>
        <w:tc>
          <w:tcPr>
            <w:tcW w:w="5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(3,482)</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(546)</w:t>
            </w:r>
          </w:p>
        </w:tc>
      </w:tr>
      <w:tr>
        <w:trPr>
          <w:trHeight w:val="156"/>
        </w:trPr>
        <w:tc>
          <w:tcPr>
            <w:tcW w:w="5200" w:type="dxa"/>
            <w:vAlign w:val="bottom"/>
          </w:tcPr>
          <w:p>
            <w:pPr>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(719)</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(107)</w:t>
            </w:r>
          </w:p>
        </w:tc>
        <w:tc>
          <w:tcPr>
            <w:tcW w:w="56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(878)</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(138)</w:t>
            </w:r>
          </w:p>
        </w:tc>
      </w:tr>
      <w:tr>
        <w:trPr>
          <w:trHeight w:val="15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3"/>
                <w:szCs w:val="13"/>
                <w:color w:val="auto"/>
              </w:rPr>
              <w:t>5,000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784</w:t>
            </w:r>
          </w:p>
        </w:tc>
        <w:tc>
          <w:tcPr>
            <w:tcW w:w="80" w:type="dxa"/>
            <w:vAlign w:val="bottom"/>
            <w:shd w:val="clear" w:color="auto" w:fill="CCEEFF"/>
          </w:tcPr>
          <w:p>
            <w:pPr>
              <w:spacing w:after="0"/>
              <w:rPr>
                <w:sz w:val="13"/>
                <w:szCs w:val="13"/>
                <w:color w:val="auto"/>
              </w:rPr>
            </w:pPr>
          </w:p>
        </w:tc>
      </w:tr>
      <w:tr>
        <w:trPr>
          <w:trHeight w:val="168"/>
        </w:trPr>
        <w:tc>
          <w:tcPr>
            <w:tcW w:w="5200" w:type="dxa"/>
            <w:vAlign w:val="bottom"/>
          </w:tcPr>
          <w:p>
            <w:pPr>
              <w:spacing w:after="0"/>
              <w:rPr>
                <w:sz w:val="20"/>
                <w:szCs w:val="20"/>
                <w:color w:val="auto"/>
              </w:rPr>
            </w:pPr>
            <w:r>
              <w:rPr>
                <w:rFonts w:ascii="Times New Roman" w:cs="Times New Roman" w:eastAsia="Times New Roman" w:hAnsi="Times New Roman"/>
                <w:sz w:val="13"/>
                <w:szCs w:val="13"/>
                <w:color w:val="auto"/>
              </w:rPr>
              <w:t>Net (decrease) increase in cash, cash equivalents and restricted cash</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(7,541)</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(5,225)</w:t>
            </w:r>
          </w:p>
        </w:tc>
        <w:tc>
          <w:tcPr>
            <w:tcW w:w="560" w:type="dxa"/>
            <w:vAlign w:val="bottom"/>
          </w:tcPr>
          <w:p>
            <w:pPr>
              <w:jc w:val="right"/>
              <w:ind w:right="118"/>
              <w:spacing w:after="0"/>
              <w:rPr>
                <w:sz w:val="20"/>
                <w:szCs w:val="20"/>
                <w:color w:val="auto"/>
              </w:rPr>
            </w:pPr>
            <w:r>
              <w:rPr>
                <w:rFonts w:ascii="Times New Roman" w:cs="Times New Roman" w:eastAsia="Times New Roman" w:hAnsi="Times New Roman"/>
                <w:sz w:val="13"/>
                <w:szCs w:val="13"/>
                <w:color w:val="auto"/>
              </w:rPr>
              <w:t>640</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tcPr>
          <w:p>
            <w:pPr>
              <w:spacing w:after="0"/>
              <w:rPr>
                <w:sz w:val="14"/>
                <w:szCs w:val="14"/>
                <w:color w:val="auto"/>
              </w:rPr>
            </w:pPr>
          </w:p>
        </w:tc>
      </w:tr>
    </w:tbl>
    <w:p>
      <w:pPr>
        <w:spacing w:after="0" w:line="131" w:lineRule="exact"/>
        <w:rPr>
          <w:sz w:val="20"/>
          <w:szCs w:val="20"/>
          <w:color w:val="auto"/>
        </w:rPr>
      </w:pPr>
    </w:p>
    <w:p>
      <w:pPr>
        <w:jc w:val="both"/>
        <w:ind w:left="2000" w:right="579"/>
        <w:spacing w:after="0" w:line="264" w:lineRule="auto"/>
        <w:rPr>
          <w:sz w:val="20"/>
          <w:szCs w:val="20"/>
          <w:color w:val="auto"/>
        </w:rPr>
      </w:pPr>
      <w:r>
        <w:rPr>
          <w:rFonts w:ascii="Times New Roman" w:cs="Times New Roman" w:eastAsia="Times New Roman" w:hAnsi="Times New Roman"/>
          <w:sz w:val="13"/>
          <w:szCs w:val="13"/>
          <w:color w:val="auto"/>
        </w:rPr>
        <w:t>Other than the amounts due to the Company and its subsidiaries (which are eliminated upon consolidation), all remaining liabilities of the VIE are without recourse to the primary beneficiary. The Company did not provide or intend to provide financial or other supports that are not previously contractually required to the VIE and VIE’s subsidiaries during the years presented.</w:t>
      </w:r>
    </w:p>
    <w:p>
      <w:pPr>
        <w:spacing w:after="0" w:line="51" w:lineRule="exact"/>
        <w:rPr>
          <w:sz w:val="20"/>
          <w:szCs w:val="20"/>
          <w:color w:val="auto"/>
        </w:rPr>
      </w:pPr>
    </w:p>
    <w:p>
      <w:pPr>
        <w:ind w:left="2000" w:right="559"/>
        <w:spacing w:after="0" w:line="253" w:lineRule="auto"/>
        <w:rPr>
          <w:sz w:val="20"/>
          <w:szCs w:val="20"/>
          <w:color w:val="auto"/>
        </w:rPr>
      </w:pPr>
      <w:r>
        <w:rPr>
          <w:rFonts w:ascii="Times New Roman" w:cs="Times New Roman" w:eastAsia="Times New Roman" w:hAnsi="Times New Roman"/>
          <w:sz w:val="13"/>
          <w:szCs w:val="13"/>
          <w:color w:val="auto"/>
        </w:rPr>
        <w:t>The revenue-producing assets that are held by the VIE and its subsidiaries comprise mainly of permits, domain names, IP rights, operating licenses, intangible assets and fixed assets. The VIE and its subsidiaries contributed an aggregate of 25.0%, 19.6% and 0.4% of the Group’s consolidated revenues for the years ended December 31, 2019, 2020 and 2021, respectively, after elimination of inter-company transactions. The VIE and its subsidiaries contributed RMB25,934, RMB507 and RMB36,371(US$5,707) of the Group’s consolidated net loss for the years ended December 31, 2019, 2020 and 2021, respectively, after elimination of inter-company transactions. There are no consolidated VIE’s assets that are pledged or collateralized for the VIE’s obligations which can only be used to settle the VIE’s obligations, except for the registered capital and the statutory reserves. Relevant PRC laws and regulations restrict the VIE from transferring a portion of its net assets, equivalent to the balance of its statutory reserves and its share capital, to the Company in the form of loans and advances or cash dividends (Note 21). Creditors of the VIE do not have recourse to the general credit of the Company for any of the liabilities of the VIE. There were no other pledges or collateralization of the VIE’s assets.</w:t>
      </w:r>
    </w:p>
    <w:p>
      <w:pPr>
        <w:spacing w:after="0" w:line="8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color w:val="auto"/>
        </w:rPr>
        <w:t>F- 20</w:t>
      </w:r>
    </w:p>
    <w:p>
      <w:pPr>
        <w:sectPr>
          <w:pgSz w:w="11900" w:h="16838" w:orient="portrait"/>
          <w:cols w:equalWidth="0" w:num="1">
            <w:col w:w="10159"/>
          </w:cols>
          <w:pgMar w:left="300" w:top="388" w:right="1440"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3">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 (CONTINUED)</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4">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225" w:lineRule="exact"/>
        <w:rPr>
          <w:sz w:val="20"/>
          <w:szCs w:val="20"/>
          <w:color w:val="auto"/>
        </w:rPr>
      </w:pPr>
    </w:p>
    <w:p>
      <w:pPr>
        <w:ind w:left="1980" w:hanging="304"/>
        <w:spacing w:after="0"/>
        <w:tabs>
          <w:tab w:leader="none" w:pos="1980" w:val="left"/>
        </w:tabs>
        <w:numPr>
          <w:ilvl w:val="0"/>
          <w:numId w:val="8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Summary of Significant Accounting Policies</w:t>
      </w:r>
    </w:p>
    <w:p>
      <w:pPr>
        <w:spacing w:after="0" w:line="267" w:lineRule="exact"/>
        <w:rPr>
          <w:sz w:val="20"/>
          <w:szCs w:val="20"/>
          <w:color w:val="auto"/>
        </w:rPr>
      </w:pPr>
    </w:p>
    <w:p>
      <w:pPr>
        <w:ind w:left="1980" w:hanging="304"/>
        <w:spacing w:after="0"/>
        <w:tabs>
          <w:tab w:leader="none" w:pos="1980" w:val="left"/>
        </w:tabs>
        <w:numPr>
          <w:ilvl w:val="0"/>
          <w:numId w:val="88"/>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Basis of presentation</w:t>
      </w:r>
    </w:p>
    <w:p>
      <w:pPr>
        <w:spacing w:after="0" w:line="87" w:lineRule="exact"/>
        <w:rPr>
          <w:rFonts w:ascii="Times New Roman" w:cs="Times New Roman" w:eastAsia="Times New Roman" w:hAnsi="Times New Roman"/>
          <w:sz w:val="13"/>
          <w:szCs w:val="13"/>
          <w:b w:val="1"/>
          <w:bCs w:val="1"/>
          <w:i w:val="1"/>
          <w:iCs w:val="1"/>
          <w:color w:val="auto"/>
        </w:rPr>
      </w:pPr>
    </w:p>
    <w:p>
      <w:pPr>
        <w:ind w:left="2000" w:right="599"/>
        <w:spacing w:after="0" w:line="264"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The accompanying consolidated financial statements have been prepared in accordance with the accounting principles generally accepted in the United States of America (“US GAAP”) to reflect the financial position, results of operations and cash flows of the Group. Significant accounting policies followed by the Group in the preparation of the accompanying consolidated financial statements are summarized below.</w:t>
      </w:r>
    </w:p>
    <w:p>
      <w:pPr>
        <w:spacing w:after="0" w:line="232" w:lineRule="exact"/>
        <w:rPr>
          <w:rFonts w:ascii="Times New Roman" w:cs="Times New Roman" w:eastAsia="Times New Roman" w:hAnsi="Times New Roman"/>
          <w:sz w:val="13"/>
          <w:szCs w:val="13"/>
          <w:b w:val="1"/>
          <w:bCs w:val="1"/>
          <w:i w:val="1"/>
          <w:iCs w:val="1"/>
          <w:color w:val="auto"/>
        </w:rPr>
      </w:pPr>
    </w:p>
    <w:p>
      <w:pPr>
        <w:ind w:left="1980" w:hanging="304"/>
        <w:spacing w:after="0"/>
        <w:tabs>
          <w:tab w:leader="none" w:pos="1980" w:val="left"/>
        </w:tabs>
        <w:numPr>
          <w:ilvl w:val="0"/>
          <w:numId w:val="88"/>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Principles of consolidation</w:t>
      </w:r>
    </w:p>
    <w:p>
      <w:pPr>
        <w:spacing w:after="0" w:line="87" w:lineRule="exact"/>
        <w:rPr>
          <w:rFonts w:ascii="Times New Roman" w:cs="Times New Roman" w:eastAsia="Times New Roman" w:hAnsi="Times New Roman"/>
          <w:sz w:val="13"/>
          <w:szCs w:val="13"/>
          <w:b w:val="1"/>
          <w:bCs w:val="1"/>
          <w:i w:val="1"/>
          <w:iCs w:val="1"/>
          <w:color w:val="auto"/>
        </w:rPr>
      </w:pPr>
    </w:p>
    <w:p>
      <w:pPr>
        <w:ind w:left="2000" w:right="619"/>
        <w:spacing w:after="0" w:line="256"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The consolidated financial statements include the financial statements of the Company, its subsidiaries, the VIE and the subsidiaries of the VIE, for which the Company is the ultimate the primary beneficiary. All significant inter-company transactions and balances between the Company, its subsidiaries, the VIE and the subsidiaries of the VIE have been eliminated upon consolidation.</w:t>
      </w:r>
    </w:p>
    <w:p>
      <w:pPr>
        <w:ind w:left="2000"/>
        <w:spacing w:after="0"/>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2"/>
          <w:szCs w:val="12"/>
          <w:color w:val="auto"/>
        </w:rPr>
        <w:t>A subsidiary is an entity in which the Company, directly or indirectly, controls more than one half of the voting power: has the power to appoint or</w:t>
      </w:r>
    </w:p>
    <w:p>
      <w:pPr>
        <w:spacing w:after="0" w:line="17" w:lineRule="exact"/>
        <w:rPr>
          <w:rFonts w:ascii="Times New Roman" w:cs="Times New Roman" w:eastAsia="Times New Roman" w:hAnsi="Times New Roman"/>
          <w:sz w:val="13"/>
          <w:szCs w:val="13"/>
          <w:b w:val="1"/>
          <w:bCs w:val="1"/>
          <w:i w:val="1"/>
          <w:iCs w:val="1"/>
          <w:color w:val="auto"/>
        </w:rPr>
      </w:pPr>
    </w:p>
    <w:p>
      <w:pPr>
        <w:ind w:left="2000" w:right="619"/>
        <w:spacing w:after="0" w:line="259"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remove the majority of the members of the board of directors (the “Board”): to cast majority of votes at the meeting of the Board or to govern the financial and operating policies of the investee under a statute or agreement among the shareholders or equity holders.</w:t>
      </w:r>
    </w:p>
    <w:p>
      <w:pPr>
        <w:spacing w:after="0" w:line="54" w:lineRule="exact"/>
        <w:rPr>
          <w:rFonts w:ascii="Times New Roman" w:cs="Times New Roman" w:eastAsia="Times New Roman" w:hAnsi="Times New Roman"/>
          <w:sz w:val="13"/>
          <w:szCs w:val="13"/>
          <w:b w:val="1"/>
          <w:bCs w:val="1"/>
          <w:i w:val="1"/>
          <w:iCs w:val="1"/>
          <w:color w:val="auto"/>
        </w:rPr>
      </w:pPr>
    </w:p>
    <w:p>
      <w:pPr>
        <w:ind w:left="2000" w:right="579"/>
        <w:spacing w:after="0" w:line="257"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A VIE is an entity in which the Company, or its subsidiary, through contractual arrangements, bears the risks of, and enjoys the rewards normally associated with, ownership of the entity, and therefore the Company or its subsidiary is the primary beneficiary of the entity. In determining whether the Company or its subsidiaries are the primary beneficiary, the Company considered whether it has the power to direct activities that are significant to the VIE’s economic performance, and also the Company’s obligation to absorb losses of the VIE that could potentially be significant to the VIE or the right to receive benefits from the VIEs that could potentially be significant to the VIEs.</w:t>
      </w:r>
    </w:p>
    <w:p>
      <w:pPr>
        <w:spacing w:after="0" w:line="236" w:lineRule="exact"/>
        <w:rPr>
          <w:rFonts w:ascii="Times New Roman" w:cs="Times New Roman" w:eastAsia="Times New Roman" w:hAnsi="Times New Roman"/>
          <w:sz w:val="13"/>
          <w:szCs w:val="13"/>
          <w:b w:val="1"/>
          <w:bCs w:val="1"/>
          <w:i w:val="1"/>
          <w:iCs w:val="1"/>
          <w:color w:val="auto"/>
        </w:rPr>
      </w:pPr>
    </w:p>
    <w:p>
      <w:pPr>
        <w:ind w:left="1980" w:hanging="304"/>
        <w:spacing w:after="0"/>
        <w:tabs>
          <w:tab w:leader="none" w:pos="1980" w:val="left"/>
        </w:tabs>
        <w:numPr>
          <w:ilvl w:val="0"/>
          <w:numId w:val="88"/>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Use of estimates</w:t>
      </w:r>
    </w:p>
    <w:p>
      <w:pPr>
        <w:spacing w:after="0" w:line="87" w:lineRule="exact"/>
        <w:rPr>
          <w:rFonts w:ascii="Times New Roman" w:cs="Times New Roman" w:eastAsia="Times New Roman" w:hAnsi="Times New Roman"/>
          <w:sz w:val="13"/>
          <w:szCs w:val="13"/>
          <w:b w:val="1"/>
          <w:bCs w:val="1"/>
          <w:i w:val="1"/>
          <w:iCs w:val="1"/>
          <w:color w:val="auto"/>
        </w:rPr>
      </w:pPr>
    </w:p>
    <w:p>
      <w:pPr>
        <w:ind w:left="2000" w:right="619"/>
        <w:spacing w:after="0" w:line="253"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The preparation of financial statements in conformity with US GAAP requires management to make estimates and assumptions that affect the reported amounts of assets and liabilities at the balance sheet date and revenues and expenses during the reporting periods in the consolidated financial statements and accompanying notes. Significant estimates and assumptions reflected in the Group’s consolidated financial statements include, but not limited to expected total costs of command-and-control revenue contracts, allowance for doubtful accounts, the determination of warranty cost, lower of cost and net realizable value of inventory, useful lives of long-lived assets, impairment of long-lived assets, valuation allowance for deferred tax assets, uncertain tax positions, fair value of share-based awards and fair value of financial instruments. Management bases the estimates on historical experience and on various other assumptions that are believed to be reasonable, the results of which form the basis for making judgments about the carrying values of assets and liabilities. Changes in facts and circumstances may result in revised estimates. Actual results could differ from those estimates, and as such, differences may be material to the consolidated financial statements.</w:t>
      </w:r>
    </w:p>
    <w:p>
      <w:pPr>
        <w:spacing w:after="0" w:line="240" w:lineRule="exact"/>
        <w:rPr>
          <w:rFonts w:ascii="Times New Roman" w:cs="Times New Roman" w:eastAsia="Times New Roman" w:hAnsi="Times New Roman"/>
          <w:sz w:val="13"/>
          <w:szCs w:val="13"/>
          <w:b w:val="1"/>
          <w:bCs w:val="1"/>
          <w:i w:val="1"/>
          <w:iCs w:val="1"/>
          <w:color w:val="auto"/>
        </w:rPr>
      </w:pPr>
    </w:p>
    <w:p>
      <w:pPr>
        <w:ind w:left="1980" w:hanging="304"/>
        <w:spacing w:after="0"/>
        <w:tabs>
          <w:tab w:leader="none" w:pos="1980" w:val="left"/>
        </w:tabs>
        <w:numPr>
          <w:ilvl w:val="0"/>
          <w:numId w:val="88"/>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Foreign currency</w:t>
      </w:r>
    </w:p>
    <w:p>
      <w:pPr>
        <w:spacing w:after="0" w:line="87" w:lineRule="exact"/>
        <w:rPr>
          <w:rFonts w:ascii="Times New Roman" w:cs="Times New Roman" w:eastAsia="Times New Roman" w:hAnsi="Times New Roman"/>
          <w:sz w:val="13"/>
          <w:szCs w:val="13"/>
          <w:b w:val="1"/>
          <w:bCs w:val="1"/>
          <w:i w:val="1"/>
          <w:iCs w:val="1"/>
          <w:color w:val="auto"/>
        </w:rPr>
      </w:pPr>
    </w:p>
    <w:p>
      <w:pPr>
        <w:ind w:left="2000" w:right="619"/>
        <w:spacing w:after="0" w:line="257"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 xml:space="preserve">The functional currency of the Company, Ehfly, and EHANG Investment (HK) Limited (“EHang HK”) is the United States dollar (“US$”). The functional currency of EHang Holding GmbH (“EHang GmbH”), EHANG TECHNOLOGIES SPAIN &amp; LATAM, S.L. (“EHang Spain”) and Ehang EUROPE SAS (“EHang France”) is the euro (“€”). The functional currency of the Company’s PRC subsidiaries, the VIE and subsidiaries of the VIE is the Renminbi (“RMB”). The Group uses the RMB as its reporting currency. The determination of the respective functional currency is based on the criteria set out by ASC 830, </w:t>
      </w:r>
      <w:r>
        <w:rPr>
          <w:rFonts w:ascii="Times New Roman" w:cs="Times New Roman" w:eastAsia="Times New Roman" w:hAnsi="Times New Roman"/>
          <w:sz w:val="13"/>
          <w:szCs w:val="13"/>
          <w:i w:val="1"/>
          <w:iCs w:val="1"/>
          <w:color w:val="auto"/>
        </w:rPr>
        <w:t>Foreign Currency Matters</w:t>
      </w:r>
      <w:r>
        <w:rPr>
          <w:rFonts w:ascii="Times New Roman" w:cs="Times New Roman" w:eastAsia="Times New Roman" w:hAnsi="Times New Roman"/>
          <w:sz w:val="13"/>
          <w:szCs w:val="13"/>
          <w:color w:val="auto"/>
        </w:rPr>
        <w:t>.</w:t>
      </w:r>
    </w:p>
    <w:p>
      <w:pPr>
        <w:spacing w:after="0" w:line="55" w:lineRule="exact"/>
        <w:rPr>
          <w:rFonts w:ascii="Times New Roman" w:cs="Times New Roman" w:eastAsia="Times New Roman" w:hAnsi="Times New Roman"/>
          <w:sz w:val="13"/>
          <w:szCs w:val="13"/>
          <w:b w:val="1"/>
          <w:bCs w:val="1"/>
          <w:i w:val="1"/>
          <w:iCs w:val="1"/>
          <w:color w:val="auto"/>
        </w:rPr>
      </w:pPr>
    </w:p>
    <w:p>
      <w:pPr>
        <w:ind w:left="2000" w:right="599"/>
        <w:spacing w:after="0" w:line="259"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Transactions denominated in foreign currencies are re-measured into the functional currency at the exchange rates prevailing on the transaction dates. Monetary assets and liabilities denominated in foreign currencies are re-measured at the exchange rates prevailing at the balance sheet date. Non-monetary items that are measured in terms of historical cost in foreign currency are re-measured using the exchange rates at the dates of the initial transactions. Exchange gains and losses are included in the consolidated statements of comprehensive loss.</w:t>
      </w:r>
    </w:p>
    <w:p>
      <w:pPr>
        <w:spacing w:after="0" w:line="55" w:lineRule="exact"/>
        <w:rPr>
          <w:rFonts w:ascii="Times New Roman" w:cs="Times New Roman" w:eastAsia="Times New Roman" w:hAnsi="Times New Roman"/>
          <w:sz w:val="13"/>
          <w:szCs w:val="13"/>
          <w:b w:val="1"/>
          <w:bCs w:val="1"/>
          <w:i w:val="1"/>
          <w:iCs w:val="1"/>
          <w:color w:val="auto"/>
        </w:rPr>
      </w:pPr>
    </w:p>
    <w:p>
      <w:pPr>
        <w:ind w:left="2000" w:right="559"/>
        <w:spacing w:after="0" w:line="264"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The financial statements of the Group’ entities of which the functional currency is not RMB use the periodic average exchange rates and the exchange rate at the balance sheet date to translate the operating results and financial position, respectively. Translation differences are recorded in accumulated other comprehensive income (loss), a component of shareholders’ (deficit) equity.</w:t>
      </w:r>
    </w:p>
    <w:p>
      <w:pPr>
        <w:spacing w:after="0" w:line="8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color w:val="auto"/>
        </w:rPr>
        <w:t>F- 21</w:t>
      </w:r>
    </w:p>
    <w:p>
      <w:pPr>
        <w:sectPr>
          <w:pgSz w:w="11900" w:h="16838" w:orient="portrait"/>
          <w:cols w:equalWidth="0" w:num="1">
            <w:col w:w="10159"/>
          </w:cols>
          <w:pgMar w:left="300" w:top="388" w:right="1440"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5">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 (CONTINUED)</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6">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7" w:lineRule="exact"/>
        <w:rPr>
          <w:sz w:val="20"/>
          <w:szCs w:val="20"/>
          <w:color w:val="auto"/>
        </w:rPr>
      </w:pPr>
    </w:p>
    <w:p>
      <w:pPr>
        <w:ind w:left="1980" w:hanging="304"/>
        <w:spacing w:after="0"/>
        <w:tabs>
          <w:tab w:leader="none" w:pos="1980" w:val="left"/>
        </w:tabs>
        <w:numPr>
          <w:ilvl w:val="0"/>
          <w:numId w:val="8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Summary of Significant Accounting Policies (Continued)</w:t>
      </w:r>
    </w:p>
    <w:p>
      <w:pPr>
        <w:spacing w:after="0" w:line="111" w:lineRule="exact"/>
        <w:rPr>
          <w:sz w:val="20"/>
          <w:szCs w:val="20"/>
          <w:color w:val="auto"/>
        </w:rPr>
      </w:pPr>
    </w:p>
    <w:p>
      <w:pPr>
        <w:ind w:left="1980" w:hanging="304"/>
        <w:spacing w:after="0"/>
        <w:tabs>
          <w:tab w:leader="none" w:pos="1980" w:val="left"/>
        </w:tabs>
        <w:numPr>
          <w:ilvl w:val="0"/>
          <w:numId w:val="90"/>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Convenience translation</w:t>
      </w:r>
    </w:p>
    <w:p>
      <w:pPr>
        <w:spacing w:after="0" w:line="87" w:lineRule="exact"/>
        <w:rPr>
          <w:rFonts w:ascii="Times New Roman" w:cs="Times New Roman" w:eastAsia="Times New Roman" w:hAnsi="Times New Roman"/>
          <w:sz w:val="13"/>
          <w:szCs w:val="13"/>
          <w:b w:val="1"/>
          <w:bCs w:val="1"/>
          <w:i w:val="1"/>
          <w:iCs w:val="1"/>
          <w:color w:val="auto"/>
        </w:rPr>
      </w:pPr>
    </w:p>
    <w:p>
      <w:pPr>
        <w:ind w:left="2000" w:right="619"/>
        <w:spacing w:after="0" w:line="264"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Amounts in US$ are presented for the convenience of the reader and are translated at the noon buying rate of US$1.00 to RMB6.3726 as set forth in the H.10 statistical release of the U.S. Federal Reserve Board. No representation is made that the RMB amounts represent or could have been, or could be, converted, realized or settled into US$ at that rate on December 30, 2021, or any other rate.</w:t>
      </w:r>
    </w:p>
    <w:p>
      <w:pPr>
        <w:spacing w:after="0" w:line="232" w:lineRule="exact"/>
        <w:rPr>
          <w:rFonts w:ascii="Times New Roman" w:cs="Times New Roman" w:eastAsia="Times New Roman" w:hAnsi="Times New Roman"/>
          <w:sz w:val="13"/>
          <w:szCs w:val="13"/>
          <w:b w:val="1"/>
          <w:bCs w:val="1"/>
          <w:i w:val="1"/>
          <w:iCs w:val="1"/>
          <w:color w:val="auto"/>
        </w:rPr>
      </w:pPr>
    </w:p>
    <w:p>
      <w:pPr>
        <w:ind w:left="1980" w:hanging="304"/>
        <w:spacing w:after="0"/>
        <w:tabs>
          <w:tab w:leader="none" w:pos="1980" w:val="left"/>
        </w:tabs>
        <w:numPr>
          <w:ilvl w:val="0"/>
          <w:numId w:val="90"/>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Cash and cash equivalents</w:t>
      </w:r>
    </w:p>
    <w:p>
      <w:pPr>
        <w:spacing w:after="0" w:line="87" w:lineRule="exact"/>
        <w:rPr>
          <w:rFonts w:ascii="Times New Roman" w:cs="Times New Roman" w:eastAsia="Times New Roman" w:hAnsi="Times New Roman"/>
          <w:sz w:val="13"/>
          <w:szCs w:val="13"/>
          <w:b w:val="1"/>
          <w:bCs w:val="1"/>
          <w:i w:val="1"/>
          <w:iCs w:val="1"/>
          <w:color w:val="auto"/>
        </w:rPr>
      </w:pPr>
    </w:p>
    <w:p>
      <w:pPr>
        <w:ind w:left="2000" w:right="579"/>
        <w:spacing w:after="0" w:line="278"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Cash and cash equivalents consist of cash on hand, deposits and highly liquid investments placed with bank and other financial institutions, which are unrestricted as to withdrawal or use, and which have original maturities of three months or less when purchased.</w:t>
      </w:r>
    </w:p>
    <w:p>
      <w:pPr>
        <w:spacing w:after="0" w:line="223" w:lineRule="exact"/>
        <w:rPr>
          <w:rFonts w:ascii="Times New Roman" w:cs="Times New Roman" w:eastAsia="Times New Roman" w:hAnsi="Times New Roman"/>
          <w:sz w:val="13"/>
          <w:szCs w:val="13"/>
          <w:b w:val="1"/>
          <w:bCs w:val="1"/>
          <w:i w:val="1"/>
          <w:iCs w:val="1"/>
          <w:color w:val="auto"/>
        </w:rPr>
      </w:pPr>
    </w:p>
    <w:p>
      <w:pPr>
        <w:ind w:left="1980" w:hanging="304"/>
        <w:spacing w:after="0"/>
        <w:tabs>
          <w:tab w:leader="none" w:pos="1980" w:val="left"/>
        </w:tabs>
        <w:numPr>
          <w:ilvl w:val="0"/>
          <w:numId w:val="90"/>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Restricted cash</w:t>
      </w:r>
    </w:p>
    <w:p>
      <w:pPr>
        <w:spacing w:after="0" w:line="87" w:lineRule="exact"/>
        <w:rPr>
          <w:rFonts w:ascii="Times New Roman" w:cs="Times New Roman" w:eastAsia="Times New Roman" w:hAnsi="Times New Roman"/>
          <w:sz w:val="13"/>
          <w:szCs w:val="13"/>
          <w:b w:val="1"/>
          <w:bCs w:val="1"/>
          <w:i w:val="1"/>
          <w:iCs w:val="1"/>
          <w:color w:val="auto"/>
        </w:rPr>
      </w:pPr>
    </w:p>
    <w:p>
      <w:pPr>
        <w:ind w:left="2000" w:right="559"/>
        <w:spacing w:after="0" w:line="259"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As of December 31, 2020, restricted cash amounting to RMB2,333 mainly represents cash frozen by People’s Court of Tianhe District in Guangzhou city in request by a third-party plaintiff regarding a lawsuit against one of the Group’s subsidiaries. The parties to the lawsuit have reached a settlement in February 2021. The third party filed a petition with the court to withdraw the lawsuit and the judicial freeze on the Group’s cash had been released.</w:t>
      </w:r>
    </w:p>
    <w:p>
      <w:pPr>
        <w:spacing w:after="0" w:line="55" w:lineRule="exact"/>
        <w:rPr>
          <w:rFonts w:ascii="Times New Roman" w:cs="Times New Roman" w:eastAsia="Times New Roman" w:hAnsi="Times New Roman"/>
          <w:sz w:val="13"/>
          <w:szCs w:val="13"/>
          <w:b w:val="1"/>
          <w:bCs w:val="1"/>
          <w:i w:val="1"/>
          <w:iCs w:val="1"/>
          <w:color w:val="auto"/>
        </w:rPr>
      </w:pPr>
    </w:p>
    <w:p>
      <w:pPr>
        <w:ind w:left="2000" w:right="559"/>
        <w:spacing w:after="0" w:line="259"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As of December 31, 2021, restricted cash amounting to RMB160 (US$25) mainly represents cash frozen by People’s Court of Nansha District in Guangzhou city in request by a third-party plaintiff regarding a lawsuit against one of the Group’s subsidiaries. The lawsuit has come to a sentence and the Company has fulfilled its obligation. The Company filed a request with the court to release the judicial freeze on the Group’s cash which had been released in January 2022.</w:t>
      </w:r>
    </w:p>
    <w:p>
      <w:pPr>
        <w:spacing w:after="0" w:line="235" w:lineRule="exact"/>
        <w:rPr>
          <w:rFonts w:ascii="Times New Roman" w:cs="Times New Roman" w:eastAsia="Times New Roman" w:hAnsi="Times New Roman"/>
          <w:sz w:val="13"/>
          <w:szCs w:val="13"/>
          <w:b w:val="1"/>
          <w:bCs w:val="1"/>
          <w:i w:val="1"/>
          <w:iCs w:val="1"/>
          <w:color w:val="auto"/>
        </w:rPr>
      </w:pPr>
    </w:p>
    <w:p>
      <w:pPr>
        <w:ind w:left="1980" w:hanging="304"/>
        <w:spacing w:after="0"/>
        <w:tabs>
          <w:tab w:leader="none" w:pos="1980" w:val="left"/>
        </w:tabs>
        <w:numPr>
          <w:ilvl w:val="0"/>
          <w:numId w:val="90"/>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Short-term investments</w:t>
      </w:r>
    </w:p>
    <w:p>
      <w:pPr>
        <w:spacing w:after="0" w:line="87" w:lineRule="exact"/>
        <w:rPr>
          <w:rFonts w:ascii="Times New Roman" w:cs="Times New Roman" w:eastAsia="Times New Roman" w:hAnsi="Times New Roman"/>
          <w:sz w:val="13"/>
          <w:szCs w:val="13"/>
          <w:b w:val="1"/>
          <w:bCs w:val="1"/>
          <w:i w:val="1"/>
          <w:iCs w:val="1"/>
          <w:color w:val="auto"/>
        </w:rPr>
      </w:pPr>
    </w:p>
    <w:p>
      <w:pPr>
        <w:ind w:left="2000" w:right="559"/>
        <w:spacing w:after="0" w:line="252"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All highly liquid investments with original maturities of greater than three months but less than twelve months, are classified as short-term investments. Investments that are expected to be realized in cash during the next twelve months are also included in short-term investments. As of December 31, 2020 and 2021, the Group’s short-term investments comprised of debt instruments issued by international financial institutions (Note 4). The Group accounts for short-term investments in accordance with ASC 320 (“ASC 320”), Investments—Debt and Equity Securities. The Group classifies its short-term investments as “held-to-maturity,” “trading” or “available-for-sale,” whose classification determines the respective accounting methods stipulated by ASC 320. Debt investments that the Group has the positive intent and ability to hold to maturity are classified as held-to-maturity and stated at amortized cost. Securities that are bought and held principally for the purpose of selling them in the near term are classified as trading. Unrealized holding gains and losses for trading securities are included in earnings. Debt investments not classified as trading or as held-to-maturity are classified as available-for-sale, which are reported at fair value, with unrealized gains and losses recorded in “Accumulated other comprehensive income (loss)". Dividend and interest income for all categories of short-term investments are included in earnings. Any realized gains or losses on the sale of the short-term investments are determined on a specific identification method, and such gains and losses are reflected in earnings during the period in which gains or losses are realized.</w:t>
      </w:r>
    </w:p>
    <w:p>
      <w:pPr>
        <w:spacing w:after="0" w:line="242" w:lineRule="exact"/>
        <w:rPr>
          <w:rFonts w:ascii="Times New Roman" w:cs="Times New Roman" w:eastAsia="Times New Roman" w:hAnsi="Times New Roman"/>
          <w:sz w:val="13"/>
          <w:szCs w:val="13"/>
          <w:b w:val="1"/>
          <w:bCs w:val="1"/>
          <w:i w:val="1"/>
          <w:iCs w:val="1"/>
          <w:color w:val="auto"/>
        </w:rPr>
      </w:pPr>
    </w:p>
    <w:p>
      <w:pPr>
        <w:ind w:left="1980" w:hanging="304"/>
        <w:spacing w:after="0"/>
        <w:tabs>
          <w:tab w:leader="none" w:pos="1980" w:val="left"/>
        </w:tabs>
        <w:numPr>
          <w:ilvl w:val="0"/>
          <w:numId w:val="90"/>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Accounts receivable and allowance for doubtful accounts</w:t>
      </w:r>
    </w:p>
    <w:p>
      <w:pPr>
        <w:spacing w:after="0" w:line="87" w:lineRule="exact"/>
        <w:rPr>
          <w:rFonts w:ascii="Times New Roman" w:cs="Times New Roman" w:eastAsia="Times New Roman" w:hAnsi="Times New Roman"/>
          <w:sz w:val="13"/>
          <w:szCs w:val="13"/>
          <w:b w:val="1"/>
          <w:bCs w:val="1"/>
          <w:i w:val="1"/>
          <w:iCs w:val="1"/>
          <w:color w:val="auto"/>
        </w:rPr>
      </w:pPr>
    </w:p>
    <w:p>
      <w:pPr>
        <w:jc w:val="both"/>
        <w:ind w:left="2000" w:right="639"/>
        <w:spacing w:after="0" w:line="264"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Accounts receivable are carried at net realizable value. An allowance for doubtful accounts is recorded in the period when loss is probable based on an assessment of specific evidence indicating troubled collection, historical experience, accounts aging and other factors. Accounts receivable are written off after all collection effort has ceased.</w:t>
      </w:r>
    </w:p>
    <w:p>
      <w:pPr>
        <w:spacing w:after="0" w:line="8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color w:val="auto"/>
        </w:rPr>
        <w:t>F- 22</w:t>
      </w:r>
    </w:p>
    <w:p>
      <w:pPr>
        <w:sectPr>
          <w:pgSz w:w="11900" w:h="16838" w:orient="portrait"/>
          <w:cols w:equalWidth="0" w:num="1">
            <w:col w:w="10159"/>
          </w:cols>
          <w:pgMar w:left="300" w:top="388" w:right="1440"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7">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 (CONTINUED)</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8">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7" w:lineRule="exact"/>
        <w:rPr>
          <w:sz w:val="20"/>
          <w:szCs w:val="20"/>
          <w:color w:val="auto"/>
        </w:rPr>
      </w:pPr>
    </w:p>
    <w:p>
      <w:pPr>
        <w:ind w:left="1980" w:hanging="304"/>
        <w:spacing w:after="0"/>
        <w:tabs>
          <w:tab w:leader="none" w:pos="1980" w:val="left"/>
        </w:tabs>
        <w:numPr>
          <w:ilvl w:val="0"/>
          <w:numId w:val="9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Summary of Significant Accounting Policies (Continued)</w:t>
      </w:r>
    </w:p>
    <w:p>
      <w:pPr>
        <w:spacing w:after="0" w:line="111" w:lineRule="exact"/>
        <w:rPr>
          <w:sz w:val="20"/>
          <w:szCs w:val="20"/>
          <w:color w:val="auto"/>
        </w:rPr>
      </w:pPr>
    </w:p>
    <w:p>
      <w:pPr>
        <w:ind w:left="1980" w:hanging="304"/>
        <w:spacing w:after="0"/>
        <w:tabs>
          <w:tab w:leader="none" w:pos="1980" w:val="left"/>
        </w:tabs>
        <w:numPr>
          <w:ilvl w:val="0"/>
          <w:numId w:val="92"/>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Loans receivable and allowance for credit loss</w:t>
      </w:r>
    </w:p>
    <w:p>
      <w:pPr>
        <w:spacing w:after="0" w:line="87" w:lineRule="exact"/>
        <w:rPr>
          <w:rFonts w:ascii="Times New Roman" w:cs="Times New Roman" w:eastAsia="Times New Roman" w:hAnsi="Times New Roman"/>
          <w:sz w:val="13"/>
          <w:szCs w:val="13"/>
          <w:b w:val="1"/>
          <w:bCs w:val="1"/>
          <w:i w:val="1"/>
          <w:iCs w:val="1"/>
          <w:color w:val="auto"/>
        </w:rPr>
      </w:pPr>
    </w:p>
    <w:p>
      <w:pPr>
        <w:ind w:left="2000" w:right="639"/>
        <w:spacing w:after="0" w:line="259"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The long-term loans receivable represents the loans to third parties (Note 9). Such amount is recorded at the principal net of allowance for credit loss, if any, and includes accrued interest receivable as of the balance sheet date. The Group reviews and monitors the credit worthiness of the third parties. An allowance for credit loss is recorded in the period in which a loss is determined to be probable and the amount of the loss can be reasonably estimated. No credit losses were incurred for the periods presented.</w:t>
      </w:r>
    </w:p>
    <w:p>
      <w:pPr>
        <w:spacing w:after="0" w:line="235" w:lineRule="exact"/>
        <w:rPr>
          <w:rFonts w:ascii="Times New Roman" w:cs="Times New Roman" w:eastAsia="Times New Roman" w:hAnsi="Times New Roman"/>
          <w:sz w:val="13"/>
          <w:szCs w:val="13"/>
          <w:b w:val="1"/>
          <w:bCs w:val="1"/>
          <w:i w:val="1"/>
          <w:iCs w:val="1"/>
          <w:color w:val="auto"/>
        </w:rPr>
      </w:pPr>
    </w:p>
    <w:p>
      <w:pPr>
        <w:ind w:left="1980" w:hanging="304"/>
        <w:spacing w:after="0"/>
        <w:tabs>
          <w:tab w:leader="none" w:pos="1980" w:val="left"/>
        </w:tabs>
        <w:numPr>
          <w:ilvl w:val="0"/>
          <w:numId w:val="92"/>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Cost and estimated earnings in excess of billings</w:t>
      </w:r>
    </w:p>
    <w:p>
      <w:pPr>
        <w:spacing w:after="0" w:line="87" w:lineRule="exact"/>
        <w:rPr>
          <w:rFonts w:ascii="Times New Roman" w:cs="Times New Roman" w:eastAsia="Times New Roman" w:hAnsi="Times New Roman"/>
          <w:sz w:val="13"/>
          <w:szCs w:val="13"/>
          <w:b w:val="1"/>
          <w:bCs w:val="1"/>
          <w:i w:val="1"/>
          <w:iCs w:val="1"/>
          <w:color w:val="auto"/>
        </w:rPr>
      </w:pPr>
    </w:p>
    <w:p>
      <w:pPr>
        <w:ind w:left="2000" w:right="619"/>
        <w:spacing w:after="0" w:line="253"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Design and construction of customized command-and-control center contracts generally extend over longer periods of time and revenue is recognized using the cost-to-cost method. The Group’s right to receive payments depends on its performance in accordance with the contractual agreements. Billings are issued based on milestones specified in the contracts negotiated with customers. In general, there are five milestones: 1) signing of the contract, 2) delivery and acceptance of hardware, 3) completion of software integration into hardware and the related testing, 4) delivery and acceptance of a completed command-and-control center, and 5) expiration of the one-year warranty period. The amounts to be billed at each milestone are specified in the contract. The length of each interval between two continuous billings under a command-and-control center contract varies depending on the duration of the contract and the last billing to be issued for the contract is scheduled at the end of a warranty period.</w:t>
      </w:r>
    </w:p>
    <w:p>
      <w:pPr>
        <w:spacing w:after="0" w:line="62" w:lineRule="exact"/>
        <w:rPr>
          <w:rFonts w:ascii="Times New Roman" w:cs="Times New Roman" w:eastAsia="Times New Roman" w:hAnsi="Times New Roman"/>
          <w:sz w:val="13"/>
          <w:szCs w:val="13"/>
          <w:b w:val="1"/>
          <w:bCs w:val="1"/>
          <w:i w:val="1"/>
          <w:iCs w:val="1"/>
          <w:color w:val="auto"/>
        </w:rPr>
      </w:pPr>
    </w:p>
    <w:p>
      <w:pPr>
        <w:ind w:left="2000" w:right="659"/>
        <w:spacing w:after="0" w:line="253"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Revenue in excess of billings on the contracts is recorded as costs and estimated earnings in excess of billings. Billings in excess of revenues recognized on the contracts are recorded as deferred income until the above revenue recognition criteria are met. The carrying value of the Group’s costs and estimated earnings in excess of billings, net of the allowance for doubtful accounts, represents their estimated net realizable value. The Group recognizes an allowance for doubtful accounts on costs and estimated earnings in excess of billings when it is probable that it will not collect the amount and writes off any balances in the period when deemed uncollectible. The Group periodically reviews the status of contracts and decides how much of an allowance for doubtful accounts should be made based on factors surrounding the credit risk of customers and historical experience. The Group does not require collateral from its customers and does not charge interest for late payments by its customers.</w:t>
      </w:r>
    </w:p>
    <w:p>
      <w:pPr>
        <w:spacing w:after="0" w:line="62" w:lineRule="exact"/>
        <w:rPr>
          <w:rFonts w:ascii="Times New Roman" w:cs="Times New Roman" w:eastAsia="Times New Roman" w:hAnsi="Times New Roman"/>
          <w:sz w:val="13"/>
          <w:szCs w:val="13"/>
          <w:b w:val="1"/>
          <w:bCs w:val="1"/>
          <w:i w:val="1"/>
          <w:iCs w:val="1"/>
          <w:color w:val="auto"/>
        </w:rPr>
      </w:pPr>
    </w:p>
    <w:p>
      <w:pPr>
        <w:ind w:left="2000" w:right="579"/>
        <w:spacing w:after="0" w:line="259"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As of December 31, 2020, cost and estimated earnings in excess of billings represent revenue in excess of billings on two completed command-and-control centers. As of December 31, 2021, the decrease in Cost and estimated earnings in excess of billings was in accordance with the achievement of milestones in the pre-determined billing terms for command-and-control centers, corresponding RMB717 (US$113) was reclassified from Cost and estimated earnings in excess of billings to Accounts receivable in 2021.</w:t>
      </w:r>
    </w:p>
    <w:p>
      <w:pPr>
        <w:spacing w:after="0" w:line="148" w:lineRule="exact"/>
        <w:rPr>
          <w:sz w:val="20"/>
          <w:szCs w:val="20"/>
          <w:color w:val="auto"/>
        </w:rPr>
      </w:pPr>
    </w:p>
    <w:tbl>
      <w:tblPr>
        <w:tblLayout w:type="fixed"/>
        <w:tblInd w:w="2320" w:type="dxa"/>
        <w:tblCellMar>
          <w:top w:w="0" w:type="dxa"/>
          <w:left w:w="0" w:type="dxa"/>
          <w:bottom w:w="0" w:type="dxa"/>
          <w:right w:w="0" w:type="dxa"/>
        </w:tblCellMar>
      </w:tblPr>
      <w:tr>
        <w:trPr>
          <w:trHeight w:val="124"/>
        </w:trPr>
        <w:tc>
          <w:tcPr>
            <w:tcW w:w="28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1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As of December 31,</w:t>
            </w:r>
          </w:p>
        </w:tc>
        <w:tc>
          <w:tcPr>
            <w:tcW w:w="2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7"/>
        </w:trPr>
        <w:tc>
          <w:tcPr>
            <w:tcW w:w="2840" w:type="dxa"/>
            <w:vAlign w:val="bottom"/>
          </w:tcPr>
          <w:p>
            <w:pPr>
              <w:spacing w:after="0"/>
              <w:rPr>
                <w:sz w:val="8"/>
                <w:szCs w:val="8"/>
                <w:color w:val="auto"/>
              </w:rPr>
            </w:pPr>
          </w:p>
        </w:tc>
        <w:tc>
          <w:tcPr>
            <w:tcW w:w="2420" w:type="dxa"/>
            <w:vAlign w:val="bottom"/>
          </w:tcPr>
          <w:p>
            <w:pPr>
              <w:spacing w:after="0"/>
              <w:rPr>
                <w:sz w:val="8"/>
                <w:szCs w:val="8"/>
                <w:color w:val="auto"/>
              </w:rPr>
            </w:pPr>
          </w:p>
        </w:tc>
        <w:tc>
          <w:tcPr>
            <w:tcW w:w="440" w:type="dxa"/>
            <w:vAlign w:val="bottom"/>
            <w:tcBorders>
              <w:bottom w:val="single" w:sz="8" w:color="auto"/>
            </w:tcBorders>
          </w:tcPr>
          <w:p>
            <w:pPr>
              <w:ind w:left="120"/>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200" w:type="dxa"/>
            <w:vAlign w:val="bottom"/>
          </w:tcPr>
          <w:p>
            <w:pPr>
              <w:spacing w:after="0"/>
              <w:rPr>
                <w:sz w:val="8"/>
                <w:szCs w:val="8"/>
                <w:color w:val="auto"/>
              </w:rPr>
            </w:pPr>
          </w:p>
        </w:tc>
        <w:tc>
          <w:tcPr>
            <w:tcW w:w="480" w:type="dxa"/>
            <w:vAlign w:val="bottom"/>
            <w:tcBorders>
              <w:bottom w:val="single" w:sz="8" w:color="auto"/>
            </w:tcBorders>
            <w:gridSpan w:val="2"/>
          </w:tcPr>
          <w:p>
            <w:pPr>
              <w:jc w:val="right"/>
              <w:ind w:right="20"/>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2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r>
      <w:tr>
        <w:trPr>
          <w:trHeight w:val="97"/>
        </w:trPr>
        <w:tc>
          <w:tcPr>
            <w:tcW w:w="2840" w:type="dxa"/>
            <w:vAlign w:val="bottom"/>
          </w:tcPr>
          <w:p>
            <w:pPr>
              <w:spacing w:after="0"/>
              <w:rPr>
                <w:sz w:val="8"/>
                <w:szCs w:val="8"/>
                <w:color w:val="auto"/>
              </w:rPr>
            </w:pPr>
          </w:p>
        </w:tc>
        <w:tc>
          <w:tcPr>
            <w:tcW w:w="2420" w:type="dxa"/>
            <w:vAlign w:val="bottom"/>
          </w:tcPr>
          <w:p>
            <w:pPr>
              <w:spacing w:after="0"/>
              <w:rPr>
                <w:sz w:val="8"/>
                <w:szCs w:val="8"/>
                <w:color w:val="auto"/>
              </w:rPr>
            </w:pPr>
          </w:p>
        </w:tc>
        <w:tc>
          <w:tcPr>
            <w:tcW w:w="440" w:type="dxa"/>
            <w:vAlign w:val="bottom"/>
          </w:tcPr>
          <w:p>
            <w:pPr>
              <w:ind w:left="100"/>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200" w:type="dxa"/>
            <w:vAlign w:val="bottom"/>
          </w:tcPr>
          <w:p>
            <w:pPr>
              <w:spacing w:after="0"/>
              <w:rPr>
                <w:sz w:val="8"/>
                <w:szCs w:val="8"/>
                <w:color w:val="auto"/>
              </w:rPr>
            </w:pPr>
          </w:p>
        </w:tc>
        <w:tc>
          <w:tcPr>
            <w:tcW w:w="480" w:type="dxa"/>
            <w:vAlign w:val="bottom"/>
            <w:gridSpan w:val="2"/>
          </w:tcPr>
          <w:p>
            <w:pPr>
              <w:jc w:val="center"/>
              <w:ind w:right="240"/>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240" w:type="dxa"/>
            <w:vAlign w:val="bottom"/>
          </w:tcPr>
          <w:p>
            <w:pPr>
              <w:ind w:left="20"/>
              <w:spacing w:after="0" w:line="97" w:lineRule="exact"/>
              <w:rPr>
                <w:sz w:val="20"/>
                <w:szCs w:val="20"/>
                <w:color w:val="auto"/>
              </w:rPr>
            </w:pPr>
            <w:r>
              <w:rPr>
                <w:rFonts w:ascii="Times New Roman" w:cs="Times New Roman" w:eastAsia="Times New Roman" w:hAnsi="Times New Roman"/>
                <w:sz w:val="10"/>
                <w:szCs w:val="10"/>
                <w:b w:val="1"/>
                <w:bCs w:val="1"/>
                <w:color w:val="auto"/>
              </w:rPr>
              <w:t>US$</w:t>
            </w:r>
          </w:p>
        </w:tc>
        <w:tc>
          <w:tcPr>
            <w:tcW w:w="40" w:type="dxa"/>
            <w:vAlign w:val="bottom"/>
          </w:tcPr>
          <w:p>
            <w:pPr>
              <w:spacing w:after="0"/>
              <w:rPr>
                <w:sz w:val="8"/>
                <w:szCs w:val="8"/>
                <w:color w:val="auto"/>
              </w:rPr>
            </w:pPr>
          </w:p>
        </w:tc>
      </w:tr>
      <w:tr>
        <w:trPr>
          <w:trHeight w:val="15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Contracts costs incurred plus estimated earnings</w:t>
            </w:r>
          </w:p>
        </w:tc>
        <w:tc>
          <w:tcPr>
            <w:tcW w:w="3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28,797</w:t>
            </w:r>
          </w:p>
        </w:tc>
        <w:tc>
          <w:tcPr>
            <w:tcW w:w="4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840" w:type="dxa"/>
            <w:vAlign w:val="bottom"/>
          </w:tcPr>
          <w:p>
            <w:pPr>
              <w:spacing w:after="0"/>
              <w:rPr>
                <w:sz w:val="20"/>
                <w:szCs w:val="20"/>
                <w:color w:val="auto"/>
              </w:rPr>
            </w:pPr>
            <w:r>
              <w:rPr>
                <w:rFonts w:ascii="Times New Roman" w:cs="Times New Roman" w:eastAsia="Times New Roman" w:hAnsi="Times New Roman"/>
                <w:sz w:val="13"/>
                <w:szCs w:val="13"/>
                <w:color w:val="auto"/>
              </w:rPr>
              <w:t>Less: Progress billings</w:t>
            </w:r>
          </w:p>
        </w:tc>
        <w:tc>
          <w:tcPr>
            <w:tcW w:w="242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(28,080)</w:t>
            </w:r>
          </w:p>
        </w:tc>
        <w:tc>
          <w:tcPr>
            <w:tcW w:w="4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2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4"/>
        </w:trPr>
        <w:tc>
          <w:tcPr>
            <w:tcW w:w="284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717</w:t>
            </w:r>
          </w:p>
        </w:tc>
        <w:tc>
          <w:tcPr>
            <w:tcW w:w="4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71"/>
        </w:trPr>
        <w:tc>
          <w:tcPr>
            <w:tcW w:w="2840" w:type="dxa"/>
            <w:vAlign w:val="bottom"/>
          </w:tcPr>
          <w:p>
            <w:pPr>
              <w:spacing w:after="0"/>
              <w:rPr>
                <w:sz w:val="23"/>
                <w:szCs w:val="23"/>
                <w:color w:val="auto"/>
              </w:rPr>
            </w:pPr>
          </w:p>
        </w:tc>
        <w:tc>
          <w:tcPr>
            <w:tcW w:w="24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F- 23</w:t>
            </w:r>
          </w:p>
        </w:tc>
        <w:tc>
          <w:tcPr>
            <w:tcW w:w="440" w:type="dxa"/>
            <w:vAlign w:val="bottom"/>
            <w:tcBorders>
              <w:top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r>
    </w:tbl>
    <w:p>
      <w:pPr>
        <w:sectPr>
          <w:pgSz w:w="11900" w:h="16838" w:orient="portrait"/>
          <w:cols w:equalWidth="0" w:num="1">
            <w:col w:w="10159"/>
          </w:cols>
          <w:pgMar w:left="300" w:top="388" w:right="1440"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9">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 (CONTINUED)</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0">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7" w:lineRule="exact"/>
        <w:rPr>
          <w:sz w:val="20"/>
          <w:szCs w:val="20"/>
          <w:color w:val="auto"/>
        </w:rPr>
      </w:pPr>
    </w:p>
    <w:p>
      <w:pPr>
        <w:ind w:left="1980" w:hanging="304"/>
        <w:spacing w:after="0"/>
        <w:tabs>
          <w:tab w:leader="none" w:pos="1980" w:val="left"/>
        </w:tabs>
        <w:numPr>
          <w:ilvl w:val="0"/>
          <w:numId w:val="9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Summary of Significant Accounting Policies (Continued)</w:t>
      </w:r>
    </w:p>
    <w:p>
      <w:pPr>
        <w:spacing w:after="0" w:line="111" w:lineRule="exact"/>
        <w:rPr>
          <w:sz w:val="20"/>
          <w:szCs w:val="20"/>
          <w:color w:val="auto"/>
        </w:rPr>
      </w:pPr>
    </w:p>
    <w:p>
      <w:pPr>
        <w:ind w:left="1980" w:hanging="304"/>
        <w:spacing w:after="0"/>
        <w:tabs>
          <w:tab w:leader="none" w:pos="1980" w:val="left"/>
        </w:tabs>
        <w:numPr>
          <w:ilvl w:val="0"/>
          <w:numId w:val="94"/>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Inventories</w:t>
      </w:r>
    </w:p>
    <w:p>
      <w:pPr>
        <w:spacing w:after="0" w:line="87" w:lineRule="exact"/>
        <w:rPr>
          <w:rFonts w:ascii="Times New Roman" w:cs="Times New Roman" w:eastAsia="Times New Roman" w:hAnsi="Times New Roman"/>
          <w:sz w:val="13"/>
          <w:szCs w:val="13"/>
          <w:b w:val="1"/>
          <w:bCs w:val="1"/>
          <w:i w:val="1"/>
          <w:iCs w:val="1"/>
          <w:color w:val="auto"/>
        </w:rPr>
      </w:pPr>
    </w:p>
    <w:p>
      <w:pPr>
        <w:ind w:left="2000" w:right="599"/>
        <w:spacing w:after="0" w:line="252"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Inventories are comprised of raw materials, work in progress and finished goods. The Group’s raw materials consist of accessories and hardware parts used to produce autonomous aerial vehicles and hardware for building the command-and-control centers. Work in progress primarily consist of autonomous aerial vehicles and hardware parts in production which will be transferred into production cost when incurred. Finished goods consist of autonomous aerial vehicles. Cost is determined using the weighted average method and includes all costs to acquire and other costs to bring the inventories to their present location and condition. Inventories are stated at the lower of cost or net realizable value. This requires the determination of the estimated selling price of the vehicles less the estimated cost to convert inventory on hand into a finished product. Once inventory is written down, a new, lower-cost basis for that inventory is established and subsequent changes in facts and circumstances do not result in the restoration or increase in that newly established cost basis. Adjustments to reduce the cost of inventory to its net realizable value are made, if required, to record the decreases in sales prices, obsolescence or similar reductions in the estimated net realizable value. Inventory write-downs of RMB840, RMB1,344 and RMB2,640 (US$414) were recognized in cost of revenues for the years ended December 31, 2019, 2020 and 2021.</w:t>
      </w:r>
    </w:p>
    <w:p>
      <w:pPr>
        <w:spacing w:after="0" w:line="243" w:lineRule="exact"/>
        <w:rPr>
          <w:rFonts w:ascii="Times New Roman" w:cs="Times New Roman" w:eastAsia="Times New Roman" w:hAnsi="Times New Roman"/>
          <w:sz w:val="13"/>
          <w:szCs w:val="13"/>
          <w:b w:val="1"/>
          <w:bCs w:val="1"/>
          <w:i w:val="1"/>
          <w:iCs w:val="1"/>
          <w:color w:val="auto"/>
        </w:rPr>
      </w:pPr>
    </w:p>
    <w:p>
      <w:pPr>
        <w:ind w:left="1980" w:hanging="304"/>
        <w:spacing w:after="0"/>
        <w:tabs>
          <w:tab w:leader="none" w:pos="1980" w:val="left"/>
        </w:tabs>
        <w:numPr>
          <w:ilvl w:val="0"/>
          <w:numId w:val="94"/>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Property and equipment, net</w:t>
      </w:r>
    </w:p>
    <w:p>
      <w:pPr>
        <w:spacing w:after="0" w:line="87" w:lineRule="exact"/>
        <w:rPr>
          <w:rFonts w:ascii="Times New Roman" w:cs="Times New Roman" w:eastAsia="Times New Roman" w:hAnsi="Times New Roman"/>
          <w:sz w:val="13"/>
          <w:szCs w:val="13"/>
          <w:b w:val="1"/>
          <w:bCs w:val="1"/>
          <w:i w:val="1"/>
          <w:iCs w:val="1"/>
          <w:color w:val="auto"/>
        </w:rPr>
      </w:pPr>
    </w:p>
    <w:p>
      <w:pPr>
        <w:ind w:left="2000" w:right="959"/>
        <w:spacing w:after="0" w:line="278"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Property and equipment are stated at cost and are depreciated using the straight-line method over the estimated useful lives of the assets, as follows:</w:t>
      </w:r>
    </w:p>
    <w:p>
      <w:pPr>
        <w:spacing w:after="0" w:line="128" w:lineRule="exact"/>
        <w:rPr>
          <w:sz w:val="20"/>
          <w:szCs w:val="20"/>
          <w:color w:val="auto"/>
        </w:rPr>
      </w:pPr>
    </w:p>
    <w:tbl>
      <w:tblPr>
        <w:tblLayout w:type="fixed"/>
        <w:tblInd w:w="2620" w:type="dxa"/>
        <w:tblCellMar>
          <w:top w:w="0" w:type="dxa"/>
          <w:left w:w="0" w:type="dxa"/>
          <w:bottom w:w="0" w:type="dxa"/>
          <w:right w:w="0" w:type="dxa"/>
        </w:tblCellMar>
      </w:tblPr>
      <w:tr>
        <w:trPr>
          <w:trHeight w:val="115"/>
        </w:trPr>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Category</w:t>
            </w:r>
          </w:p>
        </w:tc>
        <w:tc>
          <w:tcPr>
            <w:tcW w:w="80" w:type="dxa"/>
            <w:vAlign w:val="bottom"/>
          </w:tcPr>
          <w:p>
            <w:pPr>
              <w:spacing w:after="0"/>
              <w:rPr>
                <w:sz w:val="10"/>
                <w:szCs w:val="10"/>
                <w:color w:val="auto"/>
              </w:rPr>
            </w:pPr>
          </w:p>
        </w:tc>
        <w:tc>
          <w:tcPr>
            <w:tcW w:w="32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Estimated useful life</w:t>
            </w: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Residual</w:t>
            </w:r>
          </w:p>
        </w:tc>
        <w:tc>
          <w:tcPr>
            <w:tcW w:w="0" w:type="dxa"/>
            <w:vAlign w:val="bottom"/>
          </w:tcPr>
          <w:p>
            <w:pPr>
              <w:spacing w:after="0"/>
              <w:rPr>
                <w:sz w:val="1"/>
                <w:szCs w:val="1"/>
                <w:color w:val="auto"/>
              </w:rPr>
            </w:pPr>
          </w:p>
        </w:tc>
      </w:tr>
      <w:tr>
        <w:trPr>
          <w:trHeight w:val="124"/>
        </w:trPr>
        <w:tc>
          <w:tcPr>
            <w:tcW w:w="21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2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tcPr>
          <w:p>
            <w:pPr>
              <w:spacing w:after="0"/>
              <w:rPr>
                <w:sz w:val="12"/>
                <w:szCs w:val="12"/>
                <w:color w:val="auto"/>
              </w:rPr>
            </w:pPr>
          </w:p>
        </w:tc>
        <w:tc>
          <w:tcPr>
            <w:tcW w:w="208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Office equipment</w:t>
            </w:r>
          </w:p>
        </w:tc>
        <w:tc>
          <w:tcPr>
            <w:tcW w:w="80" w:type="dxa"/>
            <w:vAlign w:val="bottom"/>
            <w:vMerge w:val="continue"/>
            <w:shd w:val="clear" w:color="auto" w:fill="CCEEFF"/>
          </w:tcPr>
          <w:p>
            <w:pPr>
              <w:spacing w:after="0"/>
              <w:rPr>
                <w:sz w:val="12"/>
                <w:szCs w:val="12"/>
                <w:color w:val="auto"/>
              </w:rPr>
            </w:pPr>
          </w:p>
        </w:tc>
        <w:tc>
          <w:tcPr>
            <w:tcW w:w="324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3"/>
                <w:szCs w:val="13"/>
                <w:color w:val="auto"/>
                <w:w w:val="96"/>
              </w:rPr>
              <w:t>5 years</w:t>
            </w:r>
          </w:p>
        </w:tc>
        <w:tc>
          <w:tcPr>
            <w:tcW w:w="80" w:type="dxa"/>
            <w:vAlign w:val="bottom"/>
            <w:vMerge w:val="continue"/>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6" w:lineRule="exact"/>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3"/>
                <w:szCs w:val="13"/>
                <w:color w:val="auto"/>
              </w:rPr>
              <w:t>Machinery and electronic equipment</w:t>
            </w:r>
          </w:p>
        </w:tc>
        <w:tc>
          <w:tcPr>
            <w:tcW w:w="80" w:type="dxa"/>
            <w:vAlign w:val="bottom"/>
          </w:tcPr>
          <w:p>
            <w:pPr>
              <w:spacing w:after="0"/>
              <w:rPr>
                <w:sz w:val="13"/>
                <w:szCs w:val="13"/>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3-10 years</w:t>
            </w: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Transportation equipment</w:t>
            </w:r>
          </w:p>
        </w:tc>
        <w:tc>
          <w:tcPr>
            <w:tcW w:w="80" w:type="dxa"/>
            <w:vAlign w:val="bottom"/>
            <w:shd w:val="clear" w:color="auto" w:fill="CCEEFF"/>
          </w:tcPr>
          <w:p>
            <w:pPr>
              <w:spacing w:after="0"/>
              <w:rPr>
                <w:sz w:val="13"/>
                <w:szCs w:val="13"/>
                <w:color w:val="auto"/>
              </w:rPr>
            </w:pPr>
          </w:p>
        </w:tc>
        <w:tc>
          <w:tcPr>
            <w:tcW w:w="3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4 years</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3"/>
                <w:szCs w:val="13"/>
                <w:color w:val="auto"/>
              </w:rPr>
              <w:t>Leasehold improvements</w:t>
            </w:r>
          </w:p>
        </w:tc>
        <w:tc>
          <w:tcPr>
            <w:tcW w:w="3320" w:type="dxa"/>
            <w:vAlign w:val="bottom"/>
            <w:gridSpan w:val="2"/>
          </w:tcPr>
          <w:p>
            <w:pPr>
              <w:jc w:val="center"/>
              <w:ind w:left="15"/>
              <w:spacing w:after="0"/>
              <w:rPr>
                <w:sz w:val="20"/>
                <w:szCs w:val="20"/>
                <w:color w:val="auto"/>
              </w:rPr>
            </w:pPr>
            <w:r>
              <w:rPr>
                <w:rFonts w:ascii="Times New Roman" w:cs="Times New Roman" w:eastAsia="Times New Roman" w:hAnsi="Times New Roman"/>
                <w:sz w:val="13"/>
                <w:szCs w:val="13"/>
                <w:color w:val="auto"/>
                <w:w w:val="99"/>
              </w:rPr>
              <w:t>Shorter of lease term or the estimated useful lives of the assets</w:t>
            </w: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2000" w:right="559"/>
        <w:spacing w:after="0" w:line="257" w:lineRule="auto"/>
        <w:rPr>
          <w:sz w:val="20"/>
          <w:szCs w:val="20"/>
          <w:color w:val="auto"/>
        </w:rPr>
      </w:pPr>
      <w:r>
        <w:rPr>
          <w:rFonts w:ascii="Times New Roman" w:cs="Times New Roman" w:eastAsia="Times New Roman" w:hAnsi="Times New Roman"/>
          <w:sz w:val="13"/>
          <w:szCs w:val="13"/>
          <w:color w:val="auto"/>
        </w:rPr>
        <w:t>Repair and maintenance costs are charged to expense as incurred, whereas the costs of renewals and betterments that extend the useful lives of property and equipment are capitalized as additions to the related assets. Retirements, sales and disposals of assets are recorded by removing the cost and accumulated depreciation from the asset and accumulated depreciation accounts with any resulting gain or loss reflected in the consolidated statements of comprehensive loss. The loss on the disposal of property and equipment amounting to RMB28, RMB456 and RMB820 (US$129) were recognized in other expenses for the years ended December 31, 2019, 2020 and 2021, respectively.</w:t>
      </w:r>
    </w:p>
    <w:p>
      <w:pPr>
        <w:spacing w:after="0" w:line="56" w:lineRule="exact"/>
        <w:rPr>
          <w:sz w:val="20"/>
          <w:szCs w:val="20"/>
          <w:color w:val="auto"/>
        </w:rPr>
      </w:pPr>
    </w:p>
    <w:p>
      <w:pPr>
        <w:ind w:left="2000" w:right="579"/>
        <w:spacing w:after="0" w:line="278" w:lineRule="auto"/>
        <w:rPr>
          <w:sz w:val="20"/>
          <w:szCs w:val="20"/>
          <w:color w:val="auto"/>
        </w:rPr>
      </w:pPr>
      <w:r>
        <w:rPr>
          <w:rFonts w:ascii="Times New Roman" w:cs="Times New Roman" w:eastAsia="Times New Roman" w:hAnsi="Times New Roman"/>
          <w:sz w:val="13"/>
          <w:szCs w:val="13"/>
          <w:color w:val="auto"/>
        </w:rPr>
        <w:t>Direct costs that are related to the construction of property and equipment and incurred in connection with bringing the assets to their intended use are capitalized as construction-in-progress.</w:t>
      </w:r>
    </w:p>
    <w:p>
      <w:pPr>
        <w:spacing w:after="0" w:line="43" w:lineRule="exact"/>
        <w:rPr>
          <w:sz w:val="20"/>
          <w:szCs w:val="20"/>
          <w:color w:val="auto"/>
        </w:rPr>
      </w:pPr>
    </w:p>
    <w:p>
      <w:pPr>
        <w:ind w:left="2000" w:right="659"/>
        <w:spacing w:after="0" w:line="278" w:lineRule="auto"/>
        <w:rPr>
          <w:sz w:val="20"/>
          <w:szCs w:val="20"/>
          <w:color w:val="auto"/>
        </w:rPr>
      </w:pPr>
      <w:r>
        <w:rPr>
          <w:rFonts w:ascii="Times New Roman" w:cs="Times New Roman" w:eastAsia="Times New Roman" w:hAnsi="Times New Roman"/>
          <w:sz w:val="13"/>
          <w:szCs w:val="13"/>
          <w:color w:val="auto"/>
        </w:rPr>
        <w:t>Construction-in-progress is transferred to specific property and equipment accounts and commences depreciation when these assets are ready for their intended use.</w:t>
      </w:r>
    </w:p>
    <w:p>
      <w:pPr>
        <w:spacing w:after="0" w:line="224" w:lineRule="exact"/>
        <w:rPr>
          <w:sz w:val="20"/>
          <w:szCs w:val="20"/>
          <w:color w:val="auto"/>
        </w:rPr>
      </w:pPr>
    </w:p>
    <w:p>
      <w:pPr>
        <w:ind w:left="1980" w:hanging="304"/>
        <w:spacing w:after="0"/>
        <w:tabs>
          <w:tab w:leader="none" w:pos="1980" w:val="left"/>
        </w:tabs>
        <w:numPr>
          <w:ilvl w:val="0"/>
          <w:numId w:val="95"/>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Intangible assets, net</w:t>
      </w:r>
    </w:p>
    <w:p>
      <w:pPr>
        <w:spacing w:after="0" w:line="87" w:lineRule="exact"/>
        <w:rPr>
          <w:rFonts w:ascii="Times New Roman" w:cs="Times New Roman" w:eastAsia="Times New Roman" w:hAnsi="Times New Roman"/>
          <w:sz w:val="13"/>
          <w:szCs w:val="13"/>
          <w:b w:val="1"/>
          <w:bCs w:val="1"/>
          <w:i w:val="1"/>
          <w:iCs w:val="1"/>
          <w:color w:val="auto"/>
        </w:rPr>
      </w:pPr>
    </w:p>
    <w:p>
      <w:pPr>
        <w:ind w:left="2000" w:right="779"/>
        <w:spacing w:after="0" w:line="264"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Intangible assets consist of software, patents and trademarks. Intangible assets with finite lives, including software, patents and trademarks are carried at acquisition cost less accumulated amortization and impairment, if any. Finite lived intangible assets are tested for impairment if impairment indicators arise.</w:t>
      </w:r>
    </w:p>
    <w:p>
      <w:pPr>
        <w:spacing w:after="0" w:line="51" w:lineRule="exact"/>
        <w:rPr>
          <w:rFonts w:ascii="Times New Roman" w:cs="Times New Roman" w:eastAsia="Times New Roman" w:hAnsi="Times New Roman"/>
          <w:sz w:val="13"/>
          <w:szCs w:val="13"/>
          <w:b w:val="1"/>
          <w:bCs w:val="1"/>
          <w:i w:val="1"/>
          <w:iCs w:val="1"/>
          <w:color w:val="auto"/>
        </w:rPr>
      </w:pPr>
    </w:p>
    <w:p>
      <w:pPr>
        <w:ind w:left="2000"/>
        <w:spacing w:after="0"/>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Amortization of intangible assets with finite lives are computed using the straight-line method over the estimated useful lives as below:</w:t>
      </w:r>
    </w:p>
    <w:p>
      <w:pPr>
        <w:spacing w:after="0" w:line="177" w:lineRule="exact"/>
        <w:rPr>
          <w:sz w:val="20"/>
          <w:szCs w:val="20"/>
          <w:color w:val="auto"/>
        </w:rPr>
      </w:pPr>
    </w:p>
    <w:tbl>
      <w:tblPr>
        <w:tblLayout w:type="fixed"/>
        <w:tblInd w:w="2940" w:type="dxa"/>
        <w:tblCellMar>
          <w:top w:w="0" w:type="dxa"/>
          <w:left w:w="0" w:type="dxa"/>
          <w:bottom w:w="0" w:type="dxa"/>
          <w:right w:w="0" w:type="dxa"/>
        </w:tblCellMar>
      </w:tblPr>
      <w:tr>
        <w:trPr>
          <w:trHeight w:val="134"/>
        </w:trPr>
        <w:tc>
          <w:tcPr>
            <w:tcW w:w="39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Category</w:t>
            </w:r>
          </w:p>
        </w:tc>
        <w:tc>
          <w:tcPr>
            <w:tcW w:w="1440" w:type="dxa"/>
            <w:vAlign w:val="bottom"/>
            <w:gridSpan w:val="2"/>
          </w:tcPr>
          <w:p>
            <w:pPr>
              <w:jc w:val="center"/>
              <w:ind w:left="488"/>
              <w:spacing w:after="0"/>
              <w:rPr>
                <w:sz w:val="20"/>
                <w:szCs w:val="20"/>
                <w:color w:val="auto"/>
              </w:rPr>
            </w:pPr>
            <w:r>
              <w:rPr>
                <w:rFonts w:ascii="Times New Roman" w:cs="Times New Roman" w:eastAsia="Times New Roman" w:hAnsi="Times New Roman"/>
                <w:sz w:val="10"/>
                <w:szCs w:val="10"/>
                <w:b w:val="1"/>
                <w:bCs w:val="1"/>
                <w:color w:val="auto"/>
              </w:rPr>
              <w:t>Estimated useful life</w:t>
            </w:r>
          </w:p>
        </w:tc>
      </w:tr>
      <w:tr>
        <w:trPr>
          <w:trHeight w:val="145"/>
        </w:trPr>
        <w:tc>
          <w:tcPr>
            <w:tcW w:w="20" w:type="dxa"/>
            <w:vAlign w:val="bottom"/>
          </w:tcPr>
          <w:p>
            <w:pPr>
              <w:spacing w:after="0"/>
              <w:rPr>
                <w:sz w:val="12"/>
                <w:szCs w:val="12"/>
                <w:color w:val="auto"/>
              </w:rPr>
            </w:pPr>
          </w:p>
        </w:tc>
        <w:tc>
          <w:tcPr>
            <w:tcW w:w="3940" w:type="dxa"/>
            <w:vAlign w:val="bottom"/>
            <w:tcBorders>
              <w:top w:val="single" w:sz="8" w:color="auto"/>
            </w:tcBorders>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Software</w:t>
            </w:r>
          </w:p>
        </w:tc>
        <w:tc>
          <w:tcPr>
            <w:tcW w:w="5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center"/>
              <w:spacing w:after="0" w:line="146" w:lineRule="exact"/>
              <w:rPr>
                <w:sz w:val="20"/>
                <w:szCs w:val="20"/>
                <w:color w:val="auto"/>
              </w:rPr>
            </w:pPr>
            <w:r>
              <w:rPr>
                <w:rFonts w:ascii="Times New Roman" w:cs="Times New Roman" w:eastAsia="Times New Roman" w:hAnsi="Times New Roman"/>
                <w:sz w:val="13"/>
                <w:szCs w:val="13"/>
                <w:color w:val="auto"/>
                <w:w w:val="99"/>
              </w:rPr>
              <w:t>3-5 years</w:t>
            </w:r>
          </w:p>
        </w:tc>
      </w:tr>
      <w:tr>
        <w:trPr>
          <w:trHeight w:val="168"/>
        </w:trPr>
        <w:tc>
          <w:tcPr>
            <w:tcW w:w="20" w:type="dxa"/>
            <w:vAlign w:val="bottom"/>
          </w:tcPr>
          <w:p>
            <w:pPr>
              <w:spacing w:after="0"/>
              <w:rPr>
                <w:sz w:val="14"/>
                <w:szCs w:val="14"/>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Patents and trademarks</w:t>
            </w:r>
          </w:p>
        </w:tc>
        <w:tc>
          <w:tcPr>
            <w:tcW w:w="5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 years</w:t>
            </w:r>
          </w:p>
        </w:tc>
      </w:tr>
    </w:tbl>
    <w:p>
      <w:pPr>
        <w:spacing w:after="0" w:line="131" w:lineRule="exact"/>
        <w:rPr>
          <w:sz w:val="20"/>
          <w:szCs w:val="20"/>
          <w:color w:val="auto"/>
        </w:rPr>
      </w:pPr>
    </w:p>
    <w:p>
      <w:pPr>
        <w:ind w:left="2000" w:right="799"/>
        <w:spacing w:after="0" w:line="278" w:lineRule="auto"/>
        <w:rPr>
          <w:sz w:val="20"/>
          <w:szCs w:val="20"/>
          <w:color w:val="auto"/>
        </w:rPr>
      </w:pPr>
      <w:r>
        <w:rPr>
          <w:rFonts w:ascii="Times New Roman" w:cs="Times New Roman" w:eastAsia="Times New Roman" w:hAnsi="Times New Roman"/>
          <w:sz w:val="13"/>
          <w:szCs w:val="13"/>
          <w:color w:val="auto"/>
        </w:rPr>
        <w:t>The estimated useful lives of intangible assets with finite lives are reassessed if circumstances occur that indicate the original estimated useful lives have changed.</w:t>
      </w:r>
    </w:p>
    <w:p>
      <w:pPr>
        <w:spacing w:after="0" w:line="4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There are no intangible assets with indefinite lives for the year ended December 31, 2019, 2020 and 2021.</w:t>
      </w:r>
    </w:p>
    <w:p>
      <w:pPr>
        <w:spacing w:after="0" w:line="11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color w:val="auto"/>
        </w:rPr>
        <w:t>F- 24</w:t>
      </w:r>
    </w:p>
    <w:p>
      <w:pPr>
        <w:sectPr>
          <w:pgSz w:w="11900" w:h="16838" w:orient="portrait"/>
          <w:cols w:equalWidth="0" w:num="1">
            <w:col w:w="10159"/>
          </w:cols>
          <w:pgMar w:left="300" w:top="388" w:right="1440"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1">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 (CONTINUED)</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2">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7" w:lineRule="exact"/>
        <w:rPr>
          <w:sz w:val="20"/>
          <w:szCs w:val="20"/>
          <w:color w:val="auto"/>
        </w:rPr>
      </w:pPr>
    </w:p>
    <w:p>
      <w:pPr>
        <w:ind w:left="1980" w:hanging="304"/>
        <w:spacing w:after="0"/>
        <w:tabs>
          <w:tab w:leader="none" w:pos="1980" w:val="left"/>
        </w:tabs>
        <w:numPr>
          <w:ilvl w:val="0"/>
          <w:numId w:val="9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Summary of Significant Accounting Policies (Continued)</w:t>
      </w:r>
    </w:p>
    <w:p>
      <w:pPr>
        <w:spacing w:after="0" w:line="111" w:lineRule="exact"/>
        <w:rPr>
          <w:sz w:val="20"/>
          <w:szCs w:val="20"/>
          <w:color w:val="auto"/>
        </w:rPr>
      </w:pPr>
    </w:p>
    <w:p>
      <w:pPr>
        <w:ind w:left="1980" w:hanging="304"/>
        <w:spacing w:after="0"/>
        <w:tabs>
          <w:tab w:leader="none" w:pos="1980" w:val="left"/>
        </w:tabs>
        <w:numPr>
          <w:ilvl w:val="0"/>
          <w:numId w:val="97"/>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Impairment of long-lived assets other than goodwill</w:t>
      </w:r>
    </w:p>
    <w:p>
      <w:pPr>
        <w:spacing w:after="0" w:line="87" w:lineRule="exact"/>
        <w:rPr>
          <w:rFonts w:ascii="Times New Roman" w:cs="Times New Roman" w:eastAsia="Times New Roman" w:hAnsi="Times New Roman"/>
          <w:sz w:val="13"/>
          <w:szCs w:val="13"/>
          <w:b w:val="1"/>
          <w:bCs w:val="1"/>
          <w:i w:val="1"/>
          <w:iCs w:val="1"/>
          <w:color w:val="auto"/>
        </w:rPr>
      </w:pPr>
    </w:p>
    <w:p>
      <w:pPr>
        <w:ind w:left="2000" w:right="639"/>
        <w:spacing w:after="0" w:line="253"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The Group evaluates its long-lived assets or asset group, including intangible assets with finite lives, for impairment whenever events or changes in circumstances (such as a significant adverse change to market conditions that will impact the future use of the assets) indicate that the carrying amount of an asset or a group of long-lived assets may not be recoverable. When these events occur, the Group evaluates for impairment by comparing the carrying amount of the assets to future undiscounted net cash flows expected to result from the use of the assets and their eventual disposition. If the sum of the expected undiscounted cash flow is less than the carrying amount of the assets, the Group would recognize an impairment loss based on the excess of the carrying amount of the asset group over its fair value. Fair value is generally determined by discounting the cash flows expected to be generated by the long-lived assets or asset group, when the market prices are not readily available. Nil, nil and RMB1,627 (US$255) impairment of long-lived assets was recognized for the years ended December 31, 2019, 2020 and 2021, respectively.</w:t>
      </w:r>
    </w:p>
    <w:p>
      <w:pPr>
        <w:spacing w:after="0" w:line="240" w:lineRule="exact"/>
        <w:rPr>
          <w:rFonts w:ascii="Times New Roman" w:cs="Times New Roman" w:eastAsia="Times New Roman" w:hAnsi="Times New Roman"/>
          <w:sz w:val="13"/>
          <w:szCs w:val="13"/>
          <w:b w:val="1"/>
          <w:bCs w:val="1"/>
          <w:i w:val="1"/>
          <w:iCs w:val="1"/>
          <w:color w:val="auto"/>
        </w:rPr>
      </w:pPr>
    </w:p>
    <w:p>
      <w:pPr>
        <w:ind w:left="1980" w:hanging="304"/>
        <w:spacing w:after="0"/>
        <w:tabs>
          <w:tab w:leader="none" w:pos="1980" w:val="left"/>
        </w:tabs>
        <w:numPr>
          <w:ilvl w:val="0"/>
          <w:numId w:val="97"/>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Long-term investments</w:t>
      </w:r>
    </w:p>
    <w:p>
      <w:pPr>
        <w:spacing w:after="0" w:line="87" w:lineRule="exact"/>
        <w:rPr>
          <w:rFonts w:ascii="Times New Roman" w:cs="Times New Roman" w:eastAsia="Times New Roman" w:hAnsi="Times New Roman"/>
          <w:sz w:val="13"/>
          <w:szCs w:val="13"/>
          <w:b w:val="1"/>
          <w:bCs w:val="1"/>
          <w:i w:val="1"/>
          <w:iCs w:val="1"/>
          <w:color w:val="auto"/>
        </w:rPr>
      </w:pPr>
    </w:p>
    <w:p>
      <w:pPr>
        <w:ind w:left="2000" w:right="719"/>
        <w:spacing w:after="0" w:line="278"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The Group’s long-term investments consist of an equity investment without readily determinable fair value and an equity investment accounted for using the equity method.</w:t>
      </w:r>
    </w:p>
    <w:p>
      <w:pPr>
        <w:spacing w:after="0" w:line="196" w:lineRule="exact"/>
        <w:rPr>
          <w:rFonts w:ascii="Times New Roman" w:cs="Times New Roman" w:eastAsia="Times New Roman" w:hAnsi="Times New Roman"/>
          <w:sz w:val="13"/>
          <w:szCs w:val="13"/>
          <w:b w:val="1"/>
          <w:bCs w:val="1"/>
          <w:i w:val="1"/>
          <w:iCs w:val="1"/>
          <w:color w:val="auto"/>
        </w:rPr>
      </w:pPr>
    </w:p>
    <w:p>
      <w:pPr>
        <w:ind w:left="2000"/>
        <w:spacing w:after="0"/>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i w:val="1"/>
          <w:iCs w:val="1"/>
          <w:color w:val="auto"/>
        </w:rPr>
        <w:t>Equity Investments without Readily Determinable Fair Values</w:t>
      </w:r>
    </w:p>
    <w:p>
      <w:pPr>
        <w:spacing w:after="0" w:line="85" w:lineRule="exact"/>
        <w:rPr>
          <w:rFonts w:ascii="Times New Roman" w:cs="Times New Roman" w:eastAsia="Times New Roman" w:hAnsi="Times New Roman"/>
          <w:sz w:val="13"/>
          <w:szCs w:val="13"/>
          <w:b w:val="1"/>
          <w:bCs w:val="1"/>
          <w:i w:val="1"/>
          <w:iCs w:val="1"/>
          <w:color w:val="auto"/>
        </w:rPr>
      </w:pPr>
    </w:p>
    <w:p>
      <w:pPr>
        <w:ind w:left="2000" w:right="559"/>
        <w:spacing w:after="0" w:line="254"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According to ASC 321, the Group elected to use the measurement alternative to measure the investment at cost, less any impairment, plus or minus changes resulting from observable price changes in orderly transactions for identical or similar investments of the same issuer, if any. The Group’s management regularly evaluates the impairment of its investments based on the performance and financial position of the investee as well as other evidence of estimated market values. Such evaluation includes, but is not limited to, reviewing the investee’s cash position, recent financing, projected and historical financial performance, cash flow forecasts and current and future financing needs. An impairment loss is recognized in the consolidated statements of comprehensive loss equal to the excess of the investment’s cost over its fair value at the balance sheet date of the reporting period for which the assessment is made. The fair value would then become the new cost basis of the investment.</w:t>
      </w:r>
    </w:p>
    <w:p>
      <w:pPr>
        <w:spacing w:after="0" w:line="8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color w:val="auto"/>
        </w:rPr>
        <w:t>F- 25</w:t>
      </w:r>
    </w:p>
    <w:p>
      <w:pPr>
        <w:sectPr>
          <w:pgSz w:w="11900" w:h="16838" w:orient="portrait"/>
          <w:cols w:equalWidth="0" w:num="1">
            <w:col w:w="10159"/>
          </w:cols>
          <w:pgMar w:left="300" w:top="388" w:right="1440"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3">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 (CONTINUED)</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4">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7" w:lineRule="exact"/>
        <w:rPr>
          <w:sz w:val="20"/>
          <w:szCs w:val="20"/>
          <w:color w:val="auto"/>
        </w:rPr>
      </w:pPr>
    </w:p>
    <w:p>
      <w:pPr>
        <w:ind w:left="1980" w:hanging="304"/>
        <w:spacing w:after="0"/>
        <w:tabs>
          <w:tab w:leader="none" w:pos="1980" w:val="left"/>
        </w:tabs>
        <w:numPr>
          <w:ilvl w:val="0"/>
          <w:numId w:val="9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Summary of Significant Accounting Policies (Continued)</w:t>
      </w:r>
    </w:p>
    <w:p>
      <w:pPr>
        <w:spacing w:after="0" w:line="111" w:lineRule="exact"/>
        <w:rPr>
          <w:sz w:val="20"/>
          <w:szCs w:val="20"/>
          <w:color w:val="auto"/>
        </w:rPr>
      </w:pPr>
    </w:p>
    <w:p>
      <w:pPr>
        <w:ind w:left="1980" w:hanging="304"/>
        <w:spacing w:after="0"/>
        <w:tabs>
          <w:tab w:leader="none" w:pos="1980" w:val="left"/>
        </w:tabs>
        <w:numPr>
          <w:ilvl w:val="0"/>
          <w:numId w:val="99"/>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Long-term investments (Continued)</w:t>
      </w:r>
    </w:p>
    <w:p>
      <w:pPr>
        <w:spacing w:after="0" w:line="115" w:lineRule="exact"/>
        <w:rPr>
          <w:rFonts w:ascii="Times New Roman" w:cs="Times New Roman" w:eastAsia="Times New Roman" w:hAnsi="Times New Roman"/>
          <w:sz w:val="13"/>
          <w:szCs w:val="13"/>
          <w:b w:val="1"/>
          <w:bCs w:val="1"/>
          <w:i w:val="1"/>
          <w:iCs w:val="1"/>
          <w:color w:val="auto"/>
        </w:rPr>
      </w:pPr>
    </w:p>
    <w:p>
      <w:pPr>
        <w:ind w:left="2000"/>
        <w:spacing w:after="0"/>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i w:val="1"/>
          <w:iCs w:val="1"/>
          <w:color w:val="auto"/>
        </w:rPr>
        <w:t>Equity Investments Accounted for Using the Equity Method</w:t>
      </w:r>
    </w:p>
    <w:p>
      <w:pPr>
        <w:spacing w:after="0" w:line="85" w:lineRule="exact"/>
        <w:rPr>
          <w:rFonts w:ascii="Times New Roman" w:cs="Times New Roman" w:eastAsia="Times New Roman" w:hAnsi="Times New Roman"/>
          <w:sz w:val="13"/>
          <w:szCs w:val="13"/>
          <w:b w:val="1"/>
          <w:bCs w:val="1"/>
          <w:i w:val="1"/>
          <w:iCs w:val="1"/>
          <w:color w:val="auto"/>
        </w:rPr>
      </w:pPr>
    </w:p>
    <w:p>
      <w:pPr>
        <w:ind w:left="2000" w:right="559"/>
        <w:spacing w:after="0" w:line="253"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 xml:space="preserve">Investments in equity investees represent investments in entities in which the Group can exercise significant influence but does not own a majority equity interest or control are accounted for using the equity method of accounting in accordance with ASC 323-10, </w:t>
      </w:r>
      <w:r>
        <w:rPr>
          <w:rFonts w:ascii="Times New Roman" w:cs="Times New Roman" w:eastAsia="Times New Roman" w:hAnsi="Times New Roman"/>
          <w:sz w:val="13"/>
          <w:szCs w:val="13"/>
          <w:i w:val="1"/>
          <w:iCs w:val="1"/>
          <w:color w:val="auto"/>
        </w:rPr>
        <w:t>Investments-Equity Method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and Joint Ventures: Overall </w:t>
      </w:r>
      <w:r>
        <w:rPr>
          <w:rFonts w:ascii="Times New Roman" w:cs="Times New Roman" w:eastAsia="Times New Roman" w:hAnsi="Times New Roman"/>
          <w:sz w:val="13"/>
          <w:szCs w:val="13"/>
          <w:color w:val="auto"/>
        </w:rPr>
        <w:t>(“ASC 323-10”). Under the equity method, the Group initially records its investment at cost and prospectively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recognizes its proportionate share of each equity investee’s net profit or loss. The difference between the cost of the equity investee and the amount of the underlying equity in the net assets of the equity investee is recognized as goodwill included in long-term investments on the consolidated balance sheets. The Group evaluates its equity method investments for impairment under ASC 323-10. An impairment loss on equity method investments is recognized in the consolidated statements of comprehensive loss when the decline in value is determined to be other-than-temporary. No impairment was charged in any of the presented periods.</w:t>
      </w:r>
    </w:p>
    <w:p>
      <w:pPr>
        <w:spacing w:after="0" w:line="242" w:lineRule="exact"/>
        <w:rPr>
          <w:rFonts w:ascii="Times New Roman" w:cs="Times New Roman" w:eastAsia="Times New Roman" w:hAnsi="Times New Roman"/>
          <w:sz w:val="13"/>
          <w:szCs w:val="13"/>
          <w:b w:val="1"/>
          <w:bCs w:val="1"/>
          <w:i w:val="1"/>
          <w:iCs w:val="1"/>
          <w:color w:val="auto"/>
        </w:rPr>
      </w:pPr>
    </w:p>
    <w:p>
      <w:pPr>
        <w:ind w:left="1980" w:hanging="304"/>
        <w:spacing w:after="0"/>
        <w:tabs>
          <w:tab w:leader="none" w:pos="1980" w:val="left"/>
        </w:tabs>
        <w:numPr>
          <w:ilvl w:val="0"/>
          <w:numId w:val="99"/>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Fair value measurements of financial instruments</w:t>
      </w:r>
    </w:p>
    <w:p>
      <w:pPr>
        <w:spacing w:after="0" w:line="165" w:lineRule="exact"/>
        <w:rPr>
          <w:rFonts w:ascii="Times New Roman" w:cs="Times New Roman" w:eastAsia="Times New Roman" w:hAnsi="Times New Roman"/>
          <w:sz w:val="13"/>
          <w:szCs w:val="13"/>
          <w:b w:val="1"/>
          <w:bCs w:val="1"/>
          <w:i w:val="1"/>
          <w:iCs w:val="1"/>
          <w:color w:val="auto"/>
        </w:rPr>
      </w:pPr>
    </w:p>
    <w:p>
      <w:pPr>
        <w:ind w:left="2000" w:right="759"/>
        <w:spacing w:after="0" w:line="264"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The Group applies ASC 820 (“ASC 820”), Fair Value Measurements and Disclosures. ASC 820 defines fair value, establishes a framework for measuring fair value and expands disclosures about fair value measurements. ASC 820 requires disclosures to be provided on fair value measurement.</w:t>
      </w:r>
    </w:p>
    <w:p>
      <w:pPr>
        <w:spacing w:after="0" w:line="51" w:lineRule="exact"/>
        <w:rPr>
          <w:rFonts w:ascii="Times New Roman" w:cs="Times New Roman" w:eastAsia="Times New Roman" w:hAnsi="Times New Roman"/>
          <w:sz w:val="13"/>
          <w:szCs w:val="13"/>
          <w:b w:val="1"/>
          <w:bCs w:val="1"/>
          <w:i w:val="1"/>
          <w:iCs w:val="1"/>
          <w:color w:val="auto"/>
        </w:rPr>
      </w:pPr>
    </w:p>
    <w:p>
      <w:pPr>
        <w:ind w:left="2000" w:right="1879"/>
        <w:spacing w:after="0" w:line="374"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ASC 820 establishes a three-tier fair value hierarchy, which prioritizes the inputs used in measuring fair value as follows: Level 1 — Observable inputs that reflect quoted prices (unadjusted) for identical assets or liabilities in active markets. Level 2 — Other inputs that are directly or indirectly observable in the marketplace.</w:t>
      </w:r>
    </w:p>
    <w:p>
      <w:pPr>
        <w:spacing w:after="0" w:line="1" w:lineRule="exact"/>
        <w:rPr>
          <w:rFonts w:ascii="Times New Roman" w:cs="Times New Roman" w:eastAsia="Times New Roman" w:hAnsi="Times New Roman"/>
          <w:sz w:val="13"/>
          <w:szCs w:val="13"/>
          <w:b w:val="1"/>
          <w:bCs w:val="1"/>
          <w:i w:val="1"/>
          <w:iCs w:val="1"/>
          <w:color w:val="auto"/>
        </w:rPr>
      </w:pPr>
    </w:p>
    <w:p>
      <w:pPr>
        <w:ind w:left="2000"/>
        <w:spacing w:after="0"/>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Level 3 — Unobservable inputs which are supported by little or no market activity.</w:t>
      </w:r>
    </w:p>
    <w:p>
      <w:pPr>
        <w:spacing w:after="0" w:line="83" w:lineRule="exact"/>
        <w:rPr>
          <w:rFonts w:ascii="Times New Roman" w:cs="Times New Roman" w:eastAsia="Times New Roman" w:hAnsi="Times New Roman"/>
          <w:sz w:val="13"/>
          <w:szCs w:val="13"/>
          <w:b w:val="1"/>
          <w:bCs w:val="1"/>
          <w:i w:val="1"/>
          <w:iCs w:val="1"/>
          <w:color w:val="auto"/>
        </w:rPr>
      </w:pPr>
    </w:p>
    <w:p>
      <w:pPr>
        <w:ind w:left="2000"/>
        <w:spacing w:after="0"/>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ASC 820 describes three main approaches to measuring the fair value of assets and liabilities: (1) market approach; (2) income approach; and</w:t>
      </w:r>
    </w:p>
    <w:p>
      <w:pPr>
        <w:spacing w:after="0" w:line="18" w:lineRule="exact"/>
        <w:rPr>
          <w:rFonts w:ascii="Times New Roman" w:cs="Times New Roman" w:eastAsia="Times New Roman" w:hAnsi="Times New Roman"/>
          <w:sz w:val="13"/>
          <w:szCs w:val="13"/>
          <w:b w:val="1"/>
          <w:bCs w:val="1"/>
          <w:i w:val="1"/>
          <w:iCs w:val="1"/>
          <w:color w:val="auto"/>
        </w:rPr>
      </w:pPr>
    </w:p>
    <w:p>
      <w:pPr>
        <w:ind w:left="2000" w:right="679"/>
        <w:spacing w:after="0" w:line="253"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58" w:lineRule="exact"/>
        <w:rPr>
          <w:sz w:val="20"/>
          <w:szCs w:val="20"/>
          <w:color w:val="auto"/>
        </w:rPr>
      </w:pPr>
    </w:p>
    <w:p>
      <w:pPr>
        <w:ind w:left="2000" w:right="659"/>
        <w:spacing w:after="0" w:line="264" w:lineRule="auto"/>
        <w:rPr>
          <w:sz w:val="20"/>
          <w:szCs w:val="20"/>
          <w:color w:val="auto"/>
        </w:rPr>
      </w:pPr>
      <w:r>
        <w:rPr>
          <w:rFonts w:ascii="Times New Roman" w:cs="Times New Roman" w:eastAsia="Times New Roman" w:hAnsi="Times New Roman"/>
          <w:sz w:val="13"/>
          <w:szCs w:val="13"/>
          <w:color w:val="auto"/>
        </w:rPr>
        <w:t>When available, the Group uses quoted market prices to determine the fair value of an asset or liability. If quoted market prices are not available, the Group will measure fair value using valuation techniques that use, when possible, current market-based or independently sourced market parameters.</w:t>
      </w:r>
    </w:p>
    <w:p>
      <w:pPr>
        <w:spacing w:after="0" w:line="51" w:lineRule="exact"/>
        <w:rPr>
          <w:sz w:val="20"/>
          <w:szCs w:val="20"/>
          <w:color w:val="auto"/>
        </w:rPr>
      </w:pPr>
    </w:p>
    <w:p>
      <w:pPr>
        <w:ind w:left="2000" w:right="599"/>
        <w:spacing w:after="0" w:line="259" w:lineRule="auto"/>
        <w:rPr>
          <w:sz w:val="20"/>
          <w:szCs w:val="20"/>
          <w:color w:val="auto"/>
        </w:rPr>
      </w:pPr>
      <w:r>
        <w:rPr>
          <w:rFonts w:ascii="Times New Roman" w:cs="Times New Roman" w:eastAsia="Times New Roman" w:hAnsi="Times New Roman"/>
          <w:sz w:val="13"/>
          <w:szCs w:val="13"/>
          <w:color w:val="auto"/>
        </w:rPr>
        <w:t>The Group’s financial instruments primarily consist of cash and cash equivalents, restricted cash, short-term investments, long-term loans receivable, accounts receivable and payable, bank loans, accrued expenses and other liabilities and mandatorily redeemable non-controlling interests. The carrying values of these financial instruments, except for long-term loans and mandatorily redeemable non-controlling interests, are approximated to their fair values due to their short-term maturities.</w:t>
      </w:r>
    </w:p>
    <w:p>
      <w:pPr>
        <w:spacing w:after="0" w:line="55" w:lineRule="exact"/>
        <w:rPr>
          <w:sz w:val="20"/>
          <w:szCs w:val="20"/>
          <w:color w:val="auto"/>
        </w:rPr>
      </w:pPr>
    </w:p>
    <w:p>
      <w:pPr>
        <w:ind w:left="2000" w:right="679"/>
        <w:spacing w:after="0" w:line="264" w:lineRule="auto"/>
        <w:rPr>
          <w:sz w:val="20"/>
          <w:szCs w:val="20"/>
          <w:color w:val="auto"/>
        </w:rPr>
      </w:pPr>
      <w:r>
        <w:rPr>
          <w:rFonts w:ascii="Times New Roman" w:cs="Times New Roman" w:eastAsia="Times New Roman" w:hAnsi="Times New Roman"/>
          <w:sz w:val="13"/>
          <w:szCs w:val="13"/>
          <w:color w:val="auto"/>
        </w:rPr>
        <w:t>Financial assets that are measured at fair value on a recurring basis consist of short-term investments. Short-term investments, which are comprised of include a debt investment issued by a private equity fund outside the PRC, are classified within Level II of the fair value hierarchy because the quoted market price of underlying asset is not fully observable.</w:t>
      </w:r>
    </w:p>
    <w:p>
      <w:pPr>
        <w:spacing w:after="0" w:line="8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color w:val="auto"/>
        </w:rPr>
        <w:t>F- 26</w:t>
      </w:r>
    </w:p>
    <w:p>
      <w:pPr>
        <w:sectPr>
          <w:pgSz w:w="11900" w:h="16838" w:orient="portrait"/>
          <w:cols w:equalWidth="0" w:num="1">
            <w:col w:w="10159"/>
          </w:cols>
          <w:pgMar w:left="300" w:top="388" w:right="1440"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5">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 (CONTINUED)</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6">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7" w:lineRule="exact"/>
        <w:rPr>
          <w:sz w:val="20"/>
          <w:szCs w:val="20"/>
          <w:color w:val="auto"/>
        </w:rPr>
      </w:pPr>
    </w:p>
    <w:p>
      <w:pPr>
        <w:ind w:left="1980" w:hanging="304"/>
        <w:spacing w:after="0"/>
        <w:tabs>
          <w:tab w:leader="none" w:pos="1980" w:val="left"/>
        </w:tabs>
        <w:numPr>
          <w:ilvl w:val="0"/>
          <w:numId w:val="10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Summary of Significant Accounting Policies (Continued)</w:t>
      </w:r>
    </w:p>
    <w:p>
      <w:pPr>
        <w:spacing w:after="0" w:line="111" w:lineRule="exact"/>
        <w:rPr>
          <w:sz w:val="20"/>
          <w:szCs w:val="20"/>
          <w:color w:val="auto"/>
        </w:rPr>
      </w:pPr>
    </w:p>
    <w:p>
      <w:pPr>
        <w:ind w:left="1980" w:hanging="304"/>
        <w:spacing w:after="0"/>
        <w:tabs>
          <w:tab w:leader="none" w:pos="1980" w:val="left"/>
        </w:tabs>
        <w:numPr>
          <w:ilvl w:val="0"/>
          <w:numId w:val="101"/>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Revenue recognition</w:t>
      </w:r>
    </w:p>
    <w:p>
      <w:pPr>
        <w:spacing w:after="0" w:line="87" w:lineRule="exact"/>
        <w:rPr>
          <w:rFonts w:ascii="Times New Roman" w:cs="Times New Roman" w:eastAsia="Times New Roman" w:hAnsi="Times New Roman"/>
          <w:sz w:val="13"/>
          <w:szCs w:val="13"/>
          <w:b w:val="1"/>
          <w:bCs w:val="1"/>
          <w:i w:val="1"/>
          <w:iCs w:val="1"/>
          <w:color w:val="auto"/>
        </w:rPr>
      </w:pPr>
    </w:p>
    <w:p>
      <w:pPr>
        <w:ind w:left="2000" w:right="799"/>
        <w:spacing w:after="0" w:line="278"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The Group’s revenues are primarily derived from the sale of Autonomous Aerial Vehicles (“AAVs”) and related commercial solutions, mainly including air mobility solutions, smart city management solutions, and aerial media solutions.</w:t>
      </w:r>
    </w:p>
    <w:p>
      <w:pPr>
        <w:spacing w:after="0" w:line="40" w:lineRule="exact"/>
        <w:rPr>
          <w:rFonts w:ascii="Times New Roman" w:cs="Times New Roman" w:eastAsia="Times New Roman" w:hAnsi="Times New Roman"/>
          <w:sz w:val="13"/>
          <w:szCs w:val="13"/>
          <w:b w:val="1"/>
          <w:bCs w:val="1"/>
          <w:i w:val="1"/>
          <w:iCs w:val="1"/>
          <w:color w:val="auto"/>
        </w:rPr>
      </w:pPr>
    </w:p>
    <w:p>
      <w:pPr>
        <w:ind w:left="2000" w:right="819"/>
        <w:spacing w:after="0" w:line="282"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 xml:space="preserve">Effective January 1, 2019, the Group adopted ASU 2014-09, </w:t>
      </w:r>
      <w:r>
        <w:rPr>
          <w:rFonts w:ascii="Times New Roman" w:cs="Times New Roman" w:eastAsia="Times New Roman" w:hAnsi="Times New Roman"/>
          <w:sz w:val="13"/>
          <w:szCs w:val="13"/>
          <w:i w:val="1"/>
          <w:iCs w:val="1"/>
          <w:color w:val="auto"/>
        </w:rPr>
        <w:t>revenue from contracts with Customers (Topic 606)</w:t>
      </w:r>
      <w:r>
        <w:rPr>
          <w:rFonts w:ascii="Times New Roman" w:cs="Times New Roman" w:eastAsia="Times New Roman" w:hAnsi="Times New Roman"/>
          <w:sz w:val="13"/>
          <w:szCs w:val="13"/>
          <w:color w:val="auto"/>
        </w:rPr>
        <w:t xml:space="preserve"> (“ASU 2014-19”), using the modified retrospective method applying to those contracts not yet completed as of January 1, 2019.</w:t>
      </w:r>
    </w:p>
    <w:p>
      <w:pPr>
        <w:spacing w:after="0" w:line="39" w:lineRule="exact"/>
        <w:rPr>
          <w:rFonts w:ascii="Times New Roman" w:cs="Times New Roman" w:eastAsia="Times New Roman" w:hAnsi="Times New Roman"/>
          <w:sz w:val="13"/>
          <w:szCs w:val="13"/>
          <w:b w:val="1"/>
          <w:bCs w:val="1"/>
          <w:i w:val="1"/>
          <w:iCs w:val="1"/>
          <w:color w:val="auto"/>
        </w:rPr>
      </w:pPr>
    </w:p>
    <w:p>
      <w:pPr>
        <w:ind w:left="2000" w:right="579"/>
        <w:spacing w:after="0" w:line="264"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The Group enters into legally enforceable and binding agreements with its customers with fixed terms and conditions, including pricing. The Group recognizes revenue at the amount to which it expects to be entitled when control of the products or services are transferred to its customers. Revenues are presented net of taxes collected on behalf of the government.</w:t>
      </w:r>
    </w:p>
    <w:p>
      <w:pPr>
        <w:spacing w:after="0" w:line="51" w:lineRule="exact"/>
        <w:rPr>
          <w:rFonts w:ascii="Times New Roman" w:cs="Times New Roman" w:eastAsia="Times New Roman" w:hAnsi="Times New Roman"/>
          <w:sz w:val="13"/>
          <w:szCs w:val="13"/>
          <w:b w:val="1"/>
          <w:bCs w:val="1"/>
          <w:i w:val="1"/>
          <w:iCs w:val="1"/>
          <w:color w:val="auto"/>
        </w:rPr>
      </w:pPr>
    </w:p>
    <w:p>
      <w:pPr>
        <w:ind w:left="2000" w:right="839"/>
        <w:spacing w:after="0" w:line="296"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2"/>
          <w:szCs w:val="12"/>
          <w:color w:val="auto"/>
        </w:rPr>
        <w:t>The Group generally does not separately bill its customers for shipping and handling fees and charges. The Group elects to record the costs incurred for shipping and handling in “sales and marketing expenses” in its consolidated statements of comprehensive loss. The shipping and handling costs for the years ended December 31, 2019, 2020 and 2021 were RMB1,306, RMB1,409 and RMB1,067 (US$167), respectively.</w:t>
      </w:r>
    </w:p>
    <w:p>
      <w:pPr>
        <w:spacing w:after="0" w:line="189" w:lineRule="exact"/>
        <w:rPr>
          <w:rFonts w:ascii="Times New Roman" w:cs="Times New Roman" w:eastAsia="Times New Roman" w:hAnsi="Times New Roman"/>
          <w:sz w:val="13"/>
          <w:szCs w:val="13"/>
          <w:b w:val="1"/>
          <w:bCs w:val="1"/>
          <w:i w:val="1"/>
          <w:iCs w:val="1"/>
          <w:color w:val="auto"/>
        </w:rPr>
      </w:pPr>
    </w:p>
    <w:p>
      <w:pPr>
        <w:ind w:left="2000"/>
        <w:spacing w:after="0"/>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u w:val="single" w:color="auto"/>
          <w:color w:val="auto"/>
        </w:rPr>
        <w:t>Practical Expedients</w:t>
      </w:r>
    </w:p>
    <w:p>
      <w:pPr>
        <w:spacing w:after="0" w:line="83" w:lineRule="exact"/>
        <w:rPr>
          <w:rFonts w:ascii="Times New Roman" w:cs="Times New Roman" w:eastAsia="Times New Roman" w:hAnsi="Times New Roman"/>
          <w:sz w:val="13"/>
          <w:szCs w:val="13"/>
          <w:b w:val="1"/>
          <w:bCs w:val="1"/>
          <w:i w:val="1"/>
          <w:iCs w:val="1"/>
          <w:color w:val="auto"/>
        </w:rPr>
      </w:pPr>
    </w:p>
    <w:p>
      <w:pPr>
        <w:ind w:left="2000" w:right="659"/>
        <w:spacing w:after="0" w:line="278"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The transaction price allocated to the performance obligations that are unsatisfied, or partially unsatisfied, has not been disclosed as substantially all of the Group contracts have a duration of one year or less.</w:t>
      </w:r>
    </w:p>
    <w:p>
      <w:pPr>
        <w:spacing w:after="0" w:line="198" w:lineRule="exact"/>
        <w:rPr>
          <w:rFonts w:ascii="Times New Roman" w:cs="Times New Roman" w:eastAsia="Times New Roman" w:hAnsi="Times New Roman"/>
          <w:sz w:val="13"/>
          <w:szCs w:val="13"/>
          <w:b w:val="1"/>
          <w:bCs w:val="1"/>
          <w:i w:val="1"/>
          <w:iCs w:val="1"/>
          <w:color w:val="auto"/>
        </w:rPr>
      </w:pPr>
    </w:p>
    <w:p>
      <w:pPr>
        <w:ind w:left="2000"/>
        <w:spacing w:after="0"/>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u w:val="single" w:color="auto"/>
          <w:color w:val="auto"/>
        </w:rPr>
        <w:t>Air mobility solutions</w:t>
      </w:r>
    </w:p>
    <w:p>
      <w:pPr>
        <w:spacing w:after="0" w:line="83" w:lineRule="exact"/>
        <w:rPr>
          <w:rFonts w:ascii="Times New Roman" w:cs="Times New Roman" w:eastAsia="Times New Roman" w:hAnsi="Times New Roman"/>
          <w:sz w:val="13"/>
          <w:szCs w:val="13"/>
          <w:b w:val="1"/>
          <w:bCs w:val="1"/>
          <w:i w:val="1"/>
          <w:iCs w:val="1"/>
          <w:color w:val="auto"/>
        </w:rPr>
      </w:pPr>
    </w:p>
    <w:p>
      <w:pPr>
        <w:ind w:left="2000" w:right="559"/>
        <w:spacing w:after="0" w:line="255"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Revenues from air mobility solutions are primarily product revenues from the sales of passenger-grade AAVs based on firm customer orders with fixed terms and conditions, including pricing, net of discounts, if any. The performance obligation under the contract is the delivery of passenger-grade AAVs, which is satisfied at a point in time, in general upon the Group’s receipt of acknowledgement receipts from customers or under some circumstances upon the products have been shipped to the contractually agreed location when the products are sold to customers outside PRC. The Group only provides the right of return for defective goods in connection with its warranty policy which is accounted for as an assurance-type warranty (Note 11).</w:t>
      </w:r>
    </w:p>
    <w:p>
      <w:pPr>
        <w:spacing w:after="0" w:line="58" w:lineRule="exact"/>
        <w:rPr>
          <w:rFonts w:ascii="Times New Roman" w:cs="Times New Roman" w:eastAsia="Times New Roman" w:hAnsi="Times New Roman"/>
          <w:sz w:val="13"/>
          <w:szCs w:val="13"/>
          <w:b w:val="1"/>
          <w:bCs w:val="1"/>
          <w:i w:val="1"/>
          <w:iCs w:val="1"/>
          <w:color w:val="auto"/>
        </w:rPr>
      </w:pPr>
    </w:p>
    <w:p>
      <w:pPr>
        <w:jc w:val="both"/>
        <w:ind w:left="2000" w:right="559"/>
        <w:spacing w:after="0" w:line="264"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The Group also sells software components of the passenger-grade AAVs. As the hardware and software components are highly interdependent, the entire bundle of promised goods is considered one performance obligation within the context of the contract. The single performance obligation is satisfied at a point in time, which is upon customer acceptance of the products.</w:t>
      </w:r>
    </w:p>
    <w:p>
      <w:pPr>
        <w:spacing w:after="0" w:line="8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color w:val="auto"/>
        </w:rPr>
        <w:t>F- 27</w:t>
      </w:r>
    </w:p>
    <w:p>
      <w:pPr>
        <w:sectPr>
          <w:pgSz w:w="11900" w:h="16838" w:orient="portrait"/>
          <w:cols w:equalWidth="0" w:num="1">
            <w:col w:w="10159"/>
          </w:cols>
          <w:pgMar w:left="300" w:top="388" w:right="1440"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7">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 (CONTINUED)</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8">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7" w:lineRule="exact"/>
        <w:rPr>
          <w:sz w:val="20"/>
          <w:szCs w:val="20"/>
          <w:color w:val="auto"/>
        </w:rPr>
      </w:pPr>
    </w:p>
    <w:p>
      <w:pPr>
        <w:ind w:left="1980" w:hanging="304"/>
        <w:spacing w:after="0"/>
        <w:tabs>
          <w:tab w:leader="none" w:pos="1980" w:val="left"/>
        </w:tabs>
        <w:numPr>
          <w:ilvl w:val="0"/>
          <w:numId w:val="10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Summary of Significant Accounting Policies (Continued)</w:t>
      </w:r>
    </w:p>
    <w:p>
      <w:pPr>
        <w:spacing w:after="0" w:line="111" w:lineRule="exact"/>
        <w:rPr>
          <w:sz w:val="20"/>
          <w:szCs w:val="20"/>
          <w:color w:val="auto"/>
        </w:rPr>
      </w:pPr>
    </w:p>
    <w:p>
      <w:pPr>
        <w:ind w:left="2000" w:right="6379" w:hanging="324"/>
        <w:spacing w:after="0" w:line="434" w:lineRule="auto"/>
        <w:tabs>
          <w:tab w:leader="none" w:pos="1994" w:val="left"/>
        </w:tabs>
        <w:numPr>
          <w:ilvl w:val="0"/>
          <w:numId w:val="103"/>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b w:val="1"/>
          <w:bCs w:val="1"/>
          <w:i w:val="1"/>
          <w:iCs w:val="1"/>
          <w:color w:val="auto"/>
        </w:rPr>
        <w:t xml:space="preserve">Revenue recognition (Continued) </w:t>
      </w:r>
      <w:r>
        <w:rPr>
          <w:rFonts w:ascii="Times New Roman" w:cs="Times New Roman" w:eastAsia="Times New Roman" w:hAnsi="Times New Roman"/>
          <w:sz w:val="12"/>
          <w:szCs w:val="12"/>
          <w:u w:val="single" w:color="auto"/>
          <w:color w:val="auto"/>
        </w:rPr>
        <w:t>Smart city management solutions</w:t>
      </w:r>
    </w:p>
    <w:p>
      <w:pPr>
        <w:ind w:left="2000" w:right="559"/>
        <w:spacing w:after="0" w:line="252" w:lineRule="auto"/>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3"/>
          <w:szCs w:val="13"/>
          <w:color w:val="auto"/>
        </w:rPr>
        <w:t>The Group enters into contracts with its customers for designing, building and delivering customized integrated command-and-control centers. The duration of the contracts depends on the contract size and ranges from three months to one year, excluding the duration of warranty accounted for as an assurance-type warranty (Note 11), which ranges from one year to three years. The Group provides a significant service of integrating goods and services including the project design, hardware and software promised in the contract into a combined output; therefore, the goods and services in the contracts are not distinct from each other and the Group determines there is one performance obligation, which is the delivery of the customized integrated command-and-control center. The performance obligation is satisfied, and control is transferred to the customer over time because there is no alternative use for the highly customized and integrated command-control-center and the Group has an enforceable right to payment for performance completed to date. The Group has determined the cost-to-cost method best depicts the measure of progress towards fulfilling the performance obligation. Under this method, revenue is recognized based on the estimated extent of progress, which is determined by dividing costs incurred to date by the total amount of costs expected to be incurred for designing, building and delivering a customized integrated command-and-control center. Revisions in the estimated total costs of command-and-control center contracts are made in the period in which the circumstances requiring the revision become known. Provisions, if any, are made in the period when anticipated losses become evident on uncompleted contracts.</w:t>
      </w:r>
    </w:p>
    <w:p>
      <w:pPr>
        <w:spacing w:after="0" w:line="60" w:lineRule="exact"/>
        <w:rPr>
          <w:rFonts w:ascii="Times New Roman" w:cs="Times New Roman" w:eastAsia="Times New Roman" w:hAnsi="Times New Roman"/>
          <w:sz w:val="12"/>
          <w:szCs w:val="12"/>
          <w:b w:val="1"/>
          <w:bCs w:val="1"/>
          <w:i w:val="1"/>
          <w:iCs w:val="1"/>
          <w:color w:val="auto"/>
        </w:rPr>
      </w:pPr>
    </w:p>
    <w:p>
      <w:pPr>
        <w:ind w:left="2000" w:right="619"/>
        <w:spacing w:after="0" w:line="259" w:lineRule="auto"/>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3"/>
          <w:szCs w:val="13"/>
          <w:color w:val="auto"/>
        </w:rPr>
        <w:t>The Group reviews and updates the estimated total costs of command-and-control center contracts periodically. The Group accounts for revisions to contract revenue and estimated total costs of command-and-control center contracts, in the period in which the facts that cause the revision become known as changes in estimates. Unapproved change orders are considered claims. Claims are recognized only when they have been awarded by customers.</w:t>
      </w:r>
    </w:p>
    <w:p>
      <w:pPr>
        <w:spacing w:after="0" w:line="55" w:lineRule="exact"/>
        <w:rPr>
          <w:rFonts w:ascii="Times New Roman" w:cs="Times New Roman" w:eastAsia="Times New Roman" w:hAnsi="Times New Roman"/>
          <w:sz w:val="12"/>
          <w:szCs w:val="12"/>
          <w:b w:val="1"/>
          <w:bCs w:val="1"/>
          <w:i w:val="1"/>
          <w:iCs w:val="1"/>
          <w:color w:val="auto"/>
        </w:rPr>
      </w:pPr>
    </w:p>
    <w:p>
      <w:pPr>
        <w:ind w:left="2000" w:right="559"/>
        <w:spacing w:after="0" w:line="252" w:lineRule="auto"/>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3"/>
          <w:szCs w:val="13"/>
          <w:color w:val="auto"/>
        </w:rPr>
        <w:t>Contract modifications, defined as changes in the scope or price (or both) of a contract that are approved by the parties to the contract, such as a contract amendment, exist when the parties to a contract approve a modification that either creates new or changes existing enforceable rights and obligations of the parties to the contract. Contract modifications, if any, will be accounting for as one of the following: (i) a separate contract; (ii) a termination of the existing contract and a creation of a new contract; or (iii) a combination of the preceding treatments. A contract modification is accounted for as a separate contract if the scope of the contract increases because of the addition of promised goods or services that are distinct and the price of the contract increases by an amount of consideration that reflects the Group’s standalone selling prices of the additional promised goods or services. When a contract modification is not considered a separate contract and the remaining goods or services are distinct from the goods or services transferred on or before the date of the contract modification, the Group accounts for the contract modification as a termination of the existing contract and a creation of a new contract. When a contract modification is not considered a separate contract and the remaining goods or services are not distinct, the Group accounts for the contract modification as an add-on to the existing contract and as an adjustment to revenue on a cumulative catch-up basis.</w:t>
      </w:r>
    </w:p>
    <w:p>
      <w:pPr>
        <w:spacing w:after="0" w:line="9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color w:val="auto"/>
        </w:rPr>
        <w:t>F- 28</w:t>
      </w:r>
    </w:p>
    <w:p>
      <w:pPr>
        <w:sectPr>
          <w:pgSz w:w="11900" w:h="16838" w:orient="portrait"/>
          <w:cols w:equalWidth="0" w:num="1">
            <w:col w:w="10159"/>
          </w:cols>
          <w:pgMar w:left="300" w:top="388" w:right="1440"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9">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 (CONTINUED)</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0">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7" w:lineRule="exact"/>
        <w:rPr>
          <w:sz w:val="20"/>
          <w:szCs w:val="20"/>
          <w:color w:val="auto"/>
        </w:rPr>
      </w:pPr>
    </w:p>
    <w:p>
      <w:pPr>
        <w:ind w:left="1980" w:hanging="304"/>
        <w:spacing w:after="0"/>
        <w:tabs>
          <w:tab w:leader="none" w:pos="1980" w:val="left"/>
        </w:tabs>
        <w:numPr>
          <w:ilvl w:val="0"/>
          <w:numId w:val="10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Summary of Significant Accounting Policies (Continued)</w:t>
      </w:r>
    </w:p>
    <w:p>
      <w:pPr>
        <w:spacing w:after="0" w:line="111" w:lineRule="exact"/>
        <w:rPr>
          <w:sz w:val="20"/>
          <w:szCs w:val="20"/>
          <w:color w:val="auto"/>
        </w:rPr>
      </w:pPr>
    </w:p>
    <w:p>
      <w:pPr>
        <w:ind w:left="2000" w:right="6379" w:hanging="324"/>
        <w:spacing w:after="0" w:line="434" w:lineRule="auto"/>
        <w:tabs>
          <w:tab w:leader="none" w:pos="1994" w:val="left"/>
        </w:tabs>
        <w:numPr>
          <w:ilvl w:val="0"/>
          <w:numId w:val="105"/>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b w:val="1"/>
          <w:bCs w:val="1"/>
          <w:i w:val="1"/>
          <w:iCs w:val="1"/>
          <w:color w:val="auto"/>
        </w:rPr>
        <w:t xml:space="preserve">Revenue recognition (Continued) </w:t>
      </w:r>
      <w:r>
        <w:rPr>
          <w:rFonts w:ascii="Times New Roman" w:cs="Times New Roman" w:eastAsia="Times New Roman" w:hAnsi="Times New Roman"/>
          <w:sz w:val="12"/>
          <w:szCs w:val="12"/>
          <w:u w:val="single" w:color="auto"/>
          <w:color w:val="auto"/>
        </w:rPr>
        <w:t>Aerial media solutions</w:t>
      </w:r>
    </w:p>
    <w:p>
      <w:pPr>
        <w:ind w:left="2000" w:right="599"/>
        <w:spacing w:after="0" w:line="257" w:lineRule="auto"/>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3"/>
          <w:szCs w:val="13"/>
          <w:color w:val="auto"/>
        </w:rPr>
        <w:t>The Group generates revenue by providing aerial media performance services and related products. Aerial media performance services allow multiple smart control-based drones to demonstrate and transform their formation to display diversified messages and images in specific airspace, that is tailor made based on different branding or advertising requirements. The Group uses self-produced drones and customizes the fleet formation performances based on customer’s needs and availability of airspace approval in the area. The performance is usually completed within a day and revenue is recognized when the service is delivered.</w:t>
      </w:r>
    </w:p>
    <w:p>
      <w:pPr>
        <w:spacing w:after="0" w:line="55" w:lineRule="exact"/>
        <w:rPr>
          <w:rFonts w:ascii="Times New Roman" w:cs="Times New Roman" w:eastAsia="Times New Roman" w:hAnsi="Times New Roman"/>
          <w:sz w:val="12"/>
          <w:szCs w:val="12"/>
          <w:b w:val="1"/>
          <w:bCs w:val="1"/>
          <w:i w:val="1"/>
          <w:iCs w:val="1"/>
          <w:color w:val="auto"/>
        </w:rPr>
      </w:pPr>
    </w:p>
    <w:p>
      <w:pPr>
        <w:ind w:left="2000" w:right="559"/>
        <w:spacing w:after="0" w:line="264" w:lineRule="auto"/>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3"/>
          <w:szCs w:val="13"/>
          <w:color w:val="auto"/>
        </w:rPr>
        <w:t>The Group also sells hardware and software components of the aerial media performance drones. As the hardware and software components are highly interdependent, the entire bundle of promised goods is considered one performance obligation within the context of the contract. The single performance obligation is satisfied at a point in time, which is upon customer acceptance of the products.</w:t>
      </w:r>
    </w:p>
    <w:p>
      <w:pPr>
        <w:spacing w:after="0" w:line="206" w:lineRule="exact"/>
        <w:rPr>
          <w:rFonts w:ascii="Times New Roman" w:cs="Times New Roman" w:eastAsia="Times New Roman" w:hAnsi="Times New Roman"/>
          <w:sz w:val="12"/>
          <w:szCs w:val="12"/>
          <w:b w:val="1"/>
          <w:bCs w:val="1"/>
          <w:i w:val="1"/>
          <w:iCs w:val="1"/>
          <w:color w:val="auto"/>
        </w:rPr>
      </w:pPr>
    </w:p>
    <w:p>
      <w:pPr>
        <w:ind w:left="2000"/>
        <w:spacing w:after="0"/>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3"/>
          <w:szCs w:val="13"/>
          <w:u w:val="single" w:color="auto"/>
          <w:color w:val="auto"/>
        </w:rPr>
        <w:t>Others</w:t>
      </w:r>
    </w:p>
    <w:p>
      <w:pPr>
        <w:spacing w:after="0" w:line="83" w:lineRule="exact"/>
        <w:rPr>
          <w:rFonts w:ascii="Times New Roman" w:cs="Times New Roman" w:eastAsia="Times New Roman" w:hAnsi="Times New Roman"/>
          <w:sz w:val="12"/>
          <w:szCs w:val="12"/>
          <w:b w:val="1"/>
          <w:bCs w:val="1"/>
          <w:i w:val="1"/>
          <w:iCs w:val="1"/>
          <w:color w:val="auto"/>
        </w:rPr>
      </w:pPr>
    </w:p>
    <w:p>
      <w:pPr>
        <w:ind w:left="2000" w:right="699"/>
        <w:spacing w:after="0" w:line="264" w:lineRule="auto"/>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3"/>
          <w:szCs w:val="13"/>
          <w:color w:val="auto"/>
        </w:rPr>
        <w:t>The Group generates other revenues mainly from stand-alone sales of consumer drones and their components and spare parts. Revenues are recognized when the consumer drones are shipped and the control of the drones are transferred to the customers. The Group started to phase out the consumer drone business in late 2016.</w:t>
      </w:r>
    </w:p>
    <w:p>
      <w:pPr>
        <w:spacing w:after="0" w:line="232" w:lineRule="exact"/>
        <w:rPr>
          <w:rFonts w:ascii="Times New Roman" w:cs="Times New Roman" w:eastAsia="Times New Roman" w:hAnsi="Times New Roman"/>
          <w:sz w:val="12"/>
          <w:szCs w:val="12"/>
          <w:b w:val="1"/>
          <w:bCs w:val="1"/>
          <w:i w:val="1"/>
          <w:iCs w:val="1"/>
          <w:color w:val="auto"/>
        </w:rPr>
      </w:pPr>
    </w:p>
    <w:p>
      <w:pPr>
        <w:ind w:left="1980" w:hanging="304"/>
        <w:spacing w:after="0"/>
        <w:tabs>
          <w:tab w:leader="none" w:pos="1980" w:val="left"/>
        </w:tabs>
        <w:numPr>
          <w:ilvl w:val="0"/>
          <w:numId w:val="105"/>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Cost of revenue</w:t>
      </w:r>
    </w:p>
    <w:p>
      <w:pPr>
        <w:spacing w:after="0" w:line="87" w:lineRule="exact"/>
        <w:rPr>
          <w:rFonts w:ascii="Times New Roman" w:cs="Times New Roman" w:eastAsia="Times New Roman" w:hAnsi="Times New Roman"/>
          <w:sz w:val="13"/>
          <w:szCs w:val="13"/>
          <w:b w:val="1"/>
          <w:bCs w:val="1"/>
          <w:i w:val="1"/>
          <w:iCs w:val="1"/>
          <w:color w:val="auto"/>
        </w:rPr>
      </w:pPr>
    </w:p>
    <w:p>
      <w:pPr>
        <w:ind w:left="2000" w:right="719"/>
        <w:spacing w:after="0" w:line="278"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Cost of revenue consists primarily of autonomous aerial vehicle material and manufacturing costs, construction costs of smart city management solutions, product warranty costs, provision for inventories, payroll, rental fees, depreciation and related costs of operations.</w:t>
      </w:r>
    </w:p>
    <w:p>
      <w:pPr>
        <w:spacing w:after="0" w:line="223" w:lineRule="exact"/>
        <w:rPr>
          <w:rFonts w:ascii="Times New Roman" w:cs="Times New Roman" w:eastAsia="Times New Roman" w:hAnsi="Times New Roman"/>
          <w:sz w:val="13"/>
          <w:szCs w:val="13"/>
          <w:b w:val="1"/>
          <w:bCs w:val="1"/>
          <w:i w:val="1"/>
          <w:iCs w:val="1"/>
          <w:color w:val="auto"/>
        </w:rPr>
      </w:pPr>
    </w:p>
    <w:p>
      <w:pPr>
        <w:ind w:left="1980" w:hanging="304"/>
        <w:spacing w:after="0"/>
        <w:tabs>
          <w:tab w:leader="none" w:pos="1980" w:val="left"/>
        </w:tabs>
        <w:numPr>
          <w:ilvl w:val="0"/>
          <w:numId w:val="105"/>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Product warranty liability</w:t>
      </w:r>
    </w:p>
    <w:p>
      <w:pPr>
        <w:spacing w:after="0" w:line="87" w:lineRule="exact"/>
        <w:rPr>
          <w:rFonts w:ascii="Times New Roman" w:cs="Times New Roman" w:eastAsia="Times New Roman" w:hAnsi="Times New Roman"/>
          <w:sz w:val="13"/>
          <w:szCs w:val="13"/>
          <w:b w:val="1"/>
          <w:bCs w:val="1"/>
          <w:i w:val="1"/>
          <w:iCs w:val="1"/>
          <w:color w:val="auto"/>
        </w:rPr>
      </w:pPr>
    </w:p>
    <w:p>
      <w:pPr>
        <w:ind w:left="2000" w:right="579"/>
        <w:spacing w:after="0" w:line="291"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2"/>
          <w:szCs w:val="12"/>
          <w:color w:val="auto"/>
        </w:rPr>
        <w:t>The Group offers standard warranties to replace or repair defects on certain hardware parts of its passenger-grade AAVs for a period of six months to three years. The Group does not provide warranties to guarantee that the AAVs will perform as expected or in accordance with published specifications or provide expected benefits. The Group also provides a standard warranty for hardware and software for the command-and-control centers for a period ranging from one year to three years. The Group accrues for the estimated costs to repair or replace defective hardware parts and costs to assure software effectiveness as costs of revenues when revenue is recognized. The Group estimates its warranty costs by considering its historical experience of having to replace or repair hardware parts and for software de-bugging and the historical costs incurred have been insignificant to date. The estimates of warranties are inherently uncertain given the Group’s relatively short history of sales, and changes to the Group’s historical or projected warranty experience may cause material changes to the warranty reserve in the future. The Group reassesses whether warranty accruals are adequate based on actual experience as it becomes available and adjusts its estimates on a prospective basis. Product warranty accrual is included in accrued expenses and other current liabilities in the accompanying consolidated balance sheets (Note 11).</w:t>
      </w:r>
    </w:p>
    <w:p>
      <w:pPr>
        <w:spacing w:after="0" w:line="6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color w:val="auto"/>
        </w:rPr>
        <w:t>F- 29</w:t>
      </w:r>
    </w:p>
    <w:p>
      <w:pPr>
        <w:sectPr>
          <w:pgSz w:w="11900" w:h="16838" w:orient="portrait"/>
          <w:cols w:equalWidth="0" w:num="1">
            <w:col w:w="10159"/>
          </w:cols>
          <w:pgMar w:left="300" w:top="388" w:right="1440"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1">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 (CONTINUED)</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2">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7" w:lineRule="exact"/>
        <w:rPr>
          <w:sz w:val="20"/>
          <w:szCs w:val="20"/>
          <w:color w:val="auto"/>
        </w:rPr>
      </w:pPr>
    </w:p>
    <w:p>
      <w:pPr>
        <w:ind w:left="1980" w:hanging="304"/>
        <w:spacing w:after="0"/>
        <w:tabs>
          <w:tab w:leader="none" w:pos="1980" w:val="left"/>
        </w:tabs>
        <w:numPr>
          <w:ilvl w:val="0"/>
          <w:numId w:val="10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Summary of Significant Accounting Policies (Continued)</w:t>
      </w:r>
    </w:p>
    <w:p>
      <w:pPr>
        <w:spacing w:after="0" w:line="111" w:lineRule="exact"/>
        <w:rPr>
          <w:sz w:val="20"/>
          <w:szCs w:val="20"/>
          <w:color w:val="auto"/>
        </w:rPr>
      </w:pPr>
    </w:p>
    <w:p>
      <w:pPr>
        <w:ind w:left="1980" w:hanging="304"/>
        <w:spacing w:after="0"/>
        <w:tabs>
          <w:tab w:leader="none" w:pos="1980" w:val="left"/>
        </w:tabs>
        <w:numPr>
          <w:ilvl w:val="0"/>
          <w:numId w:val="107"/>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Advertising expenditures</w:t>
      </w:r>
    </w:p>
    <w:p>
      <w:pPr>
        <w:spacing w:after="0" w:line="87" w:lineRule="exact"/>
        <w:rPr>
          <w:rFonts w:ascii="Times New Roman" w:cs="Times New Roman" w:eastAsia="Times New Roman" w:hAnsi="Times New Roman"/>
          <w:sz w:val="13"/>
          <w:szCs w:val="13"/>
          <w:b w:val="1"/>
          <w:bCs w:val="1"/>
          <w:i w:val="1"/>
          <w:iCs w:val="1"/>
          <w:color w:val="auto"/>
        </w:rPr>
      </w:pPr>
    </w:p>
    <w:p>
      <w:pPr>
        <w:ind w:left="2000" w:right="639"/>
        <w:spacing w:after="0" w:line="278"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Advertising expenditures are expensed as incurred and are included in sales and marketing expenses, which amounted to RMB3,422, RMB1,965 and RMB2,114 (US$332) for the years ended December 31, 2019, 2020 and 2021, respectively.</w:t>
      </w:r>
    </w:p>
    <w:p>
      <w:pPr>
        <w:spacing w:after="0" w:line="223" w:lineRule="exact"/>
        <w:rPr>
          <w:rFonts w:ascii="Times New Roman" w:cs="Times New Roman" w:eastAsia="Times New Roman" w:hAnsi="Times New Roman"/>
          <w:sz w:val="13"/>
          <w:szCs w:val="13"/>
          <w:b w:val="1"/>
          <w:bCs w:val="1"/>
          <w:i w:val="1"/>
          <w:iCs w:val="1"/>
          <w:color w:val="auto"/>
        </w:rPr>
      </w:pPr>
    </w:p>
    <w:p>
      <w:pPr>
        <w:ind w:left="1980" w:hanging="304"/>
        <w:spacing w:after="0"/>
        <w:tabs>
          <w:tab w:leader="none" w:pos="1980" w:val="left"/>
        </w:tabs>
        <w:numPr>
          <w:ilvl w:val="0"/>
          <w:numId w:val="107"/>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General and administrative expenses</w:t>
      </w:r>
    </w:p>
    <w:p>
      <w:pPr>
        <w:spacing w:after="0" w:line="87" w:lineRule="exact"/>
        <w:rPr>
          <w:rFonts w:ascii="Times New Roman" w:cs="Times New Roman" w:eastAsia="Times New Roman" w:hAnsi="Times New Roman"/>
          <w:sz w:val="13"/>
          <w:szCs w:val="13"/>
          <w:b w:val="1"/>
          <w:bCs w:val="1"/>
          <w:i w:val="1"/>
          <w:iCs w:val="1"/>
          <w:color w:val="auto"/>
        </w:rPr>
      </w:pPr>
    </w:p>
    <w:p>
      <w:pPr>
        <w:ind w:left="2000" w:right="1119"/>
        <w:spacing w:after="0" w:line="278"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General and administrative expenses consist primarily of employee benefits, legal and other professional services fees, long-lived assets impairment, payroll and other general corporate related expenses.</w:t>
      </w:r>
    </w:p>
    <w:p>
      <w:pPr>
        <w:spacing w:after="0" w:line="223" w:lineRule="exact"/>
        <w:rPr>
          <w:rFonts w:ascii="Times New Roman" w:cs="Times New Roman" w:eastAsia="Times New Roman" w:hAnsi="Times New Roman"/>
          <w:sz w:val="13"/>
          <w:szCs w:val="13"/>
          <w:b w:val="1"/>
          <w:bCs w:val="1"/>
          <w:i w:val="1"/>
          <w:iCs w:val="1"/>
          <w:color w:val="auto"/>
        </w:rPr>
      </w:pPr>
    </w:p>
    <w:p>
      <w:pPr>
        <w:ind w:left="1980" w:hanging="304"/>
        <w:spacing w:after="0"/>
        <w:tabs>
          <w:tab w:leader="none" w:pos="1980" w:val="left"/>
        </w:tabs>
        <w:numPr>
          <w:ilvl w:val="0"/>
          <w:numId w:val="107"/>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Research and development expenses</w:t>
      </w:r>
    </w:p>
    <w:p>
      <w:pPr>
        <w:spacing w:after="0" w:line="87" w:lineRule="exact"/>
        <w:rPr>
          <w:rFonts w:ascii="Times New Roman" w:cs="Times New Roman" w:eastAsia="Times New Roman" w:hAnsi="Times New Roman"/>
          <w:sz w:val="13"/>
          <w:szCs w:val="13"/>
          <w:b w:val="1"/>
          <w:bCs w:val="1"/>
          <w:i w:val="1"/>
          <w:iCs w:val="1"/>
          <w:color w:val="auto"/>
        </w:rPr>
      </w:pPr>
    </w:p>
    <w:p>
      <w:pPr>
        <w:ind w:left="2000" w:right="979"/>
        <w:spacing w:after="0" w:line="278"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Research and development expenses include materials and supplies, payroll, employee benefits, and other operating expenses such as rent, depreciation and other related expenses.</w:t>
      </w:r>
    </w:p>
    <w:p>
      <w:pPr>
        <w:spacing w:after="0" w:line="42" w:lineRule="exact"/>
        <w:rPr>
          <w:rFonts w:ascii="Times New Roman" w:cs="Times New Roman" w:eastAsia="Times New Roman" w:hAnsi="Times New Roman"/>
          <w:sz w:val="13"/>
          <w:szCs w:val="13"/>
          <w:b w:val="1"/>
          <w:bCs w:val="1"/>
          <w:i w:val="1"/>
          <w:iCs w:val="1"/>
          <w:color w:val="auto"/>
        </w:rPr>
      </w:pPr>
    </w:p>
    <w:p>
      <w:pPr>
        <w:ind w:left="2000" w:right="639"/>
        <w:spacing w:after="0" w:line="255"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The Group capitalizes costs to develop or obtain internal-use software and costs of significant upgrades and enhancements resulting in additional functionality of internal-use software in accordance with ASC 350-40 (“ASC 350-40”), Internal-Use Software. Costs incurred for internally developed internal-use software used for a particular research and development project are expensed as incurred, regardless of whether the software has alternative future uses. Costs incurred for maintenance, training, and minor modifications or enhancements are also expensed as incurred. Capitalized software development costs are amortized on a straight-line basis over the estimated useful life of the applicable software. Capitalized software development costs have not been material for the periods presented.</w:t>
      </w:r>
    </w:p>
    <w:p>
      <w:pPr>
        <w:spacing w:after="0" w:line="58" w:lineRule="exact"/>
        <w:rPr>
          <w:rFonts w:ascii="Times New Roman" w:cs="Times New Roman" w:eastAsia="Times New Roman" w:hAnsi="Times New Roman"/>
          <w:sz w:val="13"/>
          <w:szCs w:val="13"/>
          <w:b w:val="1"/>
          <w:bCs w:val="1"/>
          <w:i w:val="1"/>
          <w:iCs w:val="1"/>
          <w:color w:val="auto"/>
        </w:rPr>
      </w:pPr>
    </w:p>
    <w:p>
      <w:pPr>
        <w:ind w:left="2000" w:right="559"/>
        <w:spacing w:after="0" w:line="255"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The Group also incurs cost to develop software embedded in its products. The software components cannot function or be sold separately from the AAV as a whole. The Group accounts for costs incurred in the development of software embedded in its products in accordance with ASC 985-20 (“ASC 985-20”), Costs of Software to be Sold, Leased, or Marketed. Such software development costs consist primarily of salaries and related payroll costs and are capitalized once technological feasibility is established, which is when a completed detail program design or in the absence of a completed detail program design, a working model of the product is available. As a result, capitalized software development costs were immaterial for the years ended December 31, 2019, 2020 and 2021.</w:t>
      </w:r>
    </w:p>
    <w:p>
      <w:pPr>
        <w:spacing w:after="0" w:line="239" w:lineRule="exact"/>
        <w:rPr>
          <w:rFonts w:ascii="Times New Roman" w:cs="Times New Roman" w:eastAsia="Times New Roman" w:hAnsi="Times New Roman"/>
          <w:sz w:val="13"/>
          <w:szCs w:val="13"/>
          <w:b w:val="1"/>
          <w:bCs w:val="1"/>
          <w:i w:val="1"/>
          <w:iCs w:val="1"/>
          <w:color w:val="auto"/>
        </w:rPr>
      </w:pPr>
    </w:p>
    <w:p>
      <w:pPr>
        <w:ind w:left="1980" w:hanging="304"/>
        <w:spacing w:after="0"/>
        <w:tabs>
          <w:tab w:leader="none" w:pos="1980" w:val="left"/>
        </w:tabs>
        <w:numPr>
          <w:ilvl w:val="0"/>
          <w:numId w:val="107"/>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Leases</w:t>
      </w:r>
    </w:p>
    <w:p>
      <w:pPr>
        <w:spacing w:after="0" w:line="87" w:lineRule="exact"/>
        <w:rPr>
          <w:rFonts w:ascii="Times New Roman" w:cs="Times New Roman" w:eastAsia="Times New Roman" w:hAnsi="Times New Roman"/>
          <w:sz w:val="13"/>
          <w:szCs w:val="13"/>
          <w:b w:val="1"/>
          <w:bCs w:val="1"/>
          <w:i w:val="1"/>
          <w:iCs w:val="1"/>
          <w:color w:val="auto"/>
        </w:rPr>
      </w:pPr>
    </w:p>
    <w:p>
      <w:pPr>
        <w:ind w:left="2000" w:right="559"/>
        <w:spacing w:after="0" w:line="255"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Leases are classified at the inception date as either a capital lease or an operating lease. A lease is a capital lease if any of the following conditions exists: a) ownership is transferred to the lessee by the end of the lease term, b) there is a bargain purchase option, c) the lease term is at least 75% of the leased asset’s estimated remaining economic life or d) the present value of the minimum lease payments at the beginning of the lease term is 90% or more of the fair value of the leased asset to the lessor at the inception date. A capital lease is accounted for as if there was an acquisition of an asset and an incurrence of an obligation at the inception of the lease. The Group did not enter into any capital leases as a lessor or lessee for any of the periods presented.</w:t>
      </w:r>
    </w:p>
    <w:p>
      <w:pPr>
        <w:spacing w:after="0" w:line="58" w:lineRule="exact"/>
        <w:rPr>
          <w:rFonts w:ascii="Times New Roman" w:cs="Times New Roman" w:eastAsia="Times New Roman" w:hAnsi="Times New Roman"/>
          <w:sz w:val="13"/>
          <w:szCs w:val="13"/>
          <w:b w:val="1"/>
          <w:bCs w:val="1"/>
          <w:i w:val="1"/>
          <w:iCs w:val="1"/>
          <w:color w:val="auto"/>
        </w:rPr>
      </w:pPr>
    </w:p>
    <w:p>
      <w:pPr>
        <w:ind w:left="2000" w:right="559"/>
        <w:spacing w:after="0" w:line="257"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Leases are accounted for as operating leases wherein rental payments are expensed on a straight-line basis over the periods of their respective lease terms. The Group leases certain offices, production facilities and employee accommodation under operating lease agreements. Certain lease agreements contain rent holidays and escalating rent. Rent holidays and escalating rent are considered in determining the straight-line rent expense to be recorded over the lease term. The lease term begins on the date of initial possession of the lease property for purposes of recognizing lease expense on a straight-line basis over the term of the lease.</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color w:val="auto"/>
        </w:rPr>
        <w:t>F- 30</w:t>
      </w:r>
    </w:p>
    <w:p>
      <w:pPr>
        <w:sectPr>
          <w:pgSz w:w="11900" w:h="16838" w:orient="portrait"/>
          <w:cols w:equalWidth="0" w:num="1">
            <w:col w:w="10159"/>
          </w:cols>
          <w:pgMar w:left="300" w:top="388" w:right="1440"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3">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 (CONTINUED)</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4">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7" w:lineRule="exact"/>
        <w:rPr>
          <w:sz w:val="20"/>
          <w:szCs w:val="20"/>
          <w:color w:val="auto"/>
        </w:rPr>
      </w:pPr>
    </w:p>
    <w:p>
      <w:pPr>
        <w:ind w:left="1980" w:hanging="304"/>
        <w:spacing w:after="0"/>
        <w:tabs>
          <w:tab w:leader="none" w:pos="1980" w:val="left"/>
        </w:tabs>
        <w:numPr>
          <w:ilvl w:val="0"/>
          <w:numId w:val="10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Summary of Significant Accounting Policies (Continued)</w:t>
      </w:r>
    </w:p>
    <w:p>
      <w:pPr>
        <w:spacing w:after="0" w:line="111" w:lineRule="exact"/>
        <w:rPr>
          <w:sz w:val="20"/>
          <w:szCs w:val="20"/>
          <w:color w:val="auto"/>
        </w:rPr>
      </w:pPr>
    </w:p>
    <w:p>
      <w:pPr>
        <w:ind w:left="1980" w:hanging="304"/>
        <w:spacing w:after="0"/>
        <w:tabs>
          <w:tab w:leader="none" w:pos="1980" w:val="left"/>
        </w:tabs>
        <w:numPr>
          <w:ilvl w:val="0"/>
          <w:numId w:val="109"/>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Government subsidies</w:t>
      </w:r>
    </w:p>
    <w:p>
      <w:pPr>
        <w:spacing w:after="0" w:line="87" w:lineRule="exact"/>
        <w:rPr>
          <w:rFonts w:ascii="Times New Roman" w:cs="Times New Roman" w:eastAsia="Times New Roman" w:hAnsi="Times New Roman"/>
          <w:sz w:val="13"/>
          <w:szCs w:val="13"/>
          <w:b w:val="1"/>
          <w:bCs w:val="1"/>
          <w:i w:val="1"/>
          <w:iCs w:val="1"/>
          <w:color w:val="auto"/>
        </w:rPr>
      </w:pPr>
    </w:p>
    <w:p>
      <w:pPr>
        <w:ind w:left="2000" w:right="699"/>
        <w:spacing w:after="0" w:line="255"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Government subsidies primarily consist of financial subsidies received from provincial and local governments for operating a business in their jurisdictions and compliance with specific policies promoted by the local governments. There are no defined rules and regulations to govern the criteria necessary for companies to receive such benefits, and the amount of financial subsidy is determined at the discretion of the relevant government authorities. The government subsidies of operating nature with no further conditions to be met are recorded in “other operating income” when received. The government subsidies with certain operating conditions are recorded as “deferred government subsidies” on the consolidated balance sheets when received and are recorded as operating income when the conditions are met.</w:t>
      </w:r>
    </w:p>
    <w:p>
      <w:pPr>
        <w:spacing w:after="0" w:line="239" w:lineRule="exact"/>
        <w:rPr>
          <w:rFonts w:ascii="Times New Roman" w:cs="Times New Roman" w:eastAsia="Times New Roman" w:hAnsi="Times New Roman"/>
          <w:sz w:val="13"/>
          <w:szCs w:val="13"/>
          <w:b w:val="1"/>
          <w:bCs w:val="1"/>
          <w:i w:val="1"/>
          <w:iCs w:val="1"/>
          <w:color w:val="auto"/>
        </w:rPr>
      </w:pPr>
    </w:p>
    <w:p>
      <w:pPr>
        <w:ind w:left="1980" w:hanging="304"/>
        <w:spacing w:after="0"/>
        <w:tabs>
          <w:tab w:leader="none" w:pos="1980" w:val="left"/>
        </w:tabs>
        <w:numPr>
          <w:ilvl w:val="0"/>
          <w:numId w:val="109"/>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Income taxes</w:t>
      </w:r>
    </w:p>
    <w:p>
      <w:pPr>
        <w:spacing w:after="0" w:line="87" w:lineRule="exact"/>
        <w:rPr>
          <w:rFonts w:ascii="Times New Roman" w:cs="Times New Roman" w:eastAsia="Times New Roman" w:hAnsi="Times New Roman"/>
          <w:sz w:val="13"/>
          <w:szCs w:val="13"/>
          <w:b w:val="1"/>
          <w:bCs w:val="1"/>
          <w:i w:val="1"/>
          <w:iCs w:val="1"/>
          <w:color w:val="auto"/>
        </w:rPr>
      </w:pPr>
    </w:p>
    <w:p>
      <w:pPr>
        <w:ind w:left="2000" w:right="559"/>
        <w:spacing w:after="0" w:line="255"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The Group follows the liability method of accounting for income taxes in accordance with ASC 740 (‘‘ASC 740’’), Income Taxes. Under this method, deferred tax assets and liabilities are determined based on the difference between the financial reporting and tax bases of assets and liabilities using enacted tax rates that will be in effect in the period in which the differences are expected to reverse. The Group records a valuation allowance to offset deferred tax assets if based on the weight of available evidence, it is more-likely-than-not that some portion, or all, of the deferred tax assets will not be realized. The effect on deferred taxes of a change in tax rate is recognized in tax expense in the period that includes the enactment date of the change in tax rate.</w:t>
      </w:r>
    </w:p>
    <w:p>
      <w:pPr>
        <w:spacing w:after="0" w:line="58" w:lineRule="exact"/>
        <w:rPr>
          <w:rFonts w:ascii="Times New Roman" w:cs="Times New Roman" w:eastAsia="Times New Roman" w:hAnsi="Times New Roman"/>
          <w:sz w:val="13"/>
          <w:szCs w:val="13"/>
          <w:b w:val="1"/>
          <w:bCs w:val="1"/>
          <w:i w:val="1"/>
          <w:iCs w:val="1"/>
          <w:color w:val="auto"/>
        </w:rPr>
      </w:pPr>
    </w:p>
    <w:p>
      <w:pPr>
        <w:ind w:left="2000" w:right="639"/>
        <w:spacing w:after="0" w:line="257"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The Group accounted for uncertainties in income taxes in accordance with ASC 740. Interest and penalties arising from underpayment of income taxes shall be computed in accordance with the related PRC tax law. The amount of interest expense is computed by applying the applicable statutory rate of interest to the difference between the tax position recognized and the amount previously taken or expected to be taken in a tax return. Interest and penalties recognized in accordance with ASC 740 are classified in the consolidated statements of comprehensive loss as income tax expense.</w:t>
      </w:r>
    </w:p>
    <w:p>
      <w:pPr>
        <w:spacing w:after="0" w:line="236" w:lineRule="exact"/>
        <w:rPr>
          <w:sz w:val="20"/>
          <w:szCs w:val="20"/>
          <w:color w:val="auto"/>
        </w:rPr>
      </w:pPr>
    </w:p>
    <w:p>
      <w:pPr>
        <w:ind w:left="1980" w:hanging="304"/>
        <w:spacing w:after="0"/>
        <w:tabs>
          <w:tab w:leader="none" w:pos="1980" w:val="left"/>
        </w:tabs>
        <w:numPr>
          <w:ilvl w:val="0"/>
          <w:numId w:val="110"/>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Share-based compensation</w:t>
      </w:r>
    </w:p>
    <w:p>
      <w:pPr>
        <w:spacing w:after="0" w:line="87" w:lineRule="exact"/>
        <w:rPr>
          <w:rFonts w:ascii="Times New Roman" w:cs="Times New Roman" w:eastAsia="Times New Roman" w:hAnsi="Times New Roman"/>
          <w:sz w:val="13"/>
          <w:szCs w:val="13"/>
          <w:b w:val="1"/>
          <w:bCs w:val="1"/>
          <w:i w:val="1"/>
          <w:iCs w:val="1"/>
          <w:color w:val="auto"/>
        </w:rPr>
      </w:pPr>
    </w:p>
    <w:p>
      <w:pPr>
        <w:ind w:left="2000" w:right="599"/>
        <w:spacing w:after="0" w:line="264"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The Group applies ASC 718 (‘‘ASC 718’’), Compensation—Stock Compensation to account for its employee share-based payments. In accordance with ASC 718, the Group determines whether an award should be classified and accounted for as a liability award or an equity award. All of the Group’s share-based awards granted to employees were classified as equity awards.</w:t>
      </w:r>
    </w:p>
    <w:p>
      <w:pPr>
        <w:spacing w:after="0" w:line="51" w:lineRule="exact"/>
        <w:rPr>
          <w:rFonts w:ascii="Times New Roman" w:cs="Times New Roman" w:eastAsia="Times New Roman" w:hAnsi="Times New Roman"/>
          <w:sz w:val="13"/>
          <w:szCs w:val="13"/>
          <w:b w:val="1"/>
          <w:bCs w:val="1"/>
          <w:i w:val="1"/>
          <w:iCs w:val="1"/>
          <w:color w:val="auto"/>
        </w:rPr>
      </w:pPr>
    </w:p>
    <w:p>
      <w:pPr>
        <w:ind w:left="2000" w:right="579"/>
        <w:spacing w:after="0" w:line="259"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The Group has elected to recognize compensation expense using the straight-line method for share-based awards granted with service conditions that have a graded vesting schedule. Prior to the completion of the IPO, with the assistance of an independent third-party valuation firm, the group determined the grant date fair value of the awards granted to employees. Subsequent to the completion of the IPO, share-based awards granted were measured based on the fair value of ordinary share as of grant date. The Group accounts for forfeitures as they occur.</w:t>
      </w:r>
    </w:p>
    <w:p>
      <w:pPr>
        <w:spacing w:after="0" w:line="55" w:lineRule="exact"/>
        <w:rPr>
          <w:rFonts w:ascii="Times New Roman" w:cs="Times New Roman" w:eastAsia="Times New Roman" w:hAnsi="Times New Roman"/>
          <w:sz w:val="13"/>
          <w:szCs w:val="13"/>
          <w:b w:val="1"/>
          <w:bCs w:val="1"/>
          <w:i w:val="1"/>
          <w:iCs w:val="1"/>
          <w:color w:val="auto"/>
        </w:rPr>
      </w:pPr>
    </w:p>
    <w:p>
      <w:pPr>
        <w:ind w:left="2000" w:right="579"/>
        <w:spacing w:after="0" w:line="254"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A change in any of the terms or conditions of share-based payment awards is accounted for as a modification of awards. The Group measures the incremental compensation cost of a modification as the excess of the fair value of the modified awards over the fair value of the original awards immediately before its terms are modified, based on the share price and other pertinent factors at the modification date. For vested awards, the Group recognizes incremental compensation cost in the period the modification occurred. For unvested awards, the Company recognizes, over the remaining requisite service period, the sum of the incremental compensation cost and the remaining unrecognized compensation cost for the original award on the modification date. If the fair value of the modified award is lower than the fair value of the original award immediately before modification, the minimum compensation cost the Group recognizes is the cost of the original award.</w:t>
      </w:r>
    </w:p>
    <w:p>
      <w:pPr>
        <w:spacing w:after="0" w:line="8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color w:val="auto"/>
        </w:rPr>
        <w:t>F- 31</w:t>
      </w:r>
    </w:p>
    <w:p>
      <w:pPr>
        <w:sectPr>
          <w:pgSz w:w="11900" w:h="16838" w:orient="portrait"/>
          <w:cols w:equalWidth="0" w:num="1">
            <w:col w:w="10159"/>
          </w:cols>
          <w:pgMar w:left="300" w:top="388" w:right="1440"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5">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 (CONTINUED)</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6">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7" w:lineRule="exact"/>
        <w:rPr>
          <w:sz w:val="20"/>
          <w:szCs w:val="20"/>
          <w:color w:val="auto"/>
        </w:rPr>
      </w:pPr>
    </w:p>
    <w:p>
      <w:pPr>
        <w:ind w:left="1980" w:hanging="304"/>
        <w:spacing w:after="0"/>
        <w:tabs>
          <w:tab w:leader="none" w:pos="1980" w:val="left"/>
        </w:tabs>
        <w:numPr>
          <w:ilvl w:val="0"/>
          <w:numId w:val="11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Summary of Significant Accounting Policies (Continued)</w:t>
      </w:r>
    </w:p>
    <w:p>
      <w:pPr>
        <w:spacing w:after="0" w:line="11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(ab)  Employee benefit expenses</w:t>
      </w:r>
    </w:p>
    <w:p>
      <w:pPr>
        <w:spacing w:after="0" w:line="88" w:lineRule="exact"/>
        <w:rPr>
          <w:sz w:val="20"/>
          <w:szCs w:val="20"/>
          <w:color w:val="auto"/>
        </w:rPr>
      </w:pPr>
    </w:p>
    <w:p>
      <w:pPr>
        <w:ind w:left="2000" w:right="639"/>
        <w:spacing w:after="0" w:line="255" w:lineRule="auto"/>
        <w:rPr>
          <w:sz w:val="20"/>
          <w:szCs w:val="20"/>
          <w:color w:val="auto"/>
        </w:rPr>
      </w:pPr>
      <w:r>
        <w:rPr>
          <w:rFonts w:ascii="Times New Roman" w:cs="Times New Roman" w:eastAsia="Times New Roman" w:hAnsi="Times New Roman"/>
          <w:sz w:val="13"/>
          <w:szCs w:val="13"/>
          <w:color w:val="auto"/>
        </w:rPr>
        <w:t>Full time employees of the Group in the PRC participate in a government mandated multi-employer defined contribution plan pursuant to which certain pension benefits, medical care, unemployment insurance, employee housing fund, maternity insurance and employment injury insurance are provided to employees. Chinese labor regulations require that PRC subsidiaries and VIEs of the Group make contributions to the government for these benefits based on certain percentages of the employees’ salaries. The Group has no legal obligation for the benefits beyond the contributions. The total expenses the Group incurred for the plan were RMB8,637, RMB4,022 and RMB10,262 (US$1,610) for the years ended December 31, 2019, 2020 and 2021, respectively.</w:t>
      </w:r>
    </w:p>
    <w:p>
      <w:pPr>
        <w:spacing w:after="0" w:line="239" w:lineRule="exact"/>
        <w:rPr>
          <w:sz w:val="20"/>
          <w:szCs w:val="20"/>
          <w:color w:val="auto"/>
        </w:rPr>
      </w:pPr>
    </w:p>
    <w:p>
      <w:pPr>
        <w:ind w:left="1680"/>
        <w:spacing w:after="0"/>
        <w:tabs>
          <w:tab w:leader="none" w:pos="1960" w:val="left"/>
        </w:tabs>
        <w:rPr>
          <w:sz w:val="20"/>
          <w:szCs w:val="20"/>
          <w:color w:val="auto"/>
        </w:rPr>
      </w:pPr>
      <w:r>
        <w:rPr>
          <w:rFonts w:ascii="Times New Roman" w:cs="Times New Roman" w:eastAsia="Times New Roman" w:hAnsi="Times New Roman"/>
          <w:sz w:val="13"/>
          <w:szCs w:val="13"/>
          <w:b w:val="1"/>
          <w:bCs w:val="1"/>
          <w:i w:val="1"/>
          <w:iCs w:val="1"/>
          <w:color w:val="auto"/>
        </w:rPr>
        <w:t>(ac)</w:t>
        <w:tab/>
        <w:t>Statutory reserve</w:t>
      </w:r>
    </w:p>
    <w:p>
      <w:pPr>
        <w:spacing w:after="0" w:line="8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Group’s PRC entities are required to make appropriations to certain non-distributable reserve funds.</w:t>
      </w:r>
    </w:p>
    <w:p>
      <w:pPr>
        <w:spacing w:after="0" w:line="84" w:lineRule="exact"/>
        <w:rPr>
          <w:sz w:val="20"/>
          <w:szCs w:val="20"/>
          <w:color w:val="auto"/>
        </w:rPr>
      </w:pPr>
    </w:p>
    <w:p>
      <w:pPr>
        <w:ind w:left="2000" w:right="559"/>
        <w:spacing w:after="0" w:line="255" w:lineRule="auto"/>
        <w:rPr>
          <w:sz w:val="20"/>
          <w:szCs w:val="20"/>
          <w:color w:val="auto"/>
        </w:rPr>
      </w:pPr>
      <w:r>
        <w:rPr>
          <w:rFonts w:ascii="Times New Roman" w:cs="Times New Roman" w:eastAsia="Times New Roman" w:hAnsi="Times New Roman"/>
          <w:sz w:val="13"/>
          <w:szCs w:val="13"/>
          <w:color w:val="auto"/>
        </w:rPr>
        <w:t>In accordance with the laws applicable to China’s Foreign Investment Enterprises, the Group’s subsidiaries registered as WFOEs have to make appropriations from its after-tax profit (as determined under the Accounting Standards for Business Enterprises as promulgated by the Ministry of Finance of the People’s Republic of China (“PRC GAAP”)) to reserve funds including general reserve fund, and staff bonus and welfare fund. The appropriation to the general reserve fund must be at least 10% of the after-tax profits calculated in accordance with PRC GAAP. Appropriation is not required if the reserve fund has reached 50% of the registered capital of the company. Appropriation to the staff bonus and welfare fund is at the company’s discretion.</w:t>
      </w:r>
    </w:p>
    <w:p>
      <w:pPr>
        <w:spacing w:after="0" w:line="59" w:lineRule="exact"/>
        <w:rPr>
          <w:sz w:val="20"/>
          <w:szCs w:val="20"/>
          <w:color w:val="auto"/>
        </w:rPr>
      </w:pPr>
    </w:p>
    <w:p>
      <w:pPr>
        <w:ind w:left="2000" w:right="659"/>
        <w:spacing w:after="0" w:line="257" w:lineRule="auto"/>
        <w:rPr>
          <w:sz w:val="20"/>
          <w:szCs w:val="20"/>
          <w:color w:val="auto"/>
        </w:rPr>
      </w:pPr>
      <w:r>
        <w:rPr>
          <w:rFonts w:ascii="Times New Roman" w:cs="Times New Roman" w:eastAsia="Times New Roman" w:hAnsi="Times New Roman"/>
          <w:sz w:val="13"/>
          <w:szCs w:val="13"/>
          <w:color w:val="auto"/>
        </w:rPr>
        <w:t>In addition, in accordance with the Company Laws of the PRC, the Group’s entities registered as PRC domestic companies must make appropriations from its after-tax profit as determined under the PRC GAAP to non-distributable reserve funds including a statutory surplus fund and a discretionary surplus fund. The appropriation to the statutory surplus fund must be at least 10% of the after-tax profits as determined under the PRC GAAP. Appropriation is not required if the surplus fund has reached 50% of the registered capital of the company. Appropriation to the discretionary surplus fund is made at the discretion of the company.</w:t>
      </w:r>
    </w:p>
    <w:p>
      <w:pPr>
        <w:spacing w:after="0" w:line="56" w:lineRule="exact"/>
        <w:rPr>
          <w:sz w:val="20"/>
          <w:szCs w:val="20"/>
          <w:color w:val="auto"/>
        </w:rPr>
      </w:pPr>
    </w:p>
    <w:p>
      <w:pPr>
        <w:ind w:left="2000" w:right="659"/>
        <w:spacing w:after="0" w:line="259" w:lineRule="auto"/>
        <w:rPr>
          <w:sz w:val="20"/>
          <w:szCs w:val="20"/>
          <w:color w:val="auto"/>
        </w:rPr>
      </w:pPr>
      <w:r>
        <w:rPr>
          <w:rFonts w:ascii="Times New Roman" w:cs="Times New Roman" w:eastAsia="Times New Roman" w:hAnsi="Times New Roman"/>
          <w:sz w:val="13"/>
          <w:szCs w:val="13"/>
          <w:color w:val="auto"/>
        </w:rPr>
        <w:t>The use of the general reserve fund, statutory surplus fund and discretionary surplus fund are restricted to the off-setting of losses or increasing capital of the respective company. The staff bonus and welfare fund are a liability in nature and is restricted to fund payments of special bonus to staff and for the collective welfare of employees. All these reserves are not allowed to be transferred to the Company in terms of cash dividends, loans or advances, nor can they be distributed except under liquidation.</w:t>
      </w:r>
    </w:p>
    <w:p>
      <w:pPr>
        <w:spacing w:after="0" w:line="55" w:lineRule="exact"/>
        <w:rPr>
          <w:sz w:val="20"/>
          <w:szCs w:val="20"/>
          <w:color w:val="auto"/>
        </w:rPr>
      </w:pPr>
    </w:p>
    <w:p>
      <w:pPr>
        <w:ind w:left="2000" w:right="659"/>
        <w:spacing w:after="0" w:line="278" w:lineRule="auto"/>
        <w:rPr>
          <w:sz w:val="20"/>
          <w:szCs w:val="20"/>
          <w:color w:val="auto"/>
        </w:rPr>
      </w:pPr>
      <w:r>
        <w:rPr>
          <w:rFonts w:ascii="Times New Roman" w:cs="Times New Roman" w:eastAsia="Times New Roman" w:hAnsi="Times New Roman"/>
          <w:sz w:val="13"/>
          <w:szCs w:val="13"/>
          <w:color w:val="auto"/>
        </w:rPr>
        <w:t>For the year ended December 31, 2019, 2020 and 2021, appropriations to general reserve fund and statutory surplus fund amounted to RMB550, nil and RMB156 (US$24), respectively.</w:t>
      </w:r>
    </w:p>
    <w:p>
      <w:pPr>
        <w:spacing w:after="0" w:line="22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(ad)  Comprehensive income (loss)</w:t>
      </w:r>
    </w:p>
    <w:p>
      <w:pPr>
        <w:spacing w:after="0" w:line="88" w:lineRule="exact"/>
        <w:rPr>
          <w:sz w:val="20"/>
          <w:szCs w:val="20"/>
          <w:color w:val="auto"/>
        </w:rPr>
      </w:pPr>
    </w:p>
    <w:p>
      <w:pPr>
        <w:ind w:left="2000" w:right="599"/>
        <w:spacing w:after="0" w:line="255" w:lineRule="auto"/>
        <w:rPr>
          <w:sz w:val="20"/>
          <w:szCs w:val="20"/>
          <w:color w:val="auto"/>
        </w:rPr>
      </w:pPr>
      <w:r>
        <w:rPr>
          <w:rFonts w:ascii="Times New Roman" w:cs="Times New Roman" w:eastAsia="Times New Roman" w:hAnsi="Times New Roman"/>
          <w:sz w:val="13"/>
          <w:szCs w:val="13"/>
          <w:color w:val="auto"/>
        </w:rPr>
        <w:t>Comprehensive income (loss) is defined as the changes in equity of the Group during a period from transactions and other events and circumstances excluding transactions resulting from investments by owners and distributions to owners. Among other disclosures, ASC 220, Comprehensive Income, requires that all items that are required to be recognized under current accounting standards as components of comprehensive income (loss) be reported in a financial statement that is displayed with the same prominence as other financial statements. For each of the periods presented, the Group’s comprehensive income (loss) includes net loss, foreign currency translation adjustments and unrealized and realized gains on available-for-sale debt securities and is presented in the consolidated statements of comprehensive loss.</w:t>
      </w:r>
    </w:p>
    <w:p>
      <w:pPr>
        <w:spacing w:after="0" w:line="239" w:lineRule="exact"/>
        <w:rPr>
          <w:sz w:val="20"/>
          <w:szCs w:val="20"/>
          <w:color w:val="auto"/>
        </w:rPr>
      </w:pPr>
    </w:p>
    <w:p>
      <w:pPr>
        <w:ind w:left="1680"/>
        <w:spacing w:after="0"/>
        <w:tabs>
          <w:tab w:leader="none" w:pos="1960" w:val="left"/>
        </w:tabs>
        <w:rPr>
          <w:sz w:val="20"/>
          <w:szCs w:val="20"/>
          <w:color w:val="auto"/>
        </w:rPr>
      </w:pPr>
      <w:r>
        <w:rPr>
          <w:rFonts w:ascii="Times New Roman" w:cs="Times New Roman" w:eastAsia="Times New Roman" w:hAnsi="Times New Roman"/>
          <w:sz w:val="13"/>
          <w:szCs w:val="13"/>
          <w:b w:val="1"/>
          <w:bCs w:val="1"/>
          <w:i w:val="1"/>
          <w:iCs w:val="1"/>
          <w:color w:val="auto"/>
        </w:rPr>
        <w:t>(ae)</w:t>
        <w:tab/>
        <w:t>Dividends</w:t>
      </w:r>
    </w:p>
    <w:p>
      <w:pPr>
        <w:spacing w:after="0" w:line="8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Dividends are recognized when declared. No dividends were declared for the years ended December 31, 2019, 2020 and 2021, respectively.</w:t>
      </w:r>
    </w:p>
    <w:p>
      <w:pPr>
        <w:spacing w:after="0" w:line="11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color w:val="auto"/>
        </w:rPr>
        <w:t>F- 32</w:t>
      </w:r>
    </w:p>
    <w:p>
      <w:pPr>
        <w:sectPr>
          <w:pgSz w:w="11900" w:h="16838" w:orient="portrait"/>
          <w:cols w:equalWidth="0" w:num="1">
            <w:col w:w="10159"/>
          </w:cols>
          <w:pgMar w:left="300" w:top="388" w:right="1440"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7">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 (CONTINUED)</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8">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7" w:lineRule="exact"/>
        <w:rPr>
          <w:sz w:val="20"/>
          <w:szCs w:val="20"/>
          <w:color w:val="auto"/>
        </w:rPr>
      </w:pPr>
    </w:p>
    <w:p>
      <w:pPr>
        <w:ind w:left="1980" w:hanging="304"/>
        <w:spacing w:after="0"/>
        <w:tabs>
          <w:tab w:leader="none" w:pos="1980" w:val="left"/>
        </w:tabs>
        <w:numPr>
          <w:ilvl w:val="0"/>
          <w:numId w:val="11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Summary of Significant Accounting Policies (Continued)</w:t>
      </w:r>
    </w:p>
    <w:p>
      <w:pPr>
        <w:spacing w:after="0" w:line="111" w:lineRule="exact"/>
        <w:rPr>
          <w:sz w:val="20"/>
          <w:szCs w:val="20"/>
          <w:color w:val="auto"/>
        </w:rPr>
      </w:pPr>
    </w:p>
    <w:p>
      <w:pPr>
        <w:ind w:left="1680"/>
        <w:spacing w:after="0"/>
        <w:tabs>
          <w:tab w:leader="none" w:pos="1960" w:val="left"/>
        </w:tabs>
        <w:rPr>
          <w:sz w:val="20"/>
          <w:szCs w:val="20"/>
          <w:color w:val="auto"/>
        </w:rPr>
      </w:pPr>
      <w:r>
        <w:rPr>
          <w:rFonts w:ascii="Times New Roman" w:cs="Times New Roman" w:eastAsia="Times New Roman" w:hAnsi="Times New Roman"/>
          <w:sz w:val="13"/>
          <w:szCs w:val="13"/>
          <w:b w:val="1"/>
          <w:bCs w:val="1"/>
          <w:i w:val="1"/>
          <w:iCs w:val="1"/>
          <w:color w:val="auto"/>
        </w:rPr>
        <w:t>(af)</w:t>
      </w:r>
      <w:r>
        <w:rPr>
          <w:sz w:val="20"/>
          <w:szCs w:val="20"/>
          <w:color w:val="auto"/>
        </w:rPr>
        <w:tab/>
      </w:r>
      <w:r>
        <w:rPr>
          <w:rFonts w:ascii="Times New Roman" w:cs="Times New Roman" w:eastAsia="Times New Roman" w:hAnsi="Times New Roman"/>
          <w:sz w:val="12"/>
          <w:szCs w:val="12"/>
          <w:b w:val="1"/>
          <w:bCs w:val="1"/>
          <w:i w:val="1"/>
          <w:iCs w:val="1"/>
          <w:color w:val="auto"/>
        </w:rPr>
        <w:t>Loss per share</w:t>
      </w:r>
    </w:p>
    <w:p>
      <w:pPr>
        <w:spacing w:after="0" w:line="88" w:lineRule="exact"/>
        <w:rPr>
          <w:sz w:val="20"/>
          <w:szCs w:val="20"/>
          <w:color w:val="auto"/>
        </w:rPr>
      </w:pPr>
    </w:p>
    <w:p>
      <w:pPr>
        <w:ind w:left="2000" w:right="699"/>
        <w:spacing w:after="0" w:line="255" w:lineRule="auto"/>
        <w:rPr>
          <w:sz w:val="20"/>
          <w:szCs w:val="20"/>
          <w:color w:val="auto"/>
        </w:rPr>
      </w:pPr>
      <w:r>
        <w:rPr>
          <w:rFonts w:ascii="Times New Roman" w:cs="Times New Roman" w:eastAsia="Times New Roman" w:hAnsi="Times New Roman"/>
          <w:sz w:val="13"/>
          <w:szCs w:val="13"/>
          <w:color w:val="auto"/>
        </w:rPr>
        <w:t>In accordance with ASC 260 (“ASC 260”), Earnings per Share, basic loss per share is computed by dividing net loss attributable to ordinary shareholders by the weighted average number of ordinary shares outstanding during the period using the two-class method. Under the two-class method, net loss is allocated between ordinary shares, and other participating securities based on their participating rights. The Company’s Preferred Shares (Note 18) are participating securities prior to their automatic conversion to ordinary shares upon the Company’s IPO. Diluted loss per share is calculated by dividing net loss attributable to ordinary shareholders as adjusted for the effect of dilutive ordinary equivalent shares, if any, by the weighted average number of ordinary and dilutive ordinary equivalent shares outstanding during the period.</w:t>
      </w:r>
    </w:p>
    <w:p>
      <w:pPr>
        <w:spacing w:after="0" w:line="59" w:lineRule="exact"/>
        <w:rPr>
          <w:sz w:val="20"/>
          <w:szCs w:val="20"/>
          <w:color w:val="auto"/>
        </w:rPr>
      </w:pPr>
    </w:p>
    <w:p>
      <w:pPr>
        <w:ind w:left="2000" w:right="579"/>
        <w:spacing w:after="0" w:line="253" w:lineRule="auto"/>
        <w:rPr>
          <w:sz w:val="20"/>
          <w:szCs w:val="20"/>
          <w:color w:val="auto"/>
        </w:rPr>
      </w:pPr>
      <w:r>
        <w:rPr>
          <w:rFonts w:ascii="Times New Roman" w:cs="Times New Roman" w:eastAsia="Times New Roman" w:hAnsi="Times New Roman"/>
          <w:sz w:val="13"/>
          <w:szCs w:val="13"/>
          <w:color w:val="auto"/>
        </w:rPr>
        <w:t>For the periods before the Company’s IPO on December 12, 2019 and the automatic conversion of the redeemable convertible preferred shares (Note 18) into ordinary shares, the computation of basic loss per share using the two-class method was not applicable as the Group was in a net loss position and the redeemable convertible preferred shares, being participating securities, did not have contractual rights and obligations to share in the losses of the Group. For the years ended December 31, 2020 and 2021, the two-class method is applicable because the Group has two classes of ordinary shares outstanding, Class A and Class B ordinary shares, respectively. The participating rights (liquidation and dividend rights) of the holders of the Company’s Class A and Class B ordinary shares are identical, except with respect to voting and conversion (Note 19). As a result, and in accordance with ASC 260, the undistributed loss for each year is allocated based on the contractual participation rights of the Class A and Class B ordinary shares, respectively. As the liquidation and dividend rights are identical, the undistributed loss is allocated on a proportionate basis.</w:t>
      </w:r>
    </w:p>
    <w:p>
      <w:pPr>
        <w:spacing w:after="0" w:line="60" w:lineRule="exact"/>
        <w:rPr>
          <w:sz w:val="20"/>
          <w:szCs w:val="20"/>
          <w:color w:val="auto"/>
        </w:rPr>
      </w:pPr>
    </w:p>
    <w:p>
      <w:pPr>
        <w:ind w:left="2000" w:right="579"/>
        <w:spacing w:after="0" w:line="259" w:lineRule="auto"/>
        <w:rPr>
          <w:sz w:val="20"/>
          <w:szCs w:val="20"/>
          <w:color w:val="auto"/>
        </w:rPr>
      </w:pPr>
      <w:r>
        <w:rPr>
          <w:rFonts w:ascii="Times New Roman" w:cs="Times New Roman" w:eastAsia="Times New Roman" w:hAnsi="Times New Roman"/>
          <w:sz w:val="13"/>
          <w:szCs w:val="13"/>
          <w:color w:val="auto"/>
        </w:rPr>
        <w:t>Ordinary equivalent shares consist of shares issuable upon the conversion of the redeemable convertible preferred shares using the if-converted method, unvested restricted shares units, and ordinary shares issuable upon the exercise of outstanding share options (using the treasury stock method). Ordinary equivalent shares are excluded from the computation of diluted loss per share for all periods presented as their effects would be anti-dilutive.</w:t>
      </w:r>
    </w:p>
    <w:p>
      <w:pPr>
        <w:spacing w:after="0" w:line="23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(ag)  Modification of redeemable convertible preferred shares</w:t>
      </w:r>
    </w:p>
    <w:p>
      <w:pPr>
        <w:spacing w:after="0" w:line="88" w:lineRule="exact"/>
        <w:rPr>
          <w:sz w:val="20"/>
          <w:szCs w:val="20"/>
          <w:color w:val="auto"/>
        </w:rPr>
      </w:pPr>
    </w:p>
    <w:p>
      <w:pPr>
        <w:ind w:left="2000" w:right="559"/>
        <w:spacing w:after="0" w:line="253" w:lineRule="auto"/>
        <w:rPr>
          <w:sz w:val="20"/>
          <w:szCs w:val="20"/>
          <w:color w:val="auto"/>
        </w:rPr>
      </w:pPr>
      <w:r>
        <w:rPr>
          <w:rFonts w:ascii="Times New Roman" w:cs="Times New Roman" w:eastAsia="Times New Roman" w:hAnsi="Times New Roman"/>
          <w:sz w:val="13"/>
          <w:szCs w:val="13"/>
          <w:color w:val="auto"/>
        </w:rPr>
        <w:t>The Group assesses whether an amendment to the terms of its Redeemable Convertible Preferred Shares is an extinguishment or a modification using the fair value model. If the fair value of the redeemable convertible preferred shares immediately after the amendment changes by more than 10 percent from the fair value of the redeemable convertible preferred shares immediately before the amendment, the amendment is considered an extinguishment. An amendment that does not meet this criterion is a modification. When redeemable convertible preferred shares are extinguished, the difference between the fair value of the consideration transferred to the redeemable convertible preferred shareholders and the carrying amount of the redeemable convertible preferred shares (net of issuance costs) is treated as a deemed dividend to the redeemable convertible preferred shareholders. When redeemable convertible preferred shares are modified, the increase of the fair value immediately after the amendment is treated as a deemed dividend to the redeemable convertible preferred shareholders. Modifications that result in a decrease in the fair value of the redeemable convertible preferred shares are not recognized.</w:t>
      </w:r>
    </w:p>
    <w:p>
      <w:pPr>
        <w:spacing w:after="0" w:line="8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color w:val="auto"/>
        </w:rPr>
        <w:t>F- 33</w:t>
      </w:r>
    </w:p>
    <w:p>
      <w:pPr>
        <w:sectPr>
          <w:pgSz w:w="11900" w:h="16838" w:orient="portrait"/>
          <w:cols w:equalWidth="0" w:num="1">
            <w:col w:w="10159"/>
          </w:cols>
          <w:pgMar w:left="300" w:top="388" w:right="1440"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9">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 (CONTINUED)</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0">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7" w:lineRule="exact"/>
        <w:rPr>
          <w:sz w:val="20"/>
          <w:szCs w:val="20"/>
          <w:color w:val="auto"/>
        </w:rPr>
      </w:pPr>
    </w:p>
    <w:p>
      <w:pPr>
        <w:ind w:left="1980" w:hanging="304"/>
        <w:spacing w:after="0"/>
        <w:tabs>
          <w:tab w:leader="none" w:pos="1980" w:val="left"/>
        </w:tabs>
        <w:numPr>
          <w:ilvl w:val="0"/>
          <w:numId w:val="11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Summary of Significant Accounting Policies (Continued)</w:t>
      </w:r>
    </w:p>
    <w:p>
      <w:pPr>
        <w:spacing w:after="0" w:line="11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(ah)  Segment reporting</w:t>
      </w:r>
    </w:p>
    <w:p>
      <w:pPr>
        <w:spacing w:after="0" w:line="88" w:lineRule="exact"/>
        <w:rPr>
          <w:sz w:val="20"/>
          <w:szCs w:val="20"/>
          <w:color w:val="auto"/>
        </w:rPr>
      </w:pPr>
    </w:p>
    <w:p>
      <w:pPr>
        <w:ind w:left="2000" w:right="579"/>
        <w:spacing w:after="0" w:line="257" w:lineRule="auto"/>
        <w:rPr>
          <w:sz w:val="20"/>
          <w:szCs w:val="20"/>
          <w:color w:val="auto"/>
        </w:rPr>
      </w:pPr>
      <w:r>
        <w:rPr>
          <w:rFonts w:ascii="Times New Roman" w:cs="Times New Roman" w:eastAsia="Times New Roman" w:hAnsi="Times New Roman"/>
          <w:sz w:val="13"/>
          <w:szCs w:val="13"/>
          <w:color w:val="auto"/>
        </w:rPr>
        <w:t>In accordance with ASC 280 (“ASC 280”), Segment Reporting, operating segments are defined as components of an enterprise about which separate financial information is available that is evaluated regularly by the chief operating decision maker (“CODM”), or decision-making group, in deciding how to allocate resources and in assessing performance. The Group’s Chief Executive Officer as the CODM reviews the consolidated financial results when making decisions about allocating resources and assessing the performance of the Group as a whole and hence, the Group has only one reportable segment. The Group’s long-lived assets are substantially all located in the PRC.</w:t>
      </w:r>
    </w:p>
    <w:p>
      <w:pPr>
        <w:spacing w:after="0" w:line="5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following table presents revenue by customer incorporation location for the years ended December 31, 2019, 2020 and 2021, respectively:</w:t>
      </w:r>
    </w:p>
    <w:p>
      <w:pPr>
        <w:spacing w:after="0" w:line="177" w:lineRule="exact"/>
        <w:rPr>
          <w:sz w:val="20"/>
          <w:szCs w:val="20"/>
          <w:color w:val="auto"/>
        </w:rPr>
      </w:pPr>
    </w:p>
    <w:tbl>
      <w:tblPr>
        <w:tblLayout w:type="fixed"/>
        <w:tblInd w:w="2000" w:type="dxa"/>
        <w:tblCellMar>
          <w:top w:w="0" w:type="dxa"/>
          <w:left w:w="0" w:type="dxa"/>
          <w:bottom w:w="0" w:type="dxa"/>
          <w:right w:w="0" w:type="dxa"/>
        </w:tblCellMar>
      </w:tblPr>
      <w:tr>
        <w:trPr>
          <w:trHeight w:val="124"/>
        </w:trPr>
        <w:tc>
          <w:tcPr>
            <w:tcW w:w="4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9"/>
          </w:tcPr>
          <w:p>
            <w:pPr>
              <w:jc w:val="right"/>
              <w:ind w:right="62"/>
              <w:spacing w:after="0"/>
              <w:rPr>
                <w:sz w:val="20"/>
                <w:szCs w:val="20"/>
                <w:color w:val="auto"/>
              </w:rPr>
            </w:pPr>
            <w:r>
              <w:rPr>
                <w:rFonts w:ascii="Times New Roman" w:cs="Times New Roman" w:eastAsia="Times New Roman" w:hAnsi="Times New Roman"/>
                <w:sz w:val="10"/>
                <w:szCs w:val="10"/>
                <w:b w:val="1"/>
                <w:bCs w:val="1"/>
                <w:color w:val="auto"/>
              </w:rPr>
              <w:t>For the year ended December 31,</w:t>
            </w: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97"/>
        </w:trPr>
        <w:tc>
          <w:tcPr>
            <w:tcW w:w="4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2"/>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gridSpan w:val="3"/>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gridSpan w:val="2"/>
          </w:tcPr>
          <w:p>
            <w:pPr>
              <w:jc w:val="right"/>
              <w:ind w:right="102"/>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97"/>
        </w:trPr>
        <w:tc>
          <w:tcPr>
            <w:tcW w:w="4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top w:val="single" w:sz="8" w:color="auto"/>
            </w:tcBorders>
            <w:gridSpan w:val="2"/>
          </w:tcPr>
          <w:p>
            <w:pPr>
              <w:jc w:val="right"/>
              <w:ind w:right="160"/>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300" w:type="dxa"/>
            <w:vAlign w:val="bottom"/>
            <w:tcBorders>
              <w:top w:val="single" w:sz="8" w:color="auto"/>
            </w:tcBorders>
            <w:gridSpan w:val="2"/>
          </w:tcPr>
          <w:p>
            <w:pPr>
              <w:jc w:val="right"/>
              <w:ind w:right="15"/>
              <w:spacing w:after="0" w:line="97" w:lineRule="exact"/>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top w:val="single" w:sz="8" w:color="auto"/>
            </w:tcBorders>
            <w:gridSpan w:val="2"/>
          </w:tcPr>
          <w:p>
            <w:pPr>
              <w:jc w:val="right"/>
              <w:ind w:right="160"/>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300" w:type="dxa"/>
            <w:vAlign w:val="bottom"/>
            <w:tcBorders>
              <w:top w:val="single" w:sz="8" w:color="auto"/>
            </w:tcBorders>
            <w:gridSpan w:val="2"/>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Borders>
              <w:top w:val="single" w:sz="8" w:color="auto"/>
            </w:tcBorders>
          </w:tcPr>
          <w:p>
            <w:pPr>
              <w:jc w:val="right"/>
              <w:ind w:right="42"/>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10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jc w:val="right"/>
              <w:ind w:right="22"/>
              <w:spacing w:after="0" w:line="97" w:lineRule="exact"/>
              <w:rPr>
                <w:sz w:val="20"/>
                <w:szCs w:val="20"/>
                <w:color w:val="auto"/>
              </w:rPr>
            </w:pPr>
            <w:r>
              <w:rPr>
                <w:rFonts w:ascii="Times New Roman" w:cs="Times New Roman" w:eastAsia="Times New Roman" w:hAnsi="Times New Roman"/>
                <w:sz w:val="10"/>
                <w:szCs w:val="10"/>
                <w:b w:val="1"/>
                <w:bCs w:val="1"/>
                <w:color w:val="auto"/>
              </w:rPr>
              <w:t>US$</w:t>
            </w:r>
          </w:p>
        </w:tc>
        <w:tc>
          <w:tcPr>
            <w:tcW w:w="340" w:type="dxa"/>
            <w:vAlign w:val="bottom"/>
            <w:tcBorders>
              <w:top w:val="single" w:sz="8" w:color="auto"/>
            </w:tcBorders>
            <w:gridSpan w:val="2"/>
          </w:tcPr>
          <w:p>
            <w:pPr>
              <w:jc w:val="right"/>
              <w:ind w:right="15"/>
              <w:spacing w:after="0" w:line="97" w:lineRule="exact"/>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8"/>
                <w:szCs w:val="8"/>
                <w:color w:val="auto"/>
              </w:rPr>
            </w:pPr>
          </w:p>
        </w:tc>
      </w:tr>
      <w:tr>
        <w:trPr>
          <w:trHeight w:val="15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PRC</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109,760</w:t>
            </w:r>
          </w:p>
        </w:tc>
        <w:tc>
          <w:tcPr>
            <w:tcW w:w="4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164,153</w:t>
            </w:r>
          </w:p>
        </w:tc>
        <w:tc>
          <w:tcPr>
            <w:tcW w:w="4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49,683</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7,796</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156"/>
        </w:trPr>
        <w:tc>
          <w:tcPr>
            <w:tcW w:w="4180" w:type="dxa"/>
            <w:vAlign w:val="bottom"/>
          </w:tcPr>
          <w:p>
            <w:pPr>
              <w:spacing w:after="0"/>
              <w:rPr>
                <w:sz w:val="20"/>
                <w:szCs w:val="20"/>
                <w:color w:val="auto"/>
              </w:rPr>
            </w:pPr>
            <w:r>
              <w:rPr>
                <w:rFonts w:ascii="Times New Roman" w:cs="Times New Roman" w:eastAsia="Times New Roman" w:hAnsi="Times New Roman"/>
                <w:sz w:val="13"/>
                <w:szCs w:val="13"/>
                <w:color w:val="auto"/>
              </w:rPr>
              <w:t>East Asia</w:t>
            </w:r>
          </w:p>
        </w:tc>
        <w:tc>
          <w:tcPr>
            <w:tcW w:w="8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38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4,550</w:t>
            </w:r>
          </w:p>
        </w:tc>
        <w:tc>
          <w:tcPr>
            <w:tcW w:w="40" w:type="dxa"/>
            <w:vAlign w:val="bottom"/>
          </w:tcPr>
          <w:p>
            <w:pPr>
              <w:spacing w:after="0"/>
              <w:rPr>
                <w:sz w:val="13"/>
                <w:szCs w:val="13"/>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4,404</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691</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5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Europe</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5,035</w:t>
            </w:r>
          </w:p>
        </w:tc>
        <w:tc>
          <w:tcPr>
            <w:tcW w:w="4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2,388</w:t>
            </w:r>
          </w:p>
        </w:tc>
        <w:tc>
          <w:tcPr>
            <w:tcW w:w="4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2,199</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56"/>
        </w:trPr>
        <w:tc>
          <w:tcPr>
            <w:tcW w:w="4180" w:type="dxa"/>
            <w:vAlign w:val="bottom"/>
          </w:tcPr>
          <w:p>
            <w:pPr>
              <w:spacing w:after="0"/>
              <w:rPr>
                <w:sz w:val="20"/>
                <w:szCs w:val="20"/>
                <w:color w:val="auto"/>
              </w:rPr>
            </w:pPr>
            <w:r>
              <w:rPr>
                <w:rFonts w:ascii="Times New Roman" w:cs="Times New Roman" w:eastAsia="Times New Roman" w:hAnsi="Times New Roman"/>
                <w:sz w:val="13"/>
                <w:szCs w:val="13"/>
                <w:color w:val="auto"/>
              </w:rPr>
              <w:t>Other</w:t>
            </w: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7,019</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9,002</w:t>
            </w:r>
          </w:p>
        </w:tc>
        <w:tc>
          <w:tcPr>
            <w:tcW w:w="40" w:type="dxa"/>
            <w:vAlign w:val="bottom"/>
          </w:tcPr>
          <w:p>
            <w:pPr>
              <w:spacing w:after="0"/>
              <w:rPr>
                <w:sz w:val="13"/>
                <w:szCs w:val="13"/>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521</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4"/>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net revenues</w:t>
            </w: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shd w:val="clear" w:color="auto" w:fill="CCEEFF"/>
              </w:rPr>
              <w:t>121,814</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3"/>
                <w:shd w:val="clear" w:color="auto" w:fill="CCEEFF"/>
              </w:rPr>
              <w:t>%</w:t>
            </w: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180,093</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3"/>
                <w:shd w:val="clear" w:color="auto" w:fill="CCEEFF"/>
              </w:rPr>
              <w:t>%</w:t>
            </w: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shd w:val="clear" w:color="auto" w:fill="CCEEFF"/>
              </w:rPr>
              <w:t>56,807</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shd w:val="clear" w:color="auto" w:fill="CCEEFF"/>
              </w:rPr>
              <w:t>8,914</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3"/>
                <w:shd w:val="clear" w:color="auto" w:fill="CCEEFF"/>
              </w:rPr>
              <w:t>%</w:t>
            </w:r>
          </w:p>
        </w:tc>
      </w:tr>
    </w:tbl>
    <w:p>
      <w:pPr>
        <w:spacing w:after="0" w:line="256" w:lineRule="exact"/>
        <w:rPr>
          <w:sz w:val="20"/>
          <w:szCs w:val="20"/>
          <w:color w:val="auto"/>
        </w:rPr>
      </w:pPr>
    </w:p>
    <w:p>
      <w:pPr>
        <w:ind w:left="1680"/>
        <w:spacing w:after="0"/>
        <w:tabs>
          <w:tab w:leader="none" w:pos="1960" w:val="left"/>
        </w:tabs>
        <w:rPr>
          <w:sz w:val="20"/>
          <w:szCs w:val="20"/>
          <w:color w:val="auto"/>
        </w:rPr>
      </w:pPr>
      <w:r>
        <w:rPr>
          <w:rFonts w:ascii="Times New Roman" w:cs="Times New Roman" w:eastAsia="Times New Roman" w:hAnsi="Times New Roman"/>
          <w:sz w:val="13"/>
          <w:szCs w:val="13"/>
          <w:b w:val="1"/>
          <w:bCs w:val="1"/>
          <w:i w:val="1"/>
          <w:iCs w:val="1"/>
          <w:color w:val="auto"/>
        </w:rPr>
        <w:t>(ai)</w:t>
      </w:r>
      <w:r>
        <w:rPr>
          <w:sz w:val="20"/>
          <w:szCs w:val="20"/>
          <w:color w:val="auto"/>
        </w:rPr>
        <w:tab/>
      </w:r>
      <w:r>
        <w:rPr>
          <w:rFonts w:ascii="Times New Roman" w:cs="Times New Roman" w:eastAsia="Times New Roman" w:hAnsi="Times New Roman"/>
          <w:sz w:val="12"/>
          <w:szCs w:val="12"/>
          <w:b w:val="1"/>
          <w:bCs w:val="1"/>
          <w:i w:val="1"/>
          <w:iCs w:val="1"/>
          <w:color w:val="auto"/>
        </w:rPr>
        <w:t>Development and purchase cooperative arrangement</w:t>
      </w:r>
    </w:p>
    <w:p>
      <w:pPr>
        <w:spacing w:after="0" w:line="88" w:lineRule="exact"/>
        <w:rPr>
          <w:sz w:val="20"/>
          <w:szCs w:val="20"/>
          <w:color w:val="auto"/>
        </w:rPr>
      </w:pPr>
    </w:p>
    <w:p>
      <w:pPr>
        <w:ind w:left="2000" w:right="599"/>
        <w:spacing w:after="0" w:line="252" w:lineRule="auto"/>
        <w:rPr>
          <w:sz w:val="20"/>
          <w:szCs w:val="20"/>
          <w:color w:val="auto"/>
        </w:rPr>
      </w:pPr>
      <w:r>
        <w:rPr>
          <w:rFonts w:ascii="Times New Roman" w:cs="Times New Roman" w:eastAsia="Times New Roman" w:hAnsi="Times New Roman"/>
          <w:sz w:val="13"/>
          <w:szCs w:val="13"/>
          <w:color w:val="auto"/>
        </w:rPr>
        <w:t>In April 2016, the Group entered into a development and purchase cooperative arrangement with a U.S. biotechnology company (“Biotech Customer”) to design, develop, test-run and manufacture an organ transport e-helicopter system, which includes an operational interface with air traffic control, associated customized passenger-grade AAVs and recharging infrastructure. The Biotech Customer is responsible for obtaining the approvals of the Federal Aviation Administration (“FAA”) and the Food and Drug Administration (“FDA”) relating to the import and operations of the AAV products. Upon the Group’s achievement of agreed-upon milestones in the agreement, Biotech Customer will make investments of US$14,000 and payments totaling US$36,000. The agreement may be terminated at Biotech Customer’s discretion upon written notice. In February 2019, although the first milestone was not yet achieved, the Group and the Biotech Customer entered into an amendment whereby the Biotech Customer made the initial investment of US$7,000 (RMB 48,733 equivalent) to subscribe for 1,189,397 Series C redeemable convertible preferred shares of the Company (Note 18) in full satisfaction of its obligation to invest in the Group following the successful attainment of the first milestone, and all other terms and conditions of the agreement remain unchanged. As of December 31, 2021, none of the milestones have been achieved and the agreement, as amend, remains in effect.</w:t>
      </w:r>
    </w:p>
    <w:p>
      <w:pPr>
        <w:spacing w:after="0" w:line="9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color w:val="auto"/>
        </w:rPr>
        <w:t>F- 34</w:t>
      </w:r>
    </w:p>
    <w:p>
      <w:pPr>
        <w:sectPr>
          <w:pgSz w:w="11900" w:h="16838" w:orient="portrait"/>
          <w:cols w:equalWidth="0" w:num="1">
            <w:col w:w="10159"/>
          </w:cols>
          <w:pgMar w:left="300" w:top="388" w:right="1440"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1">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 (CONTINUED)</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2">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7" w:lineRule="exact"/>
        <w:rPr>
          <w:sz w:val="20"/>
          <w:szCs w:val="20"/>
          <w:color w:val="auto"/>
        </w:rPr>
      </w:pPr>
    </w:p>
    <w:p>
      <w:pPr>
        <w:ind w:left="1980" w:hanging="304"/>
        <w:spacing w:after="0"/>
        <w:tabs>
          <w:tab w:leader="none" w:pos="1980" w:val="left"/>
        </w:tabs>
        <w:numPr>
          <w:ilvl w:val="0"/>
          <w:numId w:val="11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Summary of Significant Accounting Policies (Continued)</w:t>
      </w:r>
    </w:p>
    <w:p>
      <w:pPr>
        <w:spacing w:after="0" w:line="111" w:lineRule="exact"/>
        <w:rPr>
          <w:sz w:val="20"/>
          <w:szCs w:val="20"/>
          <w:color w:val="auto"/>
        </w:rPr>
      </w:pPr>
    </w:p>
    <w:p>
      <w:pPr>
        <w:ind w:left="1680"/>
        <w:spacing w:after="0"/>
        <w:tabs>
          <w:tab w:leader="none" w:pos="1960" w:val="left"/>
        </w:tabs>
        <w:rPr>
          <w:sz w:val="20"/>
          <w:szCs w:val="20"/>
          <w:color w:val="auto"/>
        </w:rPr>
      </w:pPr>
      <w:r>
        <w:rPr>
          <w:rFonts w:ascii="Times New Roman" w:cs="Times New Roman" w:eastAsia="Times New Roman" w:hAnsi="Times New Roman"/>
          <w:sz w:val="13"/>
          <w:szCs w:val="13"/>
          <w:b w:val="1"/>
          <w:bCs w:val="1"/>
          <w:i w:val="1"/>
          <w:iCs w:val="1"/>
          <w:color w:val="auto"/>
        </w:rPr>
        <w:t>(ai)</w:t>
        <w:tab/>
        <w:t>Collaborative arrangement (Continued)</w:t>
      </w:r>
    </w:p>
    <w:p>
      <w:pPr>
        <w:spacing w:after="0" w:line="195" w:lineRule="exact"/>
        <w:rPr>
          <w:sz w:val="20"/>
          <w:szCs w:val="20"/>
          <w:color w:val="auto"/>
        </w:rPr>
      </w:pPr>
    </w:p>
    <w:p>
      <w:pPr>
        <w:ind w:left="2000" w:right="559"/>
        <w:spacing w:after="0" w:line="253" w:lineRule="auto"/>
        <w:rPr>
          <w:sz w:val="20"/>
          <w:szCs w:val="20"/>
          <w:color w:val="auto"/>
        </w:rPr>
      </w:pPr>
      <w:r>
        <w:rPr>
          <w:rFonts w:ascii="Times New Roman" w:cs="Times New Roman" w:eastAsia="Times New Roman" w:hAnsi="Times New Roman"/>
          <w:sz w:val="13"/>
          <w:szCs w:val="13"/>
          <w:color w:val="auto"/>
        </w:rPr>
        <w:t>As part of the same arrangement, the Group may sell 1,000 units of customized AAVs with the organ transport e-helicopter system conforming to the functional specifications by the Biotech Customer for according to a 15-year delivery schedule subject to subsequent purchase amendments. Purchase orders are conditional on the Group achieving a number of performance milestones and the Biotech Customer obtaining required approvals from the FAA and FDA for the internal testing of the AAVs. In December 2018, two amendment contracts were signed to specify the sale of five units of passenger-grade AAVs by the Group to the Biotech Customer for the latter’s testing and training purposes in partial satisfaction of the original agreement. For the years ended December 31, 2019, 2020 and 2021, two, three and zero units of the AAVs were delivered, respectively. Because the Biotech Customer purchased these AAVs as a customer, the Group accounted for the sales of individual AAVs as separate units of account for which revenue from air mobility solutions of RMB3,460, RMB5,137 and nil were recorded for the years ended December 31, 2019, 2020 and 2021, respectively under ASC 606 following the revenue recognition policy noted above.</w:t>
      </w:r>
    </w:p>
    <w:p>
      <w:pPr>
        <w:spacing w:after="0" w:line="241" w:lineRule="exact"/>
        <w:rPr>
          <w:sz w:val="20"/>
          <w:szCs w:val="20"/>
          <w:color w:val="auto"/>
        </w:rPr>
      </w:pPr>
    </w:p>
    <w:p>
      <w:pPr>
        <w:ind w:left="1680"/>
        <w:spacing w:after="0"/>
        <w:tabs>
          <w:tab w:leader="none" w:pos="1960" w:val="left"/>
        </w:tabs>
        <w:rPr>
          <w:sz w:val="20"/>
          <w:szCs w:val="20"/>
          <w:color w:val="auto"/>
        </w:rPr>
      </w:pPr>
      <w:r>
        <w:rPr>
          <w:rFonts w:ascii="Times New Roman" w:cs="Times New Roman" w:eastAsia="Times New Roman" w:hAnsi="Times New Roman"/>
          <w:sz w:val="13"/>
          <w:szCs w:val="13"/>
          <w:b w:val="1"/>
          <w:bCs w:val="1"/>
          <w:i w:val="1"/>
          <w:iCs w:val="1"/>
          <w:color w:val="auto"/>
        </w:rPr>
        <w:t>(aj)</w:t>
        <w:tab/>
        <w:t>Recent accounting pronouncements</w:t>
      </w:r>
    </w:p>
    <w:p>
      <w:pPr>
        <w:spacing w:after="0" w:line="88" w:lineRule="exact"/>
        <w:rPr>
          <w:sz w:val="20"/>
          <w:szCs w:val="20"/>
          <w:color w:val="auto"/>
        </w:rPr>
      </w:pPr>
    </w:p>
    <w:p>
      <w:pPr>
        <w:ind w:left="2000" w:right="579"/>
        <w:spacing w:after="0" w:line="287" w:lineRule="auto"/>
        <w:rPr>
          <w:sz w:val="20"/>
          <w:szCs w:val="20"/>
          <w:color w:val="auto"/>
        </w:rPr>
      </w:pPr>
      <w:r>
        <w:rPr>
          <w:rFonts w:ascii="Times New Roman" w:cs="Times New Roman" w:eastAsia="Times New Roman" w:hAnsi="Times New Roman"/>
          <w:sz w:val="12"/>
          <w:szCs w:val="12"/>
          <w:color w:val="auto"/>
        </w:rPr>
        <w:t>The Company is an emerging growth company (“EGC”) as defined by the Jumpstart Our Business Startups Act (“JOBS Act”). The JOBS Act provides that an EGC can take advantage of an extended transition period for complying with new or revised accounting standards. This allows an EGC to delay adoption of certain accounting standards until those standards would otherwise apply to private companies. The Group elected to take advantage of the extended transition period. However, this election will not apply should the Group cease to meet the definition of an EGC.</w:t>
      </w:r>
    </w:p>
    <w:p>
      <w:pPr>
        <w:spacing w:after="0" w:line="38" w:lineRule="exact"/>
        <w:rPr>
          <w:sz w:val="20"/>
          <w:szCs w:val="20"/>
          <w:color w:val="auto"/>
        </w:rPr>
      </w:pPr>
    </w:p>
    <w:p>
      <w:pPr>
        <w:ind w:left="2000" w:right="599"/>
        <w:spacing w:after="0" w:line="278" w:lineRule="auto"/>
        <w:rPr>
          <w:sz w:val="20"/>
          <w:szCs w:val="20"/>
          <w:color w:val="auto"/>
        </w:rPr>
      </w:pPr>
      <w:r>
        <w:rPr>
          <w:rFonts w:ascii="Times New Roman" w:cs="Times New Roman" w:eastAsia="Times New Roman" w:hAnsi="Times New Roman"/>
          <w:sz w:val="12"/>
          <w:szCs w:val="12"/>
          <w:color w:val="auto"/>
        </w:rPr>
        <w:t xml:space="preserve">In February 2016, the FASB issued ASU 2016-02 (“ASU 2016-02”), </w:t>
      </w:r>
      <w:r>
        <w:rPr>
          <w:rFonts w:ascii="Times New Roman" w:cs="Times New Roman" w:eastAsia="Times New Roman" w:hAnsi="Times New Roman"/>
          <w:sz w:val="12"/>
          <w:szCs w:val="12"/>
          <w:i w:val="1"/>
          <w:iCs w:val="1"/>
          <w:color w:val="auto"/>
        </w:rPr>
        <w:t>Leases</w:t>
      </w:r>
      <w:r>
        <w:rPr>
          <w:rFonts w:ascii="Times New Roman" w:cs="Times New Roman" w:eastAsia="Times New Roman" w:hAnsi="Times New Roman"/>
          <w:sz w:val="12"/>
          <w:szCs w:val="12"/>
          <w:color w:val="auto"/>
        </w:rPr>
        <w:t xml:space="preserve">, which specifies the accounting for leases. For operating leases, ASU 2016-02 requires a lessee to recognize a right-of-use asset and a lease liability, initially measured at the present value of the lease payments, in its balance sheet. The standard also requires a lessee to recognize a single lease cost, calculated so that the cost of the lease is allocated over the lease term, on a generally straight-line basis. Per ASU 2019-10 (“ASU 2019-10”), </w:t>
      </w:r>
      <w:r>
        <w:rPr>
          <w:rFonts w:ascii="Times New Roman" w:cs="Times New Roman" w:eastAsia="Times New Roman" w:hAnsi="Times New Roman"/>
          <w:sz w:val="12"/>
          <w:szCs w:val="12"/>
          <w:i w:val="1"/>
          <w:iCs w:val="1"/>
          <w:color w:val="auto"/>
        </w:rPr>
        <w:t>Financial Instruments-Credit losses (Topic 326), Derivatives, 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Hedging (Topic 815), and Leases (Topic 842) – effective dates, </w:t>
      </w:r>
      <w:r>
        <w:rPr>
          <w:rFonts w:ascii="Times New Roman" w:cs="Times New Roman" w:eastAsia="Times New Roman" w:hAnsi="Times New Roman"/>
          <w:sz w:val="12"/>
          <w:szCs w:val="12"/>
          <w:color w:val="auto"/>
        </w:rPr>
        <w:t>ASU 2016-02 is effective for the Group for annual reporting periods beginning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January 1, 2021 and interim periods beginning January 1, 2022. In June 2020, the FASB issued ASU 2020-05 (“ASU 2020-05”), </w:t>
      </w:r>
      <w:r>
        <w:rPr>
          <w:rFonts w:ascii="Times New Roman" w:cs="Times New Roman" w:eastAsia="Times New Roman" w:hAnsi="Times New Roman"/>
          <w:sz w:val="12"/>
          <w:szCs w:val="12"/>
          <w:i w:val="1"/>
          <w:iCs w:val="1"/>
          <w:color w:val="auto"/>
        </w:rPr>
        <w:t>Revenue from</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Contracts with Customers (Topic 606) and Leases (Topic 842), </w:t>
      </w:r>
      <w:r>
        <w:rPr>
          <w:rFonts w:ascii="Times New Roman" w:cs="Times New Roman" w:eastAsia="Times New Roman" w:hAnsi="Times New Roman"/>
          <w:sz w:val="12"/>
          <w:szCs w:val="12"/>
          <w:color w:val="auto"/>
        </w:rPr>
        <w:t>to defer the effective date of ASU 2016-02 for the Group annual reporting periods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beginning January 1, 2022, and interim periods within beginning January 1, 2023. Early application continues to be permitted.</w:t>
      </w:r>
    </w:p>
    <w:p>
      <w:pPr>
        <w:spacing w:after="0" w:line="46" w:lineRule="exact"/>
        <w:rPr>
          <w:sz w:val="20"/>
          <w:szCs w:val="20"/>
          <w:color w:val="auto"/>
        </w:rPr>
      </w:pPr>
    </w:p>
    <w:p>
      <w:pPr>
        <w:ind w:left="2000" w:right="619"/>
        <w:spacing w:after="0" w:line="253" w:lineRule="auto"/>
        <w:rPr>
          <w:sz w:val="20"/>
          <w:szCs w:val="20"/>
          <w:color w:val="auto"/>
        </w:rPr>
      </w:pPr>
      <w:r>
        <w:rPr>
          <w:rFonts w:ascii="Times New Roman" w:cs="Times New Roman" w:eastAsia="Times New Roman" w:hAnsi="Times New Roman"/>
          <w:sz w:val="13"/>
          <w:szCs w:val="13"/>
          <w:color w:val="auto"/>
        </w:rPr>
        <w:t xml:space="preserve">The Group will adopt the new standard using the modified retrospective transition method and will not restate comparative periods. The Group will select optional transition method (from ASU 2018-11, </w:t>
      </w:r>
      <w:r>
        <w:rPr>
          <w:rFonts w:ascii="Times New Roman" w:cs="Times New Roman" w:eastAsia="Times New Roman" w:hAnsi="Times New Roman"/>
          <w:sz w:val="13"/>
          <w:szCs w:val="13"/>
          <w:i w:val="1"/>
          <w:iCs w:val="1"/>
          <w:color w:val="auto"/>
        </w:rPr>
        <w:t>Leases Targeted Improvements</w:t>
      </w:r>
      <w:r>
        <w:rPr>
          <w:rFonts w:ascii="Times New Roman" w:cs="Times New Roman" w:eastAsia="Times New Roman" w:hAnsi="Times New Roman"/>
          <w:sz w:val="13"/>
          <w:szCs w:val="13"/>
          <w:color w:val="auto"/>
        </w:rPr>
        <w:t>) for fiscal years and interim periods within 2022. As permitted under the transition guidance, the Group will adopt the following practical expedients: (1) not to reassess whether an expired or non-lease contract that commenced before January 1, 2022 contained an embedded lease, (2) not to reassess the classification of the leases and remaining lease terms, (3) not to present short-term leases with term of 12 months or less at the commencement date of the lease. Based on the portfolio of leases as of December 31, 2021, a right-of-use asset of approximately RMB24,670 and a lease liability of approximately RMB24,661 will be recognized on the Group’s consolidated balance sheet upon its adoption date of January 1, 2022, primarily relating to the rental of office and production facilities. The Group does not expect any material impact on net assets and the consolidated statement of comprehensive loss as a result of adopting the new standard.</w:t>
      </w:r>
    </w:p>
    <w:p>
      <w:pPr>
        <w:spacing w:after="0" w:line="58" w:lineRule="exact"/>
        <w:rPr>
          <w:sz w:val="20"/>
          <w:szCs w:val="20"/>
          <w:color w:val="auto"/>
        </w:rPr>
      </w:pPr>
    </w:p>
    <w:p>
      <w:pPr>
        <w:ind w:left="2000" w:right="599"/>
        <w:spacing w:after="0" w:line="252" w:lineRule="auto"/>
        <w:rPr>
          <w:sz w:val="20"/>
          <w:szCs w:val="20"/>
          <w:color w:val="auto"/>
        </w:rPr>
      </w:pPr>
      <w:r>
        <w:rPr>
          <w:rFonts w:ascii="Times New Roman" w:cs="Times New Roman" w:eastAsia="Times New Roman" w:hAnsi="Times New Roman"/>
          <w:sz w:val="13"/>
          <w:szCs w:val="13"/>
          <w:color w:val="auto"/>
        </w:rPr>
        <w:t xml:space="preserve">In June 2016, the FASB issued ASU 2016-13 (“ASU 2016-13”), </w:t>
      </w:r>
      <w:r>
        <w:rPr>
          <w:rFonts w:ascii="Times New Roman" w:cs="Times New Roman" w:eastAsia="Times New Roman" w:hAnsi="Times New Roman"/>
          <w:sz w:val="13"/>
          <w:szCs w:val="13"/>
          <w:i w:val="1"/>
          <w:iCs w:val="1"/>
          <w:color w:val="auto"/>
        </w:rPr>
        <w:t>Financial Instruments — Credit Losses</w:t>
      </w:r>
      <w:r>
        <w:rPr>
          <w:rFonts w:ascii="Times New Roman" w:cs="Times New Roman" w:eastAsia="Times New Roman" w:hAnsi="Times New Roman"/>
          <w:sz w:val="13"/>
          <w:szCs w:val="13"/>
          <w:color w:val="auto"/>
        </w:rPr>
        <w:t xml:space="preserve"> (Topic 326), Measurement of Credit Losses on Financial Instruments. ASU 2016-13 changes the impairment model for most financial assets and certain other instruments. The standard will replace the “incurred loss” approach with an “expected loss” model for instruments measured at amortized cost. For available-for-sale debt securities, entities will be required to record allowances rather than reduce the carrying amount, as they do today under the other-than-temporary impairment model. Per ASU 2019-10, ASU 2016-13 is effective for the Group for annual reporting periods beginning January 1, 2023, and interim periods within that year. Early adoption is permitted. In February 2020, the FASB issued ASU 2020-02, </w:t>
      </w:r>
      <w:r>
        <w:rPr>
          <w:rFonts w:ascii="Times New Roman" w:cs="Times New Roman" w:eastAsia="Times New Roman" w:hAnsi="Times New Roman"/>
          <w:sz w:val="13"/>
          <w:szCs w:val="13"/>
          <w:i w:val="1"/>
          <w:iCs w:val="1"/>
          <w:color w:val="auto"/>
        </w:rPr>
        <w:t>Financial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Instruments—Credit Losses (Topic 326) and Leases (Topic 842) —Amendments to SEC Paragraphs Pursuant to SEC Staff Accounting Bulletin No. 119 and Update to SEC Section on Effective Date Related to Accounting Standards Update No. 2016-02, Leases (Topic 842). </w:t>
      </w:r>
      <w:r>
        <w:rPr>
          <w:rFonts w:ascii="Times New Roman" w:cs="Times New Roman" w:eastAsia="Times New Roman" w:hAnsi="Times New Roman"/>
          <w:sz w:val="13"/>
          <w:szCs w:val="13"/>
          <w:color w:val="auto"/>
        </w:rPr>
        <w:t>For Credit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Losses (Topic 326), it added the accounting for loan losses by registrants engaged in lending activities subject to FASB ASC Topic 326. This staff interpretation applies to all registrants that are creditors in loan transactions that, individually or in the aggregate, have a material effect on the registrant’s financial condition. The Group does not plan to early adopt ASU 2016-13 and is evaluating the effect that this guidance will have on its consolidated financial statements.</w:t>
      </w:r>
    </w:p>
    <w:p>
      <w:pPr>
        <w:spacing w:after="0" w:line="9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color w:val="auto"/>
        </w:rPr>
        <w:t>F- 35</w:t>
      </w:r>
    </w:p>
    <w:p>
      <w:pPr>
        <w:sectPr>
          <w:pgSz w:w="11900" w:h="16838" w:orient="portrait"/>
          <w:cols w:equalWidth="0" w:num="1">
            <w:col w:w="10159"/>
          </w:cols>
          <w:pgMar w:left="300" w:top="388" w:right="1440"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175260</wp:posOffset>
            </wp:positionV>
            <wp:extent cx="7208520" cy="565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3">
                      <a:extLst>
                        <a:ext uri="{28A0092B-C50C-407E-A947-70E740481C1C}"/>
                      </a:extLst>
                    </a:blip>
                    <a:srcRect/>
                    <a:stretch>
                      <a:fillRect/>
                    </a:stretch>
                  </pic:blipFill>
                  <pic:spPr bwMode="auto">
                    <a:xfrm>
                      <a:off x="0" y="0"/>
                      <a:ext cx="7208520" cy="56515"/>
                    </a:xfrm>
                    <a:prstGeom prst="rect">
                      <a:avLst/>
                    </a:prstGeom>
                    <a:noFill/>
                  </pic:spPr>
                </pic:pic>
              </a:graphicData>
            </a:graphic>
          </wp:anchor>
        </w:drawing>
        <w:t>Table of Contents</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 (CONTINUED)</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4">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7" w:lineRule="exact"/>
        <w:rPr>
          <w:sz w:val="20"/>
          <w:szCs w:val="20"/>
          <w:color w:val="auto"/>
        </w:rPr>
      </w:pPr>
    </w:p>
    <w:p>
      <w:pPr>
        <w:ind w:left="1980" w:hanging="304"/>
        <w:spacing w:after="0"/>
        <w:tabs>
          <w:tab w:leader="none" w:pos="1980" w:val="left"/>
        </w:tabs>
        <w:numPr>
          <w:ilvl w:val="0"/>
          <w:numId w:val="11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Summary of Significant Accounting Policies (Continued)</w:t>
      </w:r>
    </w:p>
    <w:p>
      <w:pPr>
        <w:spacing w:after="0" w:line="111" w:lineRule="exact"/>
        <w:rPr>
          <w:sz w:val="20"/>
          <w:szCs w:val="20"/>
          <w:color w:val="auto"/>
        </w:rPr>
      </w:pPr>
    </w:p>
    <w:p>
      <w:pPr>
        <w:ind w:left="1680"/>
        <w:spacing w:after="0"/>
        <w:tabs>
          <w:tab w:leader="none" w:pos="1960" w:val="left"/>
        </w:tabs>
        <w:rPr>
          <w:sz w:val="20"/>
          <w:szCs w:val="20"/>
          <w:color w:val="auto"/>
        </w:rPr>
      </w:pPr>
      <w:r>
        <w:rPr>
          <w:rFonts w:ascii="Times New Roman" w:cs="Times New Roman" w:eastAsia="Times New Roman" w:hAnsi="Times New Roman"/>
          <w:sz w:val="13"/>
          <w:szCs w:val="13"/>
          <w:b w:val="1"/>
          <w:bCs w:val="1"/>
          <w:i w:val="1"/>
          <w:iCs w:val="1"/>
          <w:color w:val="auto"/>
        </w:rPr>
        <w:t>(aj)</w:t>
        <w:tab/>
        <w:t>Recent accounting pronouncements (Continued)</w:t>
      </w:r>
    </w:p>
    <w:p>
      <w:pPr>
        <w:spacing w:after="0" w:line="113" w:lineRule="exact"/>
        <w:rPr>
          <w:sz w:val="20"/>
          <w:szCs w:val="20"/>
          <w:color w:val="auto"/>
        </w:rPr>
      </w:pPr>
    </w:p>
    <w:p>
      <w:pPr>
        <w:ind w:left="2000" w:right="619"/>
        <w:spacing w:after="0" w:line="256" w:lineRule="auto"/>
        <w:rPr>
          <w:sz w:val="20"/>
          <w:szCs w:val="20"/>
          <w:color w:val="auto"/>
        </w:rPr>
      </w:pPr>
      <w:r>
        <w:rPr>
          <w:rFonts w:ascii="Times New Roman" w:cs="Times New Roman" w:eastAsia="Times New Roman" w:hAnsi="Times New Roman"/>
          <w:sz w:val="13"/>
          <w:szCs w:val="13"/>
          <w:b w:val="1"/>
          <w:bCs w:val="1"/>
          <w:i w:val="1"/>
          <w:iCs w:val="1"/>
          <w:color w:val="auto"/>
        </w:rPr>
        <w:t>In December 2019, the FASB issued ASU 2019-12, Income Taxes (Topic 740): Simplifying the Accounting for Income Taxes. This guidance removes certain exceptions to the general principles in Topic 740 and enhances and simplifies various aspects of the income tax accounting guidance, including requirements such as tax basis step-up in goodwill obtained in a transaction that is not a business combination, ownership changes in investments, and interim-period accounting for enacted changes in tax law. This standard is effective for the Group for the annual reporting periods beginning January 1, 2022 and interim periods beginning January 1, 2023. Early adoption is permitted. The Group does not expect any material impact on the Group’s consolidated financial statements.</w:t>
      </w:r>
    </w:p>
    <w:p>
      <w:pPr>
        <w:spacing w:after="0" w:line="5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In August 2020, the FASB issued ASU No. 2020-06, Debt— Debt with Conversion and Other Options (Subtopic 470-20) and Derivatives and</w:t>
      </w:r>
    </w:p>
    <w:p>
      <w:pPr>
        <w:spacing w:after="0" w:line="1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2"/>
          <w:szCs w:val="12"/>
          <w:color w:val="auto"/>
        </w:rPr>
        <w:t>Hedging—Contracts in Entity’s Own Equity (Subtopic 815-40): Accounting for Convertible Instruments and Contracts in an Entity’s Own Equity</w:t>
      </w:r>
    </w:p>
    <w:p>
      <w:pPr>
        <w:spacing w:after="0" w:line="1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(ASU 2020-06), which simplifies the accounting for convertible instruments by reducing the number of accounting models available for</w:t>
      </w:r>
    </w:p>
    <w:p>
      <w:pPr>
        <w:spacing w:after="0" w:line="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convertible debt instruments. This guidance also eliminates the treasury stock method to calculate diluted earnings per share for convertible</w:t>
      </w:r>
    </w:p>
    <w:p>
      <w:pPr>
        <w:spacing w:after="0" w:line="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instruments and requires the use of the if-converted method. ASU 2020-06 is effective for public business entities that meet the definition of an</w:t>
      </w:r>
    </w:p>
    <w:p>
      <w:pPr>
        <w:spacing w:after="0" w:line="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2"/>
          <w:szCs w:val="12"/>
          <w:color w:val="auto"/>
        </w:rPr>
        <w:t>SEC filer, excluding entities eligible to be smaller reporting companies as defined by the SEC, for fiscal years beginning after December 15, 2021,</w:t>
      </w:r>
    </w:p>
    <w:p>
      <w:pPr>
        <w:spacing w:after="0" w:line="1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including interim periods within those fiscal years. For all other entities, the amendments are effective for fiscal years beginning after</w:t>
      </w:r>
    </w:p>
    <w:p>
      <w:pPr>
        <w:spacing w:after="0" w:line="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December 15, 2023, including interim periods within those fiscal years. The ASU is currently not expected have a material impact on the Group’s</w:t>
      </w:r>
    </w:p>
    <w:p>
      <w:pPr>
        <w:spacing w:after="0" w:line="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consolidated financial statements.</w:t>
      </w:r>
    </w:p>
    <w:p>
      <w:pPr>
        <w:spacing w:after="0" w:line="150" w:lineRule="exact"/>
        <w:rPr>
          <w:sz w:val="20"/>
          <w:szCs w:val="20"/>
          <w:color w:val="auto"/>
        </w:rPr>
      </w:pPr>
    </w:p>
    <w:p>
      <w:pPr>
        <w:ind w:left="2000" w:right="599"/>
        <w:spacing w:after="0" w:line="254" w:lineRule="auto"/>
        <w:rPr>
          <w:sz w:val="20"/>
          <w:szCs w:val="20"/>
          <w:color w:val="auto"/>
        </w:rPr>
      </w:pPr>
      <w:r>
        <w:rPr>
          <w:rFonts w:ascii="Times New Roman" w:cs="Times New Roman" w:eastAsia="Times New Roman" w:hAnsi="Times New Roman"/>
          <w:sz w:val="13"/>
          <w:szCs w:val="13"/>
          <w:color w:val="auto"/>
        </w:rPr>
        <w:t>In May 2021, the FASB issued ASU No. 2021-04, Earnings Per Share (Topic 260), Debt — Modifications and Extinguishments (Subtopic 470-50), Compensation — Stock Compensation (Topic 718), and Derivatives and Hedging — Contracts in Entity’s Own Equity (Subtopic 815-40) to clarify and reduce diversity in an issuer’s accounting for modifications or exchanges of freestanding equity-classified written call options (for example, warrants) that remain equity classified after modification or exchange. The amendments in this update are effective for all entities for fiscal years beginning after December 15, 2021, including interim periods within those fiscal years. An entity should apply the amendments prospectively to modifications or exchanges occurring on or after the effective date of the amendments. The ASU is currently not expected have a material impact on the Group’s consolidated financial statements.</w:t>
      </w:r>
    </w:p>
    <w:p>
      <w:pPr>
        <w:spacing w:after="0" w:line="138" w:lineRule="exact"/>
        <w:rPr>
          <w:sz w:val="20"/>
          <w:szCs w:val="20"/>
          <w:color w:val="auto"/>
        </w:rPr>
      </w:pPr>
    </w:p>
    <w:p>
      <w:pPr>
        <w:ind w:left="2000" w:right="559"/>
        <w:spacing w:after="0" w:line="253" w:lineRule="auto"/>
        <w:rPr>
          <w:sz w:val="20"/>
          <w:szCs w:val="20"/>
          <w:color w:val="auto"/>
        </w:rPr>
      </w:pPr>
      <w:r>
        <w:rPr>
          <w:rFonts w:ascii="Times New Roman" w:cs="Times New Roman" w:eastAsia="Times New Roman" w:hAnsi="Times New Roman"/>
          <w:sz w:val="13"/>
          <w:szCs w:val="13"/>
          <w:color w:val="auto"/>
        </w:rPr>
        <w:t xml:space="preserve">In October 2021, the FASB issued ASU No. 2021-08, Business Combinations (Topic 805): Accounting for Contract Assets and Contract Liabilities from Contracts with Customers (ASU 2021-08), which clarifies that an acquirer of a business should recognize and measure contract assets and contract liabilities in a business combination in accordance with Topic 606, </w:t>
      </w:r>
      <w:r>
        <w:rPr>
          <w:rFonts w:ascii="Times New Roman" w:cs="Times New Roman" w:eastAsia="Times New Roman" w:hAnsi="Times New Roman"/>
          <w:sz w:val="13"/>
          <w:szCs w:val="13"/>
          <w:i w:val="1"/>
          <w:iCs w:val="1"/>
          <w:color w:val="auto"/>
        </w:rPr>
        <w:t>Revenue from Contracts with Customers</w:t>
      </w:r>
      <w:r>
        <w:rPr>
          <w:rFonts w:ascii="Times New Roman" w:cs="Times New Roman" w:eastAsia="Times New Roman" w:hAnsi="Times New Roman"/>
          <w:sz w:val="13"/>
          <w:szCs w:val="13"/>
          <w:color w:val="auto"/>
        </w:rPr>
        <w:t>. The new guidance is effective for public business entities 1 for fiscal years beginning after December 15, 2022, including interim periods within those fiscal years. For all other entities, the new guidance is effective for fiscal years beginning after December 15, 2023, including interim periods within those fiscal years. The amendments should be applied prospectively to business combinations occurring on or after the effective date of the amendments, with early adoption permitted. The Group does not plan to early adopt ASU 2021-08 and the ASU is currently not expected have a material impact on the Group’s consolidated financial statements.</w:t>
      </w:r>
    </w:p>
    <w:p>
      <w:pPr>
        <w:spacing w:after="0" w:line="140" w:lineRule="exact"/>
        <w:rPr>
          <w:sz w:val="20"/>
          <w:szCs w:val="20"/>
          <w:color w:val="auto"/>
        </w:rPr>
      </w:pPr>
    </w:p>
    <w:p>
      <w:pPr>
        <w:ind w:left="2000" w:right="559"/>
        <w:spacing w:after="0" w:line="253" w:lineRule="auto"/>
        <w:rPr>
          <w:sz w:val="20"/>
          <w:szCs w:val="20"/>
          <w:color w:val="auto"/>
        </w:rPr>
      </w:pPr>
      <w:r>
        <w:rPr>
          <w:rFonts w:ascii="Times New Roman" w:cs="Times New Roman" w:eastAsia="Times New Roman" w:hAnsi="Times New Roman"/>
          <w:sz w:val="13"/>
          <w:szCs w:val="13"/>
          <w:color w:val="auto"/>
        </w:rPr>
        <w:t>In November 2021, the FASB issued ASU No. 2021-10, Government Assistance (Topic 832). This ASU requires business entities to disclose information about government assistance they receive if the transactions were accounted for by, analogy to either a grant or a contribution accounting model. The disclosure requirements include the nature of the transaction and the related accounting policy used, the line items on, the balance sheets and statements operations that are affected and the amounts to each financial statement line item and the significant terms and conditions of the transactions. The ASU is effective for annual periods beginning after December 15, 2021. The disclosure requirements can be applied either retrospectively or prospectively to all transactions in the scope of the amendments that are reflected in the financial statements at the date of initial application and new transactions that are entered into after the dated initial application. The ASU is currently not expected have a material impact on the Group’s consolidated financial statements.</w:t>
      </w:r>
    </w:p>
    <w:p>
      <w:pPr>
        <w:spacing w:after="0" w:line="9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color w:val="auto"/>
        </w:rPr>
        <w:t>F- 36</w:t>
      </w:r>
    </w:p>
    <w:p>
      <w:pPr>
        <w:sectPr>
          <w:pgSz w:w="11900" w:h="16838" w:orient="portrait"/>
          <w:cols w:equalWidth="0" w:num="1">
            <w:col w:w="10159"/>
          </w:cols>
          <w:pgMar w:left="300" w:top="543" w:right="1440"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5">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 (CONTINUED)</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6">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7" w:lineRule="exact"/>
        <w:rPr>
          <w:sz w:val="20"/>
          <w:szCs w:val="20"/>
          <w:color w:val="auto"/>
        </w:rPr>
      </w:pPr>
    </w:p>
    <w:p>
      <w:pPr>
        <w:ind w:left="1980" w:hanging="304"/>
        <w:spacing w:after="0"/>
        <w:tabs>
          <w:tab w:leader="none" w:pos="1980" w:val="left"/>
        </w:tabs>
        <w:numPr>
          <w:ilvl w:val="0"/>
          <w:numId w:val="11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Concentration of Risks</w:t>
      </w:r>
    </w:p>
    <w:p>
      <w:pPr>
        <w:spacing w:after="0" w:line="92" w:lineRule="exact"/>
        <w:rPr>
          <w:sz w:val="20"/>
          <w:szCs w:val="20"/>
          <w:color w:val="auto"/>
        </w:rPr>
      </w:pPr>
    </w:p>
    <w:p>
      <w:pPr>
        <w:ind w:left="1980" w:hanging="304"/>
        <w:spacing w:after="0"/>
        <w:tabs>
          <w:tab w:leader="none" w:pos="1980" w:val="left"/>
        </w:tabs>
        <w:numPr>
          <w:ilvl w:val="0"/>
          <w:numId w:val="117"/>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Concentration of credit risk</w:t>
      </w:r>
    </w:p>
    <w:p>
      <w:pPr>
        <w:spacing w:after="0" w:line="87" w:lineRule="exact"/>
        <w:rPr>
          <w:rFonts w:ascii="Times New Roman" w:cs="Times New Roman" w:eastAsia="Times New Roman" w:hAnsi="Times New Roman"/>
          <w:sz w:val="13"/>
          <w:szCs w:val="13"/>
          <w:b w:val="1"/>
          <w:bCs w:val="1"/>
          <w:i w:val="1"/>
          <w:iCs w:val="1"/>
          <w:color w:val="auto"/>
        </w:rPr>
      </w:pPr>
    </w:p>
    <w:p>
      <w:pPr>
        <w:ind w:left="2000" w:right="539"/>
        <w:spacing w:after="0" w:line="252"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Financial instruments that potentially subject the Group to significant concentration of credit risk consist primarily of cash and cash equivalents, restricted cash, short-term investments. As of December 31, 2020 and 2021, the aggregate amount of cash and cash equivalents, restricted cash and short-term investments of RMB45,278 and RMB36,825 (US$5,779), respectively, were held at major financial institutions located in the PRC, and RMB144,166 and RMB275,306 (US$43,201), respectively, were deposited with international financial institutions located outside the PRC, among which included short-term debt investments of RMB49,271 and RMB65,108 (US$10,217), respectively, issued by a private equity fund outside the PRC that are mandatorily redeemable (Note 4). The maximum exposure of such assets to credit risk is their carrying amounts as of the balance sheet dates. Management believes that these financial institutions are of high credit quality and continually monitors the credit worthiness of these financial institutions. Historically, deposits in Chinese banks are secure due to the state policy on protecting depositors’ interests. The Group selected reputable international financial institutions with high credit ratings to deposit its foreign currencies. The Company regularly monitors the credit ratings of the international financial institutions to avoid any potential defaults. In the event of bankruptcy of one of these financial institutions, the Group may not be able to claim its cash and demand deposits back in full. The Group continues to monitor the financial strength of the financial institutions. There has been no recent history of default in relation to these financial institutions.</w:t>
      </w:r>
    </w:p>
    <w:p>
      <w:pPr>
        <w:spacing w:after="0" w:line="9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color w:val="auto"/>
        </w:rPr>
        <w:t>F- 37</w:t>
      </w:r>
    </w:p>
    <w:p>
      <w:pPr>
        <w:sectPr>
          <w:pgSz w:w="11900" w:h="16838" w:orient="portrait"/>
          <w:cols w:equalWidth="0" w:num="1">
            <w:col w:w="10159"/>
          </w:cols>
          <w:pgMar w:left="300" w:top="388" w:right="1440"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7">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 (CONTINUED)</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8">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7" w:lineRule="exact"/>
        <w:rPr>
          <w:sz w:val="20"/>
          <w:szCs w:val="20"/>
          <w:color w:val="auto"/>
        </w:rPr>
      </w:pPr>
    </w:p>
    <w:p>
      <w:pPr>
        <w:ind w:left="1980" w:hanging="304"/>
        <w:spacing w:after="0"/>
        <w:tabs>
          <w:tab w:leader="none" w:pos="1980" w:val="left"/>
        </w:tabs>
        <w:numPr>
          <w:ilvl w:val="0"/>
          <w:numId w:val="11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Concentration of Risks (Continued)</w:t>
      </w:r>
    </w:p>
    <w:p>
      <w:pPr>
        <w:spacing w:after="0" w:line="111" w:lineRule="exact"/>
        <w:rPr>
          <w:sz w:val="20"/>
          <w:szCs w:val="20"/>
          <w:color w:val="auto"/>
        </w:rPr>
      </w:pPr>
    </w:p>
    <w:p>
      <w:pPr>
        <w:ind w:left="1980" w:hanging="304"/>
        <w:spacing w:after="0"/>
        <w:tabs>
          <w:tab w:leader="none" w:pos="1980" w:val="left"/>
        </w:tabs>
        <w:numPr>
          <w:ilvl w:val="0"/>
          <w:numId w:val="119"/>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Business supplier risk</w:t>
      </w:r>
    </w:p>
    <w:p>
      <w:pPr>
        <w:spacing w:after="0" w:line="87" w:lineRule="exact"/>
        <w:rPr>
          <w:rFonts w:ascii="Times New Roman" w:cs="Times New Roman" w:eastAsia="Times New Roman" w:hAnsi="Times New Roman"/>
          <w:sz w:val="13"/>
          <w:szCs w:val="13"/>
          <w:b w:val="1"/>
          <w:bCs w:val="1"/>
          <w:i w:val="1"/>
          <w:iCs w:val="1"/>
          <w:color w:val="auto"/>
        </w:rPr>
      </w:pPr>
    </w:p>
    <w:p>
      <w:pPr>
        <w:ind w:left="2000" w:right="659"/>
        <w:spacing w:after="0" w:line="259"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The Group relies on external supplies for raw materials and certain components and parts used in the Group’s products. Some of the components for AAVs are currently selected to be purchased from a single source to improve cost-efficiency. As the result of the COVID-19 pandemic, the Group has experienced delayed fulfillments from suppliers in 2020 and 2021. Disruption in the supply of components, whether or not from a single-source supplier, could temporarily disrupt commercial production of the Group’s AAVs.</w:t>
      </w:r>
    </w:p>
    <w:p>
      <w:pPr>
        <w:spacing w:after="0" w:line="55" w:lineRule="exact"/>
        <w:rPr>
          <w:rFonts w:ascii="Times New Roman" w:cs="Times New Roman" w:eastAsia="Times New Roman" w:hAnsi="Times New Roman"/>
          <w:sz w:val="13"/>
          <w:szCs w:val="13"/>
          <w:b w:val="1"/>
          <w:bCs w:val="1"/>
          <w:i w:val="1"/>
          <w:iCs w:val="1"/>
          <w:color w:val="auto"/>
        </w:rPr>
      </w:pPr>
    </w:p>
    <w:p>
      <w:pPr>
        <w:ind w:left="2000"/>
        <w:spacing w:after="0"/>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Suppliers accounting for 10% or more of total purchases of materials were:</w:t>
      </w:r>
    </w:p>
    <w:p>
      <w:pPr>
        <w:spacing w:after="0" w:line="177" w:lineRule="exact"/>
        <w:rPr>
          <w:sz w:val="20"/>
          <w:szCs w:val="20"/>
          <w:color w:val="auto"/>
        </w:rPr>
      </w:pPr>
    </w:p>
    <w:tbl>
      <w:tblPr>
        <w:tblLayout w:type="fixed"/>
        <w:tblInd w:w="2320" w:type="dxa"/>
        <w:tblCellMar>
          <w:top w:w="0" w:type="dxa"/>
          <w:left w:w="0" w:type="dxa"/>
          <w:bottom w:w="0" w:type="dxa"/>
          <w:right w:w="0" w:type="dxa"/>
        </w:tblCellMar>
      </w:tblPr>
      <w:tr>
        <w:trPr>
          <w:trHeight w:val="124"/>
        </w:trPr>
        <w:tc>
          <w:tcPr>
            <w:tcW w:w="5180" w:type="dxa"/>
            <w:vAlign w:val="bottom"/>
          </w:tcPr>
          <w:p>
            <w:pPr>
              <w:spacing w:after="0"/>
              <w:rPr>
                <w:sz w:val="10"/>
                <w:szCs w:val="10"/>
                <w:color w:val="auto"/>
              </w:rPr>
            </w:pPr>
          </w:p>
        </w:tc>
        <w:tc>
          <w:tcPr>
            <w:tcW w:w="1480" w:type="dxa"/>
            <w:vAlign w:val="bottom"/>
            <w:gridSpan w:val="5"/>
          </w:tcPr>
          <w:p>
            <w:pPr>
              <w:ind w:left="300"/>
              <w:spacing w:after="0"/>
              <w:rPr>
                <w:sz w:val="20"/>
                <w:szCs w:val="20"/>
                <w:color w:val="auto"/>
              </w:rPr>
            </w:pPr>
            <w:r>
              <w:rPr>
                <w:rFonts w:ascii="Times New Roman" w:cs="Times New Roman" w:eastAsia="Times New Roman" w:hAnsi="Times New Roman"/>
                <w:sz w:val="10"/>
                <w:szCs w:val="10"/>
                <w:b w:val="1"/>
                <w:bCs w:val="1"/>
                <w:color w:val="auto"/>
              </w:rPr>
              <w:t>As of December 31,</w:t>
            </w:r>
          </w:p>
        </w:tc>
      </w:tr>
      <w:tr>
        <w:trPr>
          <w:trHeight w:val="97"/>
        </w:trPr>
        <w:tc>
          <w:tcPr>
            <w:tcW w:w="5180" w:type="dxa"/>
            <w:vAlign w:val="bottom"/>
          </w:tcPr>
          <w:p>
            <w:pPr>
              <w:spacing w:after="0"/>
              <w:rPr>
                <w:sz w:val="8"/>
                <w:szCs w:val="8"/>
                <w:color w:val="auto"/>
              </w:rPr>
            </w:pPr>
          </w:p>
        </w:tc>
        <w:tc>
          <w:tcPr>
            <w:tcW w:w="400" w:type="dxa"/>
            <w:vAlign w:val="bottom"/>
            <w:tcBorders>
              <w:top w:val="single" w:sz="8" w:color="auto"/>
              <w:bottom w:val="single" w:sz="8" w:color="auto"/>
            </w:tcBorders>
          </w:tcPr>
          <w:p>
            <w:pPr>
              <w:ind w:left="100"/>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180" w:type="dxa"/>
            <w:vAlign w:val="bottom"/>
            <w:tcBorders>
              <w:top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280"/>
              <w:spacing w:after="0" w:line="97" w:lineRule="exact"/>
              <w:rPr>
                <w:sz w:val="20"/>
                <w:szCs w:val="20"/>
                <w:color w:val="auto"/>
              </w:rPr>
            </w:pPr>
            <w:r>
              <w:rPr>
                <w:rFonts w:ascii="Times New Roman" w:cs="Times New Roman" w:eastAsia="Times New Roman" w:hAnsi="Times New Roman"/>
                <w:sz w:val="10"/>
                <w:szCs w:val="10"/>
                <w:b w:val="1"/>
                <w:bCs w:val="1"/>
                <w:color w:val="auto"/>
                <w:w w:val="89"/>
              </w:rPr>
              <w:t>2021</w:t>
            </w:r>
          </w:p>
        </w:tc>
        <w:tc>
          <w:tcPr>
            <w:tcW w:w="40" w:type="dxa"/>
            <w:vAlign w:val="bottom"/>
          </w:tcPr>
          <w:p>
            <w:pPr>
              <w:spacing w:after="0"/>
              <w:rPr>
                <w:sz w:val="8"/>
                <w:szCs w:val="8"/>
                <w:color w:val="auto"/>
              </w:rPr>
            </w:pPr>
          </w:p>
        </w:tc>
      </w:tr>
      <w:tr>
        <w:trPr>
          <w:trHeight w:val="97"/>
        </w:trPr>
        <w:tc>
          <w:tcPr>
            <w:tcW w:w="5180" w:type="dxa"/>
            <w:vAlign w:val="bottom"/>
          </w:tcPr>
          <w:p>
            <w:pPr>
              <w:spacing w:after="0"/>
              <w:rPr>
                <w:sz w:val="8"/>
                <w:szCs w:val="8"/>
                <w:color w:val="auto"/>
              </w:rPr>
            </w:pPr>
          </w:p>
        </w:tc>
        <w:tc>
          <w:tcPr>
            <w:tcW w:w="400" w:type="dxa"/>
            <w:vAlign w:val="bottom"/>
          </w:tcPr>
          <w:p>
            <w:pPr>
              <w:ind w:left="80"/>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180" w:type="dxa"/>
            <w:vAlign w:val="bottom"/>
          </w:tcPr>
          <w:p>
            <w:pPr>
              <w:spacing w:after="0"/>
              <w:rPr>
                <w:sz w:val="8"/>
                <w:szCs w:val="8"/>
                <w:color w:val="auto"/>
              </w:rPr>
            </w:pPr>
          </w:p>
        </w:tc>
        <w:tc>
          <w:tcPr>
            <w:tcW w:w="320" w:type="dxa"/>
            <w:vAlign w:val="bottom"/>
          </w:tcPr>
          <w:p>
            <w:pPr>
              <w:ind w:left="40"/>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540" w:type="dxa"/>
            <w:vAlign w:val="bottom"/>
          </w:tcPr>
          <w:p>
            <w:pPr>
              <w:ind w:left="260"/>
              <w:spacing w:after="0" w:line="97" w:lineRule="exact"/>
              <w:rPr>
                <w:sz w:val="20"/>
                <w:szCs w:val="20"/>
                <w:color w:val="auto"/>
              </w:rPr>
            </w:pPr>
            <w:r>
              <w:rPr>
                <w:rFonts w:ascii="Times New Roman" w:cs="Times New Roman" w:eastAsia="Times New Roman" w:hAnsi="Times New Roman"/>
                <w:sz w:val="10"/>
                <w:szCs w:val="10"/>
                <w:b w:val="1"/>
                <w:bCs w:val="1"/>
                <w:color w:val="auto"/>
              </w:rPr>
              <w:t>US$</w:t>
            </w:r>
          </w:p>
        </w:tc>
        <w:tc>
          <w:tcPr>
            <w:tcW w:w="40" w:type="dxa"/>
            <w:vAlign w:val="bottom"/>
          </w:tcPr>
          <w:p>
            <w:pPr>
              <w:spacing w:after="0"/>
              <w:rPr>
                <w:sz w:val="8"/>
                <w:szCs w:val="8"/>
                <w:color w:val="auto"/>
              </w:rPr>
            </w:pPr>
          </w:p>
        </w:tc>
      </w:tr>
      <w:tr>
        <w:trPr>
          <w:trHeight w:val="15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Supplier</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6"/>
        </w:trPr>
        <w:tc>
          <w:tcPr>
            <w:tcW w:w="5180" w:type="dxa"/>
            <w:vAlign w:val="bottom"/>
          </w:tcPr>
          <w:p>
            <w:pPr>
              <w:spacing w:after="0"/>
              <w:rPr>
                <w:sz w:val="20"/>
                <w:szCs w:val="20"/>
                <w:color w:val="auto"/>
              </w:rPr>
            </w:pPr>
            <w:r>
              <w:rPr>
                <w:rFonts w:ascii="Times New Roman" w:cs="Times New Roman" w:eastAsia="Times New Roman" w:hAnsi="Times New Roman"/>
                <w:sz w:val="13"/>
                <w:szCs w:val="13"/>
                <w:color w:val="auto"/>
              </w:rPr>
              <w:t>A</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16,239</w:t>
            </w:r>
          </w:p>
        </w:tc>
        <w:tc>
          <w:tcPr>
            <w:tcW w:w="32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5"/>
              </w:rPr>
              <w:t>7,807</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1,225</w:t>
            </w:r>
          </w:p>
        </w:tc>
        <w:tc>
          <w:tcPr>
            <w:tcW w:w="40" w:type="dxa"/>
            <w:vAlign w:val="bottom"/>
          </w:tcPr>
          <w:p>
            <w:pPr>
              <w:spacing w:after="0"/>
              <w:rPr>
                <w:sz w:val="13"/>
                <w:szCs w:val="13"/>
                <w:color w:val="auto"/>
              </w:rPr>
            </w:pPr>
          </w:p>
        </w:tc>
      </w:tr>
      <w:tr>
        <w:trPr>
          <w:trHeight w:val="15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5"/>
              </w:rPr>
              <w:t>8,405</w:t>
            </w:r>
          </w:p>
        </w:tc>
        <w:tc>
          <w:tcPr>
            <w:tcW w:w="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1,319</w:t>
            </w:r>
          </w:p>
        </w:tc>
      </w:tr>
      <w:tr>
        <w:trPr>
          <w:trHeight w:val="168"/>
        </w:trPr>
        <w:tc>
          <w:tcPr>
            <w:tcW w:w="5180" w:type="dxa"/>
            <w:vAlign w:val="bottom"/>
          </w:tcPr>
          <w:p>
            <w:pPr>
              <w:spacing w:after="0"/>
              <w:rPr>
                <w:sz w:val="20"/>
                <w:szCs w:val="20"/>
                <w:color w:val="auto"/>
              </w:rPr>
            </w:pPr>
            <w:r>
              <w:rPr>
                <w:rFonts w:ascii="Times New Roman" w:cs="Times New Roman" w:eastAsia="Times New Roman" w:hAnsi="Times New Roman"/>
                <w:sz w:val="13"/>
                <w:szCs w:val="13"/>
                <w:color w:val="auto"/>
              </w:rPr>
              <w:t>C</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5"/>
              </w:rPr>
              <w:t>7,596</w:t>
            </w: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1,192</w:t>
            </w:r>
          </w:p>
        </w:tc>
      </w:tr>
    </w:tbl>
    <w:p>
      <w:pPr>
        <w:spacing w:after="0" w:line="6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  less than 10% of total purchase of materials of the Group.</w:t>
      </w:r>
    </w:p>
    <w:p>
      <w:pPr>
        <w:spacing w:after="0" w:line="265" w:lineRule="exact"/>
        <w:rPr>
          <w:sz w:val="20"/>
          <w:szCs w:val="20"/>
          <w:color w:val="auto"/>
        </w:rPr>
      </w:pPr>
    </w:p>
    <w:p>
      <w:pPr>
        <w:ind w:left="1980" w:hanging="304"/>
        <w:spacing w:after="0"/>
        <w:tabs>
          <w:tab w:leader="none" w:pos="1980" w:val="left"/>
        </w:tabs>
        <w:numPr>
          <w:ilvl w:val="0"/>
          <w:numId w:val="120"/>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Customer risk</w:t>
      </w:r>
    </w:p>
    <w:p>
      <w:pPr>
        <w:spacing w:after="0" w:line="87" w:lineRule="exact"/>
        <w:rPr>
          <w:rFonts w:ascii="Times New Roman" w:cs="Times New Roman" w:eastAsia="Times New Roman" w:hAnsi="Times New Roman"/>
          <w:sz w:val="13"/>
          <w:szCs w:val="13"/>
          <w:b w:val="1"/>
          <w:bCs w:val="1"/>
          <w:i w:val="1"/>
          <w:iCs w:val="1"/>
          <w:color w:val="auto"/>
        </w:rPr>
      </w:pPr>
    </w:p>
    <w:p>
      <w:pPr>
        <w:ind w:left="2000" w:right="599"/>
        <w:spacing w:after="0" w:line="253"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The success of the Group’s business going forward will rely in part on the Group’s ability to continue to obtain and expand its business from existing customers while also attracting new customers. For the year end December 31, 2021, the majority of the Group’s revenue generated from sales of passenger-grade AAVs are from a limited number of customers that mainly operate the AAVs on a limited trial basis in tourism locations in China, rather than in broad, mainstream commercial operations. The COVID-19 outbreak has had a particularly severe impact on the global tourism industry. Some customers have been materially adversely affected, which resulted in failing to make payments owed to the Group in a timely manner or at all. This may further result in these customers to ceasing purchases, canceling or reducing orders for the Group’s products or services or failing to make payments owed to us in a timely manner or at all, which would materially and adversely impact the Group’s business and result of operations.</w:t>
      </w:r>
    </w:p>
    <w:p>
      <w:pPr>
        <w:spacing w:after="0" w:line="62" w:lineRule="exact"/>
        <w:rPr>
          <w:rFonts w:ascii="Times New Roman" w:cs="Times New Roman" w:eastAsia="Times New Roman" w:hAnsi="Times New Roman"/>
          <w:sz w:val="13"/>
          <w:szCs w:val="13"/>
          <w:b w:val="1"/>
          <w:bCs w:val="1"/>
          <w:i w:val="1"/>
          <w:iCs w:val="1"/>
          <w:color w:val="auto"/>
        </w:rPr>
      </w:pPr>
    </w:p>
    <w:p>
      <w:pPr>
        <w:ind w:left="2000"/>
        <w:spacing w:after="0"/>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External customers with 10% or more of the Group’s revenues are:</w:t>
      </w:r>
    </w:p>
    <w:p>
      <w:pPr>
        <w:spacing w:after="0" w:line="177" w:lineRule="exact"/>
        <w:rPr>
          <w:sz w:val="20"/>
          <w:szCs w:val="20"/>
          <w:color w:val="auto"/>
        </w:rPr>
      </w:pPr>
    </w:p>
    <w:tbl>
      <w:tblPr>
        <w:tblLayout w:type="fixed"/>
        <w:tblInd w:w="2000" w:type="dxa"/>
        <w:tblCellMar>
          <w:top w:w="0" w:type="dxa"/>
          <w:left w:w="0" w:type="dxa"/>
          <w:bottom w:w="0" w:type="dxa"/>
          <w:right w:w="0" w:type="dxa"/>
        </w:tblCellMar>
      </w:tblPr>
      <w:tr>
        <w:trPr>
          <w:trHeight w:val="124"/>
        </w:trPr>
        <w:tc>
          <w:tcPr>
            <w:tcW w:w="5180" w:type="dxa"/>
            <w:vAlign w:val="bottom"/>
          </w:tcPr>
          <w:p>
            <w:pPr>
              <w:spacing w:after="0"/>
              <w:rPr>
                <w:sz w:val="10"/>
                <w:szCs w:val="10"/>
                <w:color w:val="auto"/>
              </w:rPr>
            </w:pPr>
          </w:p>
        </w:tc>
        <w:tc>
          <w:tcPr>
            <w:tcW w:w="17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0"/>
                <w:szCs w:val="10"/>
                <w:b w:val="1"/>
                <w:bCs w:val="1"/>
                <w:color w:val="auto"/>
              </w:rPr>
              <w:t>For the year ended December 31,</w:t>
            </w:r>
          </w:p>
        </w:tc>
        <w:tc>
          <w:tcPr>
            <w:tcW w:w="3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7"/>
        </w:trPr>
        <w:tc>
          <w:tcPr>
            <w:tcW w:w="5180" w:type="dxa"/>
            <w:vAlign w:val="bottom"/>
          </w:tcPr>
          <w:p>
            <w:pPr>
              <w:spacing w:after="0"/>
              <w:rPr>
                <w:sz w:val="8"/>
                <w:szCs w:val="8"/>
                <w:color w:val="auto"/>
              </w:rPr>
            </w:pPr>
          </w:p>
        </w:tc>
        <w:tc>
          <w:tcPr>
            <w:tcW w:w="400" w:type="dxa"/>
            <w:vAlign w:val="bottom"/>
            <w:tcBorders>
              <w:bottom w:val="single" w:sz="8" w:color="auto"/>
            </w:tcBorders>
          </w:tcPr>
          <w:p>
            <w:pPr>
              <w:jc w:val="right"/>
              <w:ind w:right="41"/>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80" w:type="dxa"/>
            <w:vAlign w:val="bottom"/>
          </w:tcPr>
          <w:p>
            <w:pPr>
              <w:spacing w:after="0"/>
              <w:rPr>
                <w:sz w:val="8"/>
                <w:szCs w:val="8"/>
                <w:color w:val="auto"/>
              </w:rPr>
            </w:pPr>
          </w:p>
        </w:tc>
        <w:tc>
          <w:tcPr>
            <w:tcW w:w="400" w:type="dxa"/>
            <w:vAlign w:val="bottom"/>
            <w:tcBorders>
              <w:bottom w:val="single" w:sz="8" w:color="auto"/>
            </w:tcBorders>
          </w:tcPr>
          <w:p>
            <w:pPr>
              <w:jc w:val="right"/>
              <w:ind w:right="40"/>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180" w:type="dxa"/>
            <w:vAlign w:val="bottom"/>
          </w:tcPr>
          <w:p>
            <w:pPr>
              <w:spacing w:after="0"/>
              <w:rPr>
                <w:sz w:val="8"/>
                <w:szCs w:val="8"/>
                <w:color w:val="auto"/>
              </w:rPr>
            </w:pPr>
          </w:p>
        </w:tc>
        <w:tc>
          <w:tcPr>
            <w:tcW w:w="62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3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r>
      <w:tr>
        <w:trPr>
          <w:trHeight w:val="97"/>
        </w:trPr>
        <w:tc>
          <w:tcPr>
            <w:tcW w:w="5180" w:type="dxa"/>
            <w:vAlign w:val="bottom"/>
          </w:tcPr>
          <w:p>
            <w:pPr>
              <w:spacing w:after="0"/>
              <w:rPr>
                <w:sz w:val="8"/>
                <w:szCs w:val="8"/>
                <w:color w:val="auto"/>
              </w:rPr>
            </w:pPr>
          </w:p>
        </w:tc>
        <w:tc>
          <w:tcPr>
            <w:tcW w:w="400" w:type="dxa"/>
            <w:vAlign w:val="bottom"/>
          </w:tcPr>
          <w:p>
            <w:pPr>
              <w:jc w:val="right"/>
              <w:ind w:right="21"/>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180" w:type="dxa"/>
            <w:vAlign w:val="bottom"/>
          </w:tcPr>
          <w:p>
            <w:pPr>
              <w:spacing w:after="0"/>
              <w:rPr>
                <w:sz w:val="8"/>
                <w:szCs w:val="8"/>
                <w:color w:val="auto"/>
              </w:rPr>
            </w:pPr>
          </w:p>
        </w:tc>
        <w:tc>
          <w:tcPr>
            <w:tcW w:w="400" w:type="dxa"/>
            <w:vAlign w:val="bottom"/>
          </w:tcPr>
          <w:p>
            <w:pPr>
              <w:jc w:val="right"/>
              <w:ind w:right="20"/>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180" w:type="dxa"/>
            <w:vAlign w:val="bottom"/>
          </w:tcPr>
          <w:p>
            <w:pPr>
              <w:spacing w:after="0"/>
              <w:rPr>
                <w:sz w:val="8"/>
                <w:szCs w:val="8"/>
                <w:color w:val="auto"/>
              </w:rPr>
            </w:pPr>
          </w:p>
        </w:tc>
        <w:tc>
          <w:tcPr>
            <w:tcW w:w="620" w:type="dxa"/>
            <w:vAlign w:val="bottom"/>
          </w:tcPr>
          <w:p>
            <w:pPr>
              <w:jc w:val="right"/>
              <w:ind w:right="240"/>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300" w:type="dxa"/>
            <w:vAlign w:val="bottom"/>
          </w:tcPr>
          <w:p>
            <w:pPr>
              <w:jc w:val="right"/>
              <w:ind w:right="18"/>
              <w:spacing w:after="0" w:line="97" w:lineRule="exact"/>
              <w:rPr>
                <w:sz w:val="20"/>
                <w:szCs w:val="20"/>
                <w:color w:val="auto"/>
              </w:rPr>
            </w:pPr>
            <w:r>
              <w:rPr>
                <w:rFonts w:ascii="Times New Roman" w:cs="Times New Roman" w:eastAsia="Times New Roman" w:hAnsi="Times New Roman"/>
                <w:sz w:val="10"/>
                <w:szCs w:val="10"/>
                <w:b w:val="1"/>
                <w:bCs w:val="1"/>
                <w:color w:val="auto"/>
              </w:rPr>
              <w:t>US$</w:t>
            </w:r>
          </w:p>
        </w:tc>
        <w:tc>
          <w:tcPr>
            <w:tcW w:w="40" w:type="dxa"/>
            <w:vAlign w:val="bottom"/>
          </w:tcPr>
          <w:p>
            <w:pPr>
              <w:spacing w:after="0"/>
              <w:rPr>
                <w:sz w:val="8"/>
                <w:szCs w:val="8"/>
                <w:color w:val="auto"/>
              </w:rPr>
            </w:pPr>
          </w:p>
        </w:tc>
      </w:tr>
      <w:tr>
        <w:trPr>
          <w:trHeight w:val="15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Customer</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6"/>
        </w:trPr>
        <w:tc>
          <w:tcPr>
            <w:tcW w:w="5180" w:type="dxa"/>
            <w:vAlign w:val="bottom"/>
          </w:tcPr>
          <w:p>
            <w:pPr>
              <w:spacing w:after="0"/>
              <w:rPr>
                <w:sz w:val="20"/>
                <w:szCs w:val="20"/>
                <w:color w:val="auto"/>
              </w:rPr>
            </w:pPr>
            <w:r>
              <w:rPr>
                <w:rFonts w:ascii="Times New Roman" w:cs="Times New Roman" w:eastAsia="Times New Roman" w:hAnsi="Times New Roman"/>
                <w:sz w:val="13"/>
                <w:szCs w:val="13"/>
                <w:color w:val="auto"/>
              </w:rPr>
              <w:t>A</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29,204</w:t>
            </w:r>
          </w:p>
        </w:tc>
        <w:tc>
          <w:tcPr>
            <w:tcW w:w="1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22,655</w:t>
            </w:r>
          </w:p>
        </w:tc>
        <w:tc>
          <w:tcPr>
            <w:tcW w:w="180" w:type="dxa"/>
            <w:vAlign w:val="bottom"/>
          </w:tcPr>
          <w:p>
            <w:pPr>
              <w:spacing w:after="0"/>
              <w:rPr>
                <w:sz w:val="13"/>
                <w:szCs w:val="13"/>
                <w:color w:val="auto"/>
              </w:rPr>
            </w:pPr>
          </w:p>
        </w:tc>
        <w:tc>
          <w:tcPr>
            <w:tcW w:w="620" w:type="dxa"/>
            <w:vAlign w:val="bottom"/>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r>
      <w:tr>
        <w:trPr>
          <w:trHeight w:val="15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28,319</w:t>
            </w: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92,331</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r>
      <w:tr>
        <w:trPr>
          <w:trHeight w:val="156"/>
        </w:trPr>
        <w:tc>
          <w:tcPr>
            <w:tcW w:w="5180" w:type="dxa"/>
            <w:vAlign w:val="bottom"/>
          </w:tcPr>
          <w:p>
            <w:pPr>
              <w:spacing w:after="0"/>
              <w:rPr>
                <w:sz w:val="20"/>
                <w:szCs w:val="20"/>
                <w:color w:val="auto"/>
              </w:rPr>
            </w:pPr>
            <w:r>
              <w:rPr>
                <w:rFonts w:ascii="Times New Roman" w:cs="Times New Roman" w:eastAsia="Times New Roman" w:hAnsi="Times New Roman"/>
                <w:sz w:val="13"/>
                <w:szCs w:val="13"/>
                <w:color w:val="auto"/>
              </w:rPr>
              <w:t>C</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24,071</w:t>
            </w:r>
          </w:p>
        </w:tc>
        <w:tc>
          <w:tcPr>
            <w:tcW w:w="180" w:type="dxa"/>
            <w:vAlign w:val="bottom"/>
          </w:tcPr>
          <w:p>
            <w:pPr>
              <w:spacing w:after="0"/>
              <w:rPr>
                <w:sz w:val="13"/>
                <w:szCs w:val="13"/>
                <w:color w:val="auto"/>
              </w:rPr>
            </w:pPr>
          </w:p>
        </w:tc>
        <w:tc>
          <w:tcPr>
            <w:tcW w:w="620" w:type="dxa"/>
            <w:vAlign w:val="bottom"/>
          </w:tcPr>
          <w:p>
            <w:pPr>
              <w:jc w:val="right"/>
              <w:ind w:right="160"/>
              <w:spacing w:after="0"/>
              <w:rPr>
                <w:sz w:val="20"/>
                <w:szCs w:val="20"/>
                <w:color w:val="auto"/>
              </w:rPr>
            </w:pPr>
            <w:r>
              <w:rPr>
                <w:rFonts w:ascii="Times New Roman" w:cs="Times New Roman" w:eastAsia="Times New Roman" w:hAnsi="Times New Roman"/>
                <w:sz w:val="13"/>
                <w:szCs w:val="13"/>
                <w:color w:val="auto"/>
              </w:rPr>
              <w:t>7,080</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1,111</w:t>
            </w:r>
          </w:p>
        </w:tc>
        <w:tc>
          <w:tcPr>
            <w:tcW w:w="40" w:type="dxa"/>
            <w:vAlign w:val="bottom"/>
          </w:tcPr>
          <w:p>
            <w:pPr>
              <w:spacing w:after="0"/>
              <w:rPr>
                <w:sz w:val="13"/>
                <w:szCs w:val="13"/>
                <w:color w:val="auto"/>
              </w:rPr>
            </w:pPr>
          </w:p>
        </w:tc>
      </w:tr>
      <w:tr>
        <w:trPr>
          <w:trHeight w:val="15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19,646</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3,083</w:t>
            </w:r>
          </w:p>
        </w:tc>
        <w:tc>
          <w:tcPr>
            <w:tcW w:w="40" w:type="dxa"/>
            <w:vAlign w:val="bottom"/>
            <w:shd w:val="clear" w:color="auto" w:fill="CCEEFF"/>
          </w:tcPr>
          <w:p>
            <w:pPr>
              <w:spacing w:after="0"/>
              <w:rPr>
                <w:sz w:val="13"/>
                <w:szCs w:val="13"/>
                <w:color w:val="auto"/>
              </w:rPr>
            </w:pPr>
          </w:p>
        </w:tc>
      </w:tr>
    </w:tbl>
    <w:p>
      <w:pPr>
        <w:spacing w:after="0" w:line="7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  less than 10% of total revenues of the Group.</w:t>
      </w:r>
    </w:p>
    <w:p>
      <w:pPr>
        <w:spacing w:after="0" w:line="11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color w:val="auto"/>
        </w:rPr>
        <w:t>F- 38</w:t>
      </w:r>
    </w:p>
    <w:p>
      <w:pPr>
        <w:sectPr>
          <w:pgSz w:w="11900" w:h="16838" w:orient="portrait"/>
          <w:cols w:equalWidth="0" w:num="1">
            <w:col w:w="10159"/>
          </w:cols>
          <w:pgMar w:left="300" w:top="388" w:right="1440"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9">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 (CONTINUED)</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0">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7" w:lineRule="exact"/>
        <w:rPr>
          <w:sz w:val="20"/>
          <w:szCs w:val="20"/>
          <w:color w:val="auto"/>
        </w:rPr>
      </w:pPr>
    </w:p>
    <w:p>
      <w:pPr>
        <w:ind w:left="1980" w:hanging="304"/>
        <w:spacing w:after="0"/>
        <w:tabs>
          <w:tab w:leader="none" w:pos="1980" w:val="left"/>
        </w:tabs>
        <w:numPr>
          <w:ilvl w:val="0"/>
          <w:numId w:val="12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Concentration of Risks (Continued)</w:t>
      </w:r>
    </w:p>
    <w:p>
      <w:pPr>
        <w:spacing w:after="0" w:line="111" w:lineRule="exact"/>
        <w:rPr>
          <w:sz w:val="20"/>
          <w:szCs w:val="20"/>
          <w:color w:val="auto"/>
        </w:rPr>
      </w:pPr>
    </w:p>
    <w:p>
      <w:pPr>
        <w:ind w:left="1980" w:hanging="304"/>
        <w:spacing w:after="0"/>
        <w:tabs>
          <w:tab w:leader="none" w:pos="1980" w:val="left"/>
        </w:tabs>
        <w:numPr>
          <w:ilvl w:val="0"/>
          <w:numId w:val="122"/>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Customer risk (Continued)</w:t>
      </w:r>
    </w:p>
    <w:p>
      <w:pPr>
        <w:spacing w:after="0" w:line="194" w:lineRule="exact"/>
        <w:rPr>
          <w:rFonts w:ascii="Times New Roman" w:cs="Times New Roman" w:eastAsia="Times New Roman" w:hAnsi="Times New Roman"/>
          <w:sz w:val="13"/>
          <w:szCs w:val="13"/>
          <w:b w:val="1"/>
          <w:bCs w:val="1"/>
          <w:i w:val="1"/>
          <w:iCs w:val="1"/>
          <w:color w:val="auto"/>
        </w:rPr>
      </w:pPr>
    </w:p>
    <w:p>
      <w:pPr>
        <w:ind w:left="2000" w:right="559"/>
        <w:spacing w:after="0" w:line="257"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As of December 31, 2020 and 2021, customers accounted for 10% or more of the Group’s total accounts receivable, net of allowances were top three customers and top two customers, respectively. As of December 31, 2020, accounts receivable (including the non-current portion recorded in other non-current assets), net of allowances, from the top three customers amounted to RMB152,730, accounting for 85% of the Group’s total balance. As of December 31, 2021, accounts receivable, net of allowances, from the top two customers amounted to RMB32,385 (US$5,082), accounting for 58% of the Group’s total.</w:t>
      </w:r>
    </w:p>
    <w:p>
      <w:pPr>
        <w:spacing w:after="0" w:line="236" w:lineRule="exact"/>
        <w:rPr>
          <w:rFonts w:ascii="Times New Roman" w:cs="Times New Roman" w:eastAsia="Times New Roman" w:hAnsi="Times New Roman"/>
          <w:sz w:val="13"/>
          <w:szCs w:val="13"/>
          <w:b w:val="1"/>
          <w:bCs w:val="1"/>
          <w:i w:val="1"/>
          <w:iCs w:val="1"/>
          <w:color w:val="auto"/>
        </w:rPr>
      </w:pPr>
    </w:p>
    <w:p>
      <w:pPr>
        <w:ind w:left="1980" w:hanging="304"/>
        <w:spacing w:after="0"/>
        <w:tabs>
          <w:tab w:leader="none" w:pos="1980" w:val="left"/>
        </w:tabs>
        <w:numPr>
          <w:ilvl w:val="0"/>
          <w:numId w:val="122"/>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Currency convertibility risk</w:t>
      </w:r>
    </w:p>
    <w:p>
      <w:pPr>
        <w:spacing w:after="0" w:line="87" w:lineRule="exact"/>
        <w:rPr>
          <w:rFonts w:ascii="Times New Roman" w:cs="Times New Roman" w:eastAsia="Times New Roman" w:hAnsi="Times New Roman"/>
          <w:sz w:val="13"/>
          <w:szCs w:val="13"/>
          <w:b w:val="1"/>
          <w:bCs w:val="1"/>
          <w:i w:val="1"/>
          <w:iCs w:val="1"/>
          <w:color w:val="auto"/>
        </w:rPr>
      </w:pPr>
    </w:p>
    <w:p>
      <w:pPr>
        <w:ind w:left="2000" w:right="559"/>
        <w:spacing w:after="0" w:line="255"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The Group primarily transacts its business in RMB, which is not freely convertible into foreign currencies. On January 1, 1994, the PRC government abolished the dual rate system and introduced a single rate of exchange as quoted daily by the People’s Bank of China (the ‘‘PBOC’’). However, the unification of the exchange rates does not imply that the RMB may be readily convertible into US$ or other foreign currencies. All foreign exchange transactions continue to take place either through the PBOC or other banks authorized to buy and sell foreign currencies at the exchange rates quoted by the PBOC. Approval of foreign currency payments by the PBOC or other institutions requires submitting a payment application form together with suppliers’ invoices, shipping documents and signed contracts.</w:t>
      </w:r>
    </w:p>
    <w:p>
      <w:pPr>
        <w:spacing w:after="0" w:line="239" w:lineRule="exact"/>
        <w:rPr>
          <w:rFonts w:ascii="Times New Roman" w:cs="Times New Roman" w:eastAsia="Times New Roman" w:hAnsi="Times New Roman"/>
          <w:sz w:val="13"/>
          <w:szCs w:val="13"/>
          <w:b w:val="1"/>
          <w:bCs w:val="1"/>
          <w:i w:val="1"/>
          <w:iCs w:val="1"/>
          <w:color w:val="auto"/>
        </w:rPr>
      </w:pPr>
    </w:p>
    <w:p>
      <w:pPr>
        <w:ind w:left="1980" w:hanging="304"/>
        <w:spacing w:after="0"/>
        <w:tabs>
          <w:tab w:leader="none" w:pos="1980" w:val="left"/>
        </w:tabs>
        <w:numPr>
          <w:ilvl w:val="0"/>
          <w:numId w:val="122"/>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Foreign currency exchange rate risk</w:t>
      </w:r>
    </w:p>
    <w:p>
      <w:pPr>
        <w:spacing w:after="0" w:line="87" w:lineRule="exact"/>
        <w:rPr>
          <w:rFonts w:ascii="Times New Roman" w:cs="Times New Roman" w:eastAsia="Times New Roman" w:hAnsi="Times New Roman"/>
          <w:sz w:val="13"/>
          <w:szCs w:val="13"/>
          <w:b w:val="1"/>
          <w:bCs w:val="1"/>
          <w:i w:val="1"/>
          <w:iCs w:val="1"/>
          <w:color w:val="auto"/>
        </w:rPr>
      </w:pPr>
    </w:p>
    <w:p>
      <w:pPr>
        <w:ind w:left="2000" w:right="699"/>
        <w:spacing w:after="0" w:line="259"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From July 21, 2005, the RMB is permitted to fluctuate within a narrow and managed band against a basket of certain foreign currencies. The functional currency and the reporting currency of the Company are the US$ and the RMB, respectively. Most of the Group’s revenues and costs are denominated in RMB, while a portion of cash and cash equivalents is denominated in U.S. dollars. Any significant revaluation of RMB may materially and adversely affect the Group’s loss and shareholders’ equity in U.S. dollars.</w:t>
      </w:r>
    </w:p>
    <w:p>
      <w:pPr>
        <w:spacing w:after="0" w:line="238" w:lineRule="exact"/>
        <w:rPr>
          <w:sz w:val="20"/>
          <w:szCs w:val="20"/>
          <w:color w:val="auto"/>
        </w:rPr>
      </w:pPr>
    </w:p>
    <w:p>
      <w:pPr>
        <w:ind w:left="1980" w:hanging="304"/>
        <w:spacing w:after="0"/>
        <w:tabs>
          <w:tab w:leader="none" w:pos="1980" w:val="left"/>
        </w:tabs>
        <w:numPr>
          <w:ilvl w:val="0"/>
          <w:numId w:val="12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Short-term Investments</w:t>
      </w:r>
    </w:p>
    <w:p>
      <w:pPr>
        <w:spacing w:after="0" w:line="85" w:lineRule="exact"/>
        <w:rPr>
          <w:rFonts w:ascii="Times New Roman" w:cs="Times New Roman" w:eastAsia="Times New Roman" w:hAnsi="Times New Roman"/>
          <w:sz w:val="13"/>
          <w:szCs w:val="13"/>
          <w:b w:val="1"/>
          <w:bCs w:val="1"/>
          <w:color w:val="auto"/>
        </w:rPr>
      </w:pPr>
    </w:p>
    <w:p>
      <w:pPr>
        <w:ind w:left="2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Short-term investments as of December 31, 2020 and 2021 consisted of the following:</w:t>
      </w:r>
    </w:p>
    <w:p>
      <w:pPr>
        <w:spacing w:after="0" w:line="177" w:lineRule="exact"/>
        <w:rPr>
          <w:sz w:val="20"/>
          <w:szCs w:val="20"/>
          <w:color w:val="auto"/>
        </w:rPr>
      </w:pPr>
    </w:p>
    <w:tbl>
      <w:tblPr>
        <w:tblLayout w:type="fixed"/>
        <w:tblInd w:w="1680" w:type="dxa"/>
        <w:tblCellMar>
          <w:top w:w="0" w:type="dxa"/>
          <w:left w:w="0" w:type="dxa"/>
          <w:bottom w:w="0" w:type="dxa"/>
          <w:right w:w="0" w:type="dxa"/>
        </w:tblCellMar>
      </w:tblPr>
      <w:tr>
        <w:trPr>
          <w:trHeight w:val="124"/>
        </w:trPr>
        <w:tc>
          <w:tcPr>
            <w:tcW w:w="26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7"/>
          </w:tcPr>
          <w:p>
            <w:pPr>
              <w:ind w:left="200"/>
              <w:spacing w:after="0"/>
              <w:rPr>
                <w:sz w:val="20"/>
                <w:szCs w:val="20"/>
                <w:color w:val="auto"/>
              </w:rPr>
            </w:pPr>
            <w:r>
              <w:rPr>
                <w:rFonts w:ascii="Times New Roman" w:cs="Times New Roman" w:eastAsia="Times New Roman" w:hAnsi="Times New Roman"/>
                <w:sz w:val="10"/>
                <w:szCs w:val="10"/>
                <w:b w:val="1"/>
                <w:bCs w:val="1"/>
                <w:color w:val="auto"/>
              </w:rPr>
              <w:t>As of December 31, 2020</w:t>
            </w:r>
          </w:p>
        </w:tc>
        <w:tc>
          <w:tcPr>
            <w:tcW w:w="1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gridSpan w:val="2"/>
          </w:tcPr>
          <w:p>
            <w:pPr>
              <w:jc w:val="center"/>
              <w:ind w:right="20"/>
              <w:spacing w:after="0" w:line="80" w:lineRule="exact"/>
              <w:rPr>
                <w:sz w:val="20"/>
                <w:szCs w:val="20"/>
                <w:color w:val="auto"/>
              </w:rPr>
            </w:pPr>
            <w:r>
              <w:rPr>
                <w:rFonts w:ascii="Times New Roman" w:cs="Times New Roman" w:eastAsia="Times New Roman" w:hAnsi="Times New Roman"/>
                <w:sz w:val="9"/>
                <w:szCs w:val="9"/>
                <w:b w:val="1"/>
                <w:bCs w:val="1"/>
                <w:color w:val="auto"/>
              </w:rPr>
              <w:t>Cost or</w:t>
            </w: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gridSpan w:val="2"/>
          </w:tcPr>
          <w:p>
            <w:pPr>
              <w:jc w:val="center"/>
              <w:ind w:right="20"/>
              <w:spacing w:after="0" w:line="80" w:lineRule="exact"/>
              <w:rPr>
                <w:sz w:val="20"/>
                <w:szCs w:val="20"/>
                <w:color w:val="auto"/>
              </w:rPr>
            </w:pPr>
            <w:r>
              <w:rPr>
                <w:rFonts w:ascii="Times New Roman" w:cs="Times New Roman" w:eastAsia="Times New Roman" w:hAnsi="Times New Roman"/>
                <w:sz w:val="9"/>
                <w:szCs w:val="9"/>
                <w:b w:val="1"/>
                <w:bCs w:val="1"/>
                <w:color w:val="auto"/>
              </w:rPr>
              <w:t>Gross</w:t>
            </w: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gridSpan w:val="2"/>
          </w:tcPr>
          <w:p>
            <w:pPr>
              <w:jc w:val="center"/>
              <w:ind w:right="20"/>
              <w:spacing w:after="0" w:line="80" w:lineRule="exact"/>
              <w:rPr>
                <w:sz w:val="20"/>
                <w:szCs w:val="20"/>
                <w:color w:val="auto"/>
              </w:rPr>
            </w:pPr>
            <w:r>
              <w:rPr>
                <w:rFonts w:ascii="Times New Roman" w:cs="Times New Roman" w:eastAsia="Times New Roman" w:hAnsi="Times New Roman"/>
                <w:sz w:val="9"/>
                <w:szCs w:val="9"/>
                <w:b w:val="1"/>
                <w:bCs w:val="1"/>
                <w:color w:val="auto"/>
              </w:rPr>
              <w:t>Gross</w:t>
            </w: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gridSpan w:val="3"/>
          </w:tcPr>
          <w:p>
            <w:pPr>
              <w:jc w:val="center"/>
              <w:ind w:right="60"/>
              <w:spacing w:after="0" w:line="80" w:lineRule="exact"/>
              <w:rPr>
                <w:sz w:val="20"/>
                <w:szCs w:val="20"/>
                <w:color w:val="auto"/>
              </w:rPr>
            </w:pPr>
            <w:r>
              <w:rPr>
                <w:rFonts w:ascii="Times New Roman" w:cs="Times New Roman" w:eastAsia="Times New Roman" w:hAnsi="Times New Roman"/>
                <w:sz w:val="9"/>
                <w:szCs w:val="9"/>
                <w:b w:val="1"/>
                <w:bCs w:val="1"/>
                <w:color w:val="auto"/>
              </w:rPr>
              <w:t>Gross</w:t>
            </w:r>
          </w:p>
        </w:tc>
        <w:tc>
          <w:tcPr>
            <w:tcW w:w="140" w:type="dxa"/>
            <w:vAlign w:val="bottom"/>
          </w:tcPr>
          <w:p>
            <w:pPr>
              <w:spacing w:after="0"/>
              <w:rPr>
                <w:sz w:val="6"/>
                <w:szCs w:val="6"/>
                <w:color w:val="auto"/>
              </w:rPr>
            </w:pPr>
          </w:p>
        </w:tc>
        <w:tc>
          <w:tcPr>
            <w:tcW w:w="460" w:type="dxa"/>
            <w:vAlign w:val="bottom"/>
            <w:gridSpan w:val="2"/>
          </w:tcPr>
          <w:p>
            <w:pPr>
              <w:jc w:val="center"/>
              <w:spacing w:after="0" w:line="80" w:lineRule="exact"/>
              <w:rPr>
                <w:sz w:val="20"/>
                <w:szCs w:val="20"/>
                <w:color w:val="auto"/>
              </w:rPr>
            </w:pPr>
            <w:r>
              <w:rPr>
                <w:rFonts w:ascii="Times New Roman" w:cs="Times New Roman" w:eastAsia="Times New Roman" w:hAnsi="Times New Roman"/>
                <w:sz w:val="9"/>
                <w:szCs w:val="9"/>
                <w:b w:val="1"/>
                <w:bCs w:val="1"/>
                <w:color w:val="auto"/>
              </w:rPr>
              <w:t>Gross</w:t>
            </w: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gridSpan w:val="6"/>
            <w:vMerge w:val="restart"/>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0" w:type="dxa"/>
            <w:vAlign w:val="bottom"/>
          </w:tcPr>
          <w:p>
            <w:pPr>
              <w:spacing w:after="0"/>
              <w:rPr>
                <w:sz w:val="1"/>
                <w:szCs w:val="1"/>
                <w:color w:val="auto"/>
              </w:rPr>
            </w:pPr>
          </w:p>
        </w:tc>
      </w:tr>
      <w:tr>
        <w:trPr>
          <w:trHeight w:val="107"/>
        </w:trPr>
        <w:tc>
          <w:tcPr>
            <w:tcW w:w="2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gridSpan w:val="3"/>
          </w:tcPr>
          <w:p>
            <w:pPr>
              <w:jc w:val="center"/>
              <w:ind w:left="46"/>
              <w:spacing w:after="0" w:line="107" w:lineRule="exact"/>
              <w:rPr>
                <w:sz w:val="20"/>
                <w:szCs w:val="20"/>
                <w:color w:val="auto"/>
              </w:rPr>
            </w:pPr>
            <w:r>
              <w:rPr>
                <w:rFonts w:ascii="Times New Roman" w:cs="Times New Roman" w:eastAsia="Times New Roman" w:hAnsi="Times New Roman"/>
                <w:sz w:val="10"/>
                <w:szCs w:val="10"/>
                <w:b w:val="1"/>
                <w:bCs w:val="1"/>
                <w:color w:val="auto"/>
              </w:rPr>
              <w:t>Amortized</w:t>
            </w:r>
          </w:p>
        </w:tc>
        <w:tc>
          <w:tcPr>
            <w:tcW w:w="60" w:type="dxa"/>
            <w:vAlign w:val="bottom"/>
          </w:tcPr>
          <w:p>
            <w:pPr>
              <w:spacing w:after="0"/>
              <w:rPr>
                <w:sz w:val="9"/>
                <w:szCs w:val="9"/>
                <w:color w:val="auto"/>
              </w:rPr>
            </w:pPr>
          </w:p>
        </w:tc>
        <w:tc>
          <w:tcPr>
            <w:tcW w:w="720" w:type="dxa"/>
            <w:vAlign w:val="bottom"/>
            <w:gridSpan w:val="3"/>
          </w:tcPr>
          <w:p>
            <w:pPr>
              <w:jc w:val="center"/>
              <w:ind w:left="44"/>
              <w:spacing w:after="0" w:line="107" w:lineRule="exact"/>
              <w:rPr>
                <w:sz w:val="20"/>
                <w:szCs w:val="20"/>
                <w:color w:val="auto"/>
              </w:rPr>
            </w:pPr>
            <w:r>
              <w:rPr>
                <w:rFonts w:ascii="Times New Roman" w:cs="Times New Roman" w:eastAsia="Times New Roman" w:hAnsi="Times New Roman"/>
                <w:sz w:val="10"/>
                <w:szCs w:val="10"/>
                <w:b w:val="1"/>
                <w:bCs w:val="1"/>
                <w:color w:val="auto"/>
              </w:rPr>
              <w:t>unrecognized</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2"/>
          </w:tcPr>
          <w:p>
            <w:pPr>
              <w:jc w:val="center"/>
              <w:ind w:right="20"/>
              <w:spacing w:after="0" w:line="107" w:lineRule="exact"/>
              <w:rPr>
                <w:sz w:val="20"/>
                <w:szCs w:val="20"/>
                <w:color w:val="auto"/>
              </w:rPr>
            </w:pPr>
            <w:r>
              <w:rPr>
                <w:rFonts w:ascii="Times New Roman" w:cs="Times New Roman" w:eastAsia="Times New Roman" w:hAnsi="Times New Roman"/>
                <w:sz w:val="10"/>
                <w:szCs w:val="10"/>
                <w:b w:val="1"/>
                <w:bCs w:val="1"/>
                <w:color w:val="auto"/>
              </w:rPr>
              <w:t>unrecognized</w:t>
            </w:r>
          </w:p>
        </w:tc>
        <w:tc>
          <w:tcPr>
            <w:tcW w:w="60" w:type="dxa"/>
            <w:vAlign w:val="bottom"/>
          </w:tcPr>
          <w:p>
            <w:pPr>
              <w:spacing w:after="0"/>
              <w:rPr>
                <w:sz w:val="9"/>
                <w:szCs w:val="9"/>
                <w:color w:val="auto"/>
              </w:rPr>
            </w:pPr>
          </w:p>
        </w:tc>
        <w:tc>
          <w:tcPr>
            <w:tcW w:w="640" w:type="dxa"/>
            <w:vAlign w:val="bottom"/>
            <w:gridSpan w:val="4"/>
          </w:tcPr>
          <w:p>
            <w:pPr>
              <w:jc w:val="center"/>
              <w:ind w:left="9"/>
              <w:spacing w:after="0" w:line="107" w:lineRule="exact"/>
              <w:rPr>
                <w:sz w:val="20"/>
                <w:szCs w:val="20"/>
                <w:color w:val="auto"/>
              </w:rPr>
            </w:pPr>
            <w:r>
              <w:rPr>
                <w:rFonts w:ascii="Times New Roman" w:cs="Times New Roman" w:eastAsia="Times New Roman" w:hAnsi="Times New Roman"/>
                <w:sz w:val="10"/>
                <w:szCs w:val="10"/>
                <w:b w:val="1"/>
                <w:bCs w:val="1"/>
                <w:color w:val="auto"/>
              </w:rPr>
              <w:t>unrealized</w:t>
            </w:r>
          </w:p>
        </w:tc>
        <w:tc>
          <w:tcPr>
            <w:tcW w:w="600" w:type="dxa"/>
            <w:vAlign w:val="bottom"/>
            <w:gridSpan w:val="3"/>
          </w:tcPr>
          <w:p>
            <w:pPr>
              <w:jc w:val="center"/>
              <w:ind w:left="89"/>
              <w:spacing w:after="0" w:line="107" w:lineRule="exact"/>
              <w:rPr>
                <w:sz w:val="20"/>
                <w:szCs w:val="20"/>
                <w:color w:val="auto"/>
              </w:rPr>
            </w:pPr>
            <w:r>
              <w:rPr>
                <w:rFonts w:ascii="Times New Roman" w:cs="Times New Roman" w:eastAsia="Times New Roman" w:hAnsi="Times New Roman"/>
                <w:sz w:val="10"/>
                <w:szCs w:val="10"/>
                <w:b w:val="1"/>
                <w:bCs w:val="1"/>
                <w:color w:val="auto"/>
              </w:rPr>
              <w:t>unrealized</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6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rPr>
              <w:t>cost</w:t>
            </w:r>
          </w:p>
        </w:tc>
        <w:tc>
          <w:tcPr>
            <w:tcW w:w="60" w:type="dxa"/>
            <w:vAlign w:val="bottom"/>
          </w:tcPr>
          <w:p>
            <w:pPr>
              <w:spacing w:after="0"/>
              <w:rPr>
                <w:sz w:val="10"/>
                <w:szCs w:val="10"/>
                <w:color w:val="auto"/>
              </w:rPr>
            </w:pPr>
          </w:p>
        </w:tc>
        <w:tc>
          <w:tcPr>
            <w:tcW w:w="720" w:type="dxa"/>
            <w:vAlign w:val="bottom"/>
            <w:gridSpan w:val="3"/>
          </w:tcPr>
          <w:p>
            <w:pPr>
              <w:jc w:val="center"/>
              <w:ind w:left="44"/>
              <w:spacing w:after="0"/>
              <w:rPr>
                <w:sz w:val="20"/>
                <w:szCs w:val="20"/>
                <w:color w:val="auto"/>
              </w:rPr>
            </w:pPr>
            <w:r>
              <w:rPr>
                <w:rFonts w:ascii="Times New Roman" w:cs="Times New Roman" w:eastAsia="Times New Roman" w:hAnsi="Times New Roman"/>
                <w:sz w:val="10"/>
                <w:szCs w:val="10"/>
                <w:b w:val="1"/>
                <w:bCs w:val="1"/>
                <w:color w:val="auto"/>
              </w:rPr>
              <w:t>holding gains</w:t>
            </w:r>
          </w:p>
        </w:tc>
        <w:tc>
          <w:tcPr>
            <w:tcW w:w="60" w:type="dxa"/>
            <w:vAlign w:val="bottom"/>
          </w:tcPr>
          <w:p>
            <w:pPr>
              <w:spacing w:after="0"/>
              <w:rPr>
                <w:sz w:val="10"/>
                <w:szCs w:val="10"/>
                <w:color w:val="auto"/>
              </w:rPr>
            </w:pPr>
          </w:p>
        </w:tc>
        <w:tc>
          <w:tcPr>
            <w:tcW w:w="720" w:type="dxa"/>
            <w:vAlign w:val="bottom"/>
            <w:gridSpan w:val="3"/>
          </w:tcPr>
          <w:p>
            <w:pPr>
              <w:jc w:val="center"/>
              <w:ind w:left="48"/>
              <w:spacing w:after="0"/>
              <w:rPr>
                <w:sz w:val="20"/>
                <w:szCs w:val="20"/>
                <w:color w:val="auto"/>
              </w:rPr>
            </w:pPr>
            <w:r>
              <w:rPr>
                <w:rFonts w:ascii="Times New Roman" w:cs="Times New Roman" w:eastAsia="Times New Roman" w:hAnsi="Times New Roman"/>
                <w:sz w:val="10"/>
                <w:szCs w:val="10"/>
                <w:b w:val="1"/>
                <w:bCs w:val="1"/>
                <w:color w:val="auto"/>
              </w:rPr>
              <w:t>holding losses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3"/>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gains</w:t>
            </w:r>
          </w:p>
        </w:tc>
        <w:tc>
          <w:tcPr>
            <w:tcW w:w="140" w:type="dxa"/>
            <w:vAlign w:val="bottom"/>
          </w:tcPr>
          <w:p>
            <w:pPr>
              <w:spacing w:after="0"/>
              <w:rPr>
                <w:sz w:val="10"/>
                <w:szCs w:val="10"/>
                <w:color w:val="auto"/>
              </w:rPr>
            </w:pP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rPr>
              <w:t>losses</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6"/>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carrying amount</w:t>
            </w:r>
          </w:p>
        </w:tc>
        <w:tc>
          <w:tcPr>
            <w:tcW w:w="0" w:type="dxa"/>
            <w:vAlign w:val="bottom"/>
          </w:tcPr>
          <w:p>
            <w:pPr>
              <w:spacing w:after="0"/>
              <w:rPr>
                <w:sz w:val="1"/>
                <w:szCs w:val="1"/>
                <w:color w:val="auto"/>
              </w:rPr>
            </w:pPr>
          </w:p>
        </w:tc>
      </w:tr>
      <w:tr>
        <w:trPr>
          <w:trHeight w:val="106"/>
        </w:trPr>
        <w:tc>
          <w:tcPr>
            <w:tcW w:w="2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Borders>
              <w:top w:val="single" w:sz="8" w:color="auto"/>
            </w:tcBorders>
            <w:gridSpan w:val="2"/>
          </w:tcPr>
          <w:p>
            <w:pPr>
              <w:jc w:val="right"/>
              <w:ind w:right="120"/>
              <w:spacing w:after="0" w:line="107" w:lineRule="exact"/>
              <w:rPr>
                <w:sz w:val="20"/>
                <w:szCs w:val="20"/>
                <w:color w:val="auto"/>
              </w:rPr>
            </w:pPr>
            <w:r>
              <w:rPr>
                <w:rFonts w:ascii="Times New Roman" w:cs="Times New Roman" w:eastAsia="Times New Roman" w:hAnsi="Times New Roman"/>
                <w:sz w:val="10"/>
                <w:szCs w:val="10"/>
                <w:b w:val="1"/>
                <w:bCs w:val="1"/>
                <w:color w:val="auto"/>
              </w:rPr>
              <w:t>RMB</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Borders>
              <w:top w:val="single" w:sz="8" w:color="auto"/>
            </w:tcBorders>
            <w:gridSpan w:val="2"/>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RMB</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Borders>
              <w:top w:val="single" w:sz="8" w:color="auto"/>
            </w:tcBorders>
            <w:gridSpan w:val="2"/>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RMB</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top w:val="single" w:sz="8" w:color="auto"/>
            </w:tcBorders>
            <w:gridSpan w:val="2"/>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RMB</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Borders>
              <w:top w:val="single" w:sz="8" w:color="auto"/>
            </w:tcBorders>
            <w:gridSpan w:val="2"/>
          </w:tcPr>
          <w:p>
            <w:pPr>
              <w:jc w:val="center"/>
              <w:ind w:right="20"/>
              <w:spacing w:after="0" w:line="107" w:lineRule="exact"/>
              <w:rPr>
                <w:sz w:val="20"/>
                <w:szCs w:val="20"/>
                <w:color w:val="auto"/>
              </w:rPr>
            </w:pPr>
            <w:r>
              <w:rPr>
                <w:rFonts w:ascii="Times New Roman" w:cs="Times New Roman" w:eastAsia="Times New Roman" w:hAnsi="Times New Roman"/>
                <w:sz w:val="10"/>
                <w:szCs w:val="10"/>
                <w:b w:val="1"/>
                <w:bCs w:val="1"/>
                <w:color w:val="auto"/>
              </w:rPr>
              <w:t>RMB</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top w:val="single" w:sz="8" w:color="auto"/>
            </w:tcBorders>
            <w:gridSpan w:val="2"/>
          </w:tcPr>
          <w:p>
            <w:pPr>
              <w:jc w:val="right"/>
              <w:ind w:right="80"/>
              <w:spacing w:after="0" w:line="107" w:lineRule="exact"/>
              <w:rPr>
                <w:sz w:val="20"/>
                <w:szCs w:val="20"/>
                <w:color w:val="auto"/>
              </w:rPr>
            </w:pPr>
            <w:r>
              <w:rPr>
                <w:rFonts w:ascii="Times New Roman" w:cs="Times New Roman" w:eastAsia="Times New Roman" w:hAnsi="Times New Roman"/>
                <w:sz w:val="10"/>
                <w:szCs w:val="10"/>
                <w:b w:val="1"/>
                <w:bCs w:val="1"/>
                <w:color w:val="auto"/>
              </w:rPr>
              <w:t>RMB</w:t>
            </w:r>
          </w:p>
        </w:tc>
        <w:tc>
          <w:tcPr>
            <w:tcW w:w="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Trading debt investments</w:t>
            </w:r>
          </w:p>
        </w:tc>
        <w:tc>
          <w:tcPr>
            <w:tcW w:w="138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4,883</w:t>
            </w:r>
          </w:p>
        </w:tc>
        <w:tc>
          <w:tcPr>
            <w:tcW w:w="780" w:type="dxa"/>
            <w:vAlign w:val="bottom"/>
            <w:gridSpan w:val="4"/>
            <w:vMerge w:val="restart"/>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w w:val="92"/>
              </w:rPr>
              <w:t>304</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gridSpan w:val="3"/>
            <w:vMerge w:val="restart"/>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5,187</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40" w:type="dxa"/>
            <w:vAlign w:val="bottom"/>
            <w:shd w:val="clear" w:color="auto" w:fill="CCEEFF"/>
          </w:tcPr>
          <w:p>
            <w:pPr>
              <w:spacing w:after="0"/>
              <w:rPr>
                <w:sz w:val="12"/>
                <w:szCs w:val="12"/>
                <w:color w:val="auto"/>
              </w:rPr>
            </w:pPr>
          </w:p>
        </w:tc>
        <w:tc>
          <w:tcPr>
            <w:tcW w:w="1380" w:type="dxa"/>
            <w:vAlign w:val="bottom"/>
            <w:gridSpan w:val="4"/>
            <w:vMerge w:val="continue"/>
            <w:shd w:val="clear" w:color="auto" w:fill="CCEEFF"/>
          </w:tcPr>
          <w:p>
            <w:pPr>
              <w:spacing w:after="0"/>
              <w:rPr>
                <w:sz w:val="12"/>
                <w:szCs w:val="12"/>
                <w:color w:val="auto"/>
              </w:rPr>
            </w:pPr>
          </w:p>
        </w:tc>
        <w:tc>
          <w:tcPr>
            <w:tcW w:w="780" w:type="dxa"/>
            <w:vAlign w:val="bottom"/>
            <w:gridSpan w:val="4"/>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3"/>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gridSpan w:val="2"/>
            <w:vMerge w:val="continue"/>
            <w:shd w:val="clear" w:color="auto" w:fill="CCEEFF"/>
          </w:tcPr>
          <w:p>
            <w:pPr>
              <w:spacing w:after="0"/>
              <w:rPr>
                <w:sz w:val="12"/>
                <w:szCs w:val="12"/>
                <w:color w:val="auto"/>
              </w:rPr>
            </w:pPr>
          </w:p>
        </w:tc>
        <w:tc>
          <w:tcPr>
            <w:tcW w:w="600" w:type="dxa"/>
            <w:vAlign w:val="bottom"/>
            <w:gridSpan w:val="4"/>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640" w:type="dxa"/>
            <w:vAlign w:val="bottom"/>
          </w:tcPr>
          <w:p>
            <w:pPr>
              <w:spacing w:after="0"/>
              <w:rPr>
                <w:sz w:val="20"/>
                <w:szCs w:val="20"/>
                <w:color w:val="auto"/>
              </w:rPr>
            </w:pPr>
            <w:r>
              <w:rPr>
                <w:rFonts w:ascii="Times New Roman" w:cs="Times New Roman" w:eastAsia="Times New Roman" w:hAnsi="Times New Roman"/>
                <w:sz w:val="13"/>
                <w:szCs w:val="13"/>
                <w:color w:val="auto"/>
              </w:rPr>
              <w:t>Available-for-sale debt investments</w:t>
            </w:r>
          </w:p>
        </w:tc>
        <w:tc>
          <w:tcPr>
            <w:tcW w:w="920" w:type="dxa"/>
            <w:vAlign w:val="bottom"/>
            <w:gridSpan w:val="2"/>
            <w:vMerge w:val="restart"/>
          </w:tcPr>
          <w:p>
            <w:pPr>
              <w:spacing w:after="0"/>
              <w:rPr>
                <w:sz w:val="14"/>
                <w:szCs w:val="14"/>
                <w:color w:val="auto"/>
              </w:rPr>
            </w:pP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42,355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vMerge w:val="restart"/>
          </w:tcPr>
          <w:p>
            <w:pPr>
              <w:spacing w:after="0"/>
              <w:rPr>
                <w:sz w:val="14"/>
                <w:szCs w:val="14"/>
                <w:color w:val="auto"/>
              </w:rPr>
            </w:pP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1,729</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vMerge w:val="restart"/>
          </w:tcPr>
          <w:p>
            <w:pPr>
              <w:spacing w:after="0"/>
              <w:rPr>
                <w:sz w:val="14"/>
                <w:szCs w:val="14"/>
                <w:color w:val="auto"/>
              </w:rPr>
            </w:pPr>
          </w:p>
        </w:tc>
        <w:tc>
          <w:tcPr>
            <w:tcW w:w="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44,084</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460" w:type="dxa"/>
            <w:vAlign w:val="bottom"/>
            <w:tcBorders>
              <w:bottom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bottom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bottom w:val="single" w:sz="8" w:color="auto"/>
            </w:tcBorders>
            <w:gridSpan w:val="2"/>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80" w:type="dxa"/>
            <w:vAlign w:val="bottom"/>
            <w:tcBorders>
              <w:bottom w:val="single" w:sz="8" w:color="auto"/>
            </w:tcBorders>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Borders>
              <w:bottom w:val="single" w:sz="8" w:color="auto"/>
            </w:tcBorders>
            <w:gridSpan w:val="2"/>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400" w:type="dxa"/>
            <w:vAlign w:val="bottom"/>
            <w:tcBorders>
              <w:bottom w:val="single" w:sz="8" w:color="auto"/>
            </w:tcBorders>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0"/>
        </w:trPr>
        <w:tc>
          <w:tcPr>
            <w:tcW w:w="26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spacing w:after="0"/>
              <w:rPr>
                <w:sz w:val="24"/>
                <w:szCs w:val="24"/>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47,238</w:t>
            </w:r>
          </w:p>
        </w:tc>
        <w:tc>
          <w:tcPr>
            <w:tcW w:w="180" w:type="dxa"/>
            <w:vAlign w:val="bottom"/>
            <w:gridSpan w:val="2"/>
            <w:shd w:val="clear" w:color="auto" w:fill="CCEEFF"/>
          </w:tcPr>
          <w:p>
            <w:pPr>
              <w:spacing w:after="0"/>
              <w:rPr>
                <w:sz w:val="24"/>
                <w:szCs w:val="24"/>
                <w:color w:val="auto"/>
              </w:rPr>
            </w:pPr>
          </w:p>
        </w:tc>
        <w:tc>
          <w:tcPr>
            <w:tcW w:w="600" w:type="dxa"/>
            <w:vAlign w:val="bottom"/>
            <w:tcBorders>
              <w:bottom w:val="single" w:sz="8" w:color="auto"/>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w w:val="92"/>
              </w:rPr>
              <w:t>304</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tcBorders>
              <w:bottom w:val="single" w:sz="8" w:color="auto"/>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gridSpan w:val="2"/>
            <w:shd w:val="clear" w:color="auto" w:fill="CCEEFF"/>
          </w:tcPr>
          <w:p>
            <w:pPr>
              <w:spacing w:after="0"/>
              <w:rPr>
                <w:sz w:val="24"/>
                <w:szCs w:val="24"/>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1,729</w:t>
            </w: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tcBorders>
              <w:bottom w:val="single" w:sz="8" w:color="auto"/>
            </w:tcBorders>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gridSpan w:val="2"/>
            <w:shd w:val="clear" w:color="auto" w:fill="CCEEFF"/>
          </w:tcPr>
          <w:p>
            <w:pPr>
              <w:spacing w:after="0"/>
              <w:rPr>
                <w:sz w:val="24"/>
                <w:szCs w:val="24"/>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49,271</w:t>
            </w: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2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0"/>
                <w:szCs w:val="10"/>
                <w:b w:val="1"/>
                <w:bCs w:val="1"/>
                <w:color w:val="auto"/>
              </w:rPr>
              <w:t>As of December 31, 2021</w:t>
            </w: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580" w:type="dxa"/>
            <w:vAlign w:val="bottom"/>
            <w:gridSpan w:val="3"/>
          </w:tcPr>
          <w:p>
            <w:pPr>
              <w:jc w:val="center"/>
              <w:ind w:right="120"/>
              <w:spacing w:after="0" w:line="80" w:lineRule="exact"/>
              <w:rPr>
                <w:sz w:val="20"/>
                <w:szCs w:val="20"/>
                <w:color w:val="auto"/>
              </w:rPr>
            </w:pPr>
            <w:r>
              <w:rPr>
                <w:rFonts w:ascii="Times New Roman" w:cs="Times New Roman" w:eastAsia="Times New Roman" w:hAnsi="Times New Roman"/>
                <w:sz w:val="9"/>
                <w:szCs w:val="9"/>
                <w:b w:val="1"/>
                <w:bCs w:val="1"/>
                <w:color w:val="auto"/>
              </w:rPr>
              <w:t>Cost or</w:t>
            </w: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gridSpan w:val="2"/>
          </w:tcPr>
          <w:p>
            <w:pPr>
              <w:ind w:left="40"/>
              <w:spacing w:after="0" w:line="80" w:lineRule="exact"/>
              <w:rPr>
                <w:sz w:val="20"/>
                <w:szCs w:val="20"/>
                <w:color w:val="auto"/>
              </w:rPr>
            </w:pPr>
            <w:r>
              <w:rPr>
                <w:rFonts w:ascii="Times New Roman" w:cs="Times New Roman" w:eastAsia="Times New Roman" w:hAnsi="Times New Roman"/>
                <w:sz w:val="9"/>
                <w:szCs w:val="9"/>
                <w:b w:val="1"/>
                <w:bCs w:val="1"/>
                <w:color w:val="auto"/>
              </w:rPr>
              <w:t>Gross</w:t>
            </w: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gridSpan w:val="2"/>
          </w:tcPr>
          <w:p>
            <w:pPr>
              <w:jc w:val="center"/>
              <w:ind w:right="260"/>
              <w:spacing w:after="0" w:line="80" w:lineRule="exact"/>
              <w:rPr>
                <w:sz w:val="20"/>
                <w:szCs w:val="20"/>
                <w:color w:val="auto"/>
              </w:rPr>
            </w:pPr>
            <w:r>
              <w:rPr>
                <w:rFonts w:ascii="Times New Roman" w:cs="Times New Roman" w:eastAsia="Times New Roman" w:hAnsi="Times New Roman"/>
                <w:sz w:val="9"/>
                <w:szCs w:val="9"/>
                <w:b w:val="1"/>
                <w:bCs w:val="1"/>
                <w:color w:val="auto"/>
              </w:rPr>
              <w:t>Gross</w:t>
            </w:r>
          </w:p>
        </w:tc>
        <w:tc>
          <w:tcPr>
            <w:tcW w:w="60" w:type="dxa"/>
            <w:vAlign w:val="bottom"/>
          </w:tcPr>
          <w:p>
            <w:pPr>
              <w:spacing w:after="0"/>
              <w:rPr>
                <w:sz w:val="6"/>
                <w:szCs w:val="6"/>
                <w:color w:val="auto"/>
              </w:rPr>
            </w:pPr>
          </w:p>
        </w:tc>
        <w:tc>
          <w:tcPr>
            <w:tcW w:w="640" w:type="dxa"/>
            <w:vAlign w:val="bottom"/>
            <w:gridSpan w:val="4"/>
          </w:tcPr>
          <w:p>
            <w:pPr>
              <w:jc w:val="center"/>
              <w:ind w:right="180"/>
              <w:spacing w:after="0" w:line="80" w:lineRule="exact"/>
              <w:rPr>
                <w:sz w:val="20"/>
                <w:szCs w:val="20"/>
                <w:color w:val="auto"/>
              </w:rPr>
            </w:pPr>
            <w:r>
              <w:rPr>
                <w:rFonts w:ascii="Times New Roman" w:cs="Times New Roman" w:eastAsia="Times New Roman" w:hAnsi="Times New Roman"/>
                <w:sz w:val="9"/>
                <w:szCs w:val="9"/>
                <w:b w:val="1"/>
                <w:bCs w:val="1"/>
                <w:color w:val="auto"/>
              </w:rPr>
              <w:t>Gross</w:t>
            </w:r>
          </w:p>
        </w:tc>
        <w:tc>
          <w:tcPr>
            <w:tcW w:w="600" w:type="dxa"/>
            <w:vAlign w:val="bottom"/>
            <w:gridSpan w:val="3"/>
          </w:tcPr>
          <w:p>
            <w:pPr>
              <w:jc w:val="center"/>
              <w:ind w:right="140"/>
              <w:spacing w:after="0" w:line="80" w:lineRule="exact"/>
              <w:rPr>
                <w:sz w:val="20"/>
                <w:szCs w:val="20"/>
                <w:color w:val="auto"/>
              </w:rPr>
            </w:pPr>
            <w:r>
              <w:rPr>
                <w:rFonts w:ascii="Times New Roman" w:cs="Times New Roman" w:eastAsia="Times New Roman" w:hAnsi="Times New Roman"/>
                <w:sz w:val="9"/>
                <w:szCs w:val="9"/>
                <w:b w:val="1"/>
                <w:bCs w:val="1"/>
                <w:color w:val="auto"/>
              </w:rPr>
              <w:t>Gross</w:t>
            </w: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gridSpan w:val="6"/>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0" w:type="dxa"/>
            <w:vAlign w:val="bottom"/>
          </w:tcPr>
          <w:p>
            <w:pPr>
              <w:spacing w:after="0"/>
              <w:rPr>
                <w:sz w:val="1"/>
                <w:szCs w:val="1"/>
                <w:color w:val="auto"/>
              </w:rPr>
            </w:pPr>
          </w:p>
        </w:tc>
      </w:tr>
      <w:tr>
        <w:trPr>
          <w:trHeight w:val="107"/>
        </w:trPr>
        <w:tc>
          <w:tcPr>
            <w:tcW w:w="2640" w:type="dxa"/>
            <w:vAlign w:val="bottom"/>
          </w:tcPr>
          <w:p>
            <w:pPr>
              <w:spacing w:after="0"/>
              <w:rPr>
                <w:sz w:val="9"/>
                <w:szCs w:val="9"/>
                <w:color w:val="auto"/>
              </w:rPr>
            </w:pPr>
          </w:p>
        </w:tc>
        <w:tc>
          <w:tcPr>
            <w:tcW w:w="1380" w:type="dxa"/>
            <w:vAlign w:val="bottom"/>
            <w:gridSpan w:val="4"/>
          </w:tcPr>
          <w:p>
            <w:pPr>
              <w:jc w:val="right"/>
              <w:ind w:right="120"/>
              <w:spacing w:after="0" w:line="107" w:lineRule="exact"/>
              <w:rPr>
                <w:sz w:val="20"/>
                <w:szCs w:val="20"/>
                <w:color w:val="auto"/>
              </w:rPr>
            </w:pPr>
            <w:r>
              <w:rPr>
                <w:rFonts w:ascii="Times New Roman" w:cs="Times New Roman" w:eastAsia="Times New Roman" w:hAnsi="Times New Roman"/>
                <w:sz w:val="10"/>
                <w:szCs w:val="10"/>
                <w:b w:val="1"/>
                <w:bCs w:val="1"/>
                <w:color w:val="auto"/>
              </w:rPr>
              <w:t>Amortized</w:t>
            </w:r>
          </w:p>
        </w:tc>
        <w:tc>
          <w:tcPr>
            <w:tcW w:w="780" w:type="dxa"/>
            <w:vAlign w:val="bottom"/>
            <w:gridSpan w:val="4"/>
          </w:tcPr>
          <w:p>
            <w:pPr>
              <w:jc w:val="right"/>
              <w:ind w:right="120"/>
              <w:spacing w:after="0" w:line="107" w:lineRule="exact"/>
              <w:rPr>
                <w:sz w:val="20"/>
                <w:szCs w:val="20"/>
                <w:color w:val="auto"/>
              </w:rPr>
            </w:pPr>
            <w:r>
              <w:rPr>
                <w:rFonts w:ascii="Times New Roman" w:cs="Times New Roman" w:eastAsia="Times New Roman" w:hAnsi="Times New Roman"/>
                <w:sz w:val="10"/>
                <w:szCs w:val="10"/>
                <w:b w:val="1"/>
                <w:bCs w:val="1"/>
                <w:color w:val="auto"/>
              </w:rPr>
              <w:t>unrecognized</w:t>
            </w:r>
          </w:p>
        </w:tc>
        <w:tc>
          <w:tcPr>
            <w:tcW w:w="60" w:type="dxa"/>
            <w:vAlign w:val="bottom"/>
          </w:tcPr>
          <w:p>
            <w:pPr>
              <w:spacing w:after="0"/>
              <w:rPr>
                <w:sz w:val="9"/>
                <w:szCs w:val="9"/>
                <w:color w:val="auto"/>
              </w:rPr>
            </w:pPr>
          </w:p>
        </w:tc>
        <w:tc>
          <w:tcPr>
            <w:tcW w:w="720" w:type="dxa"/>
            <w:vAlign w:val="bottom"/>
            <w:gridSpan w:val="3"/>
          </w:tcPr>
          <w:p>
            <w:pPr>
              <w:jc w:val="center"/>
              <w:ind w:right="120"/>
              <w:spacing w:after="0" w:line="107" w:lineRule="exact"/>
              <w:rPr>
                <w:sz w:val="20"/>
                <w:szCs w:val="20"/>
                <w:color w:val="auto"/>
              </w:rPr>
            </w:pPr>
            <w:r>
              <w:rPr>
                <w:rFonts w:ascii="Times New Roman" w:cs="Times New Roman" w:eastAsia="Times New Roman" w:hAnsi="Times New Roman"/>
                <w:sz w:val="10"/>
                <w:szCs w:val="10"/>
                <w:b w:val="1"/>
                <w:bCs w:val="1"/>
                <w:color w:val="auto"/>
              </w:rPr>
              <w:t>unrecognized</w:t>
            </w:r>
          </w:p>
        </w:tc>
        <w:tc>
          <w:tcPr>
            <w:tcW w:w="700" w:type="dxa"/>
            <w:vAlign w:val="bottom"/>
            <w:gridSpan w:val="5"/>
          </w:tcPr>
          <w:p>
            <w:pPr>
              <w:jc w:val="center"/>
              <w:ind w:right="120"/>
              <w:spacing w:after="0" w:line="107" w:lineRule="exact"/>
              <w:rPr>
                <w:sz w:val="20"/>
                <w:szCs w:val="20"/>
                <w:color w:val="auto"/>
              </w:rPr>
            </w:pPr>
            <w:r>
              <w:rPr>
                <w:rFonts w:ascii="Times New Roman" w:cs="Times New Roman" w:eastAsia="Times New Roman" w:hAnsi="Times New Roman"/>
                <w:sz w:val="10"/>
                <w:szCs w:val="10"/>
                <w:b w:val="1"/>
                <w:bCs w:val="1"/>
                <w:color w:val="auto"/>
              </w:rPr>
              <w:t>unrealized</w:t>
            </w:r>
          </w:p>
        </w:tc>
        <w:tc>
          <w:tcPr>
            <w:tcW w:w="600" w:type="dxa"/>
            <w:vAlign w:val="bottom"/>
            <w:gridSpan w:val="3"/>
          </w:tcPr>
          <w:p>
            <w:pPr>
              <w:jc w:val="center"/>
              <w:ind w:right="140"/>
              <w:spacing w:after="0" w:line="107" w:lineRule="exact"/>
              <w:rPr>
                <w:sz w:val="20"/>
                <w:szCs w:val="20"/>
                <w:color w:val="auto"/>
              </w:rPr>
            </w:pPr>
            <w:r>
              <w:rPr>
                <w:rFonts w:ascii="Times New Roman" w:cs="Times New Roman" w:eastAsia="Times New Roman" w:hAnsi="Times New Roman"/>
                <w:sz w:val="10"/>
                <w:szCs w:val="10"/>
                <w:b w:val="1"/>
                <w:bCs w:val="1"/>
                <w:color w:val="auto"/>
              </w:rPr>
              <w:t>unrealized</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6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cost</w:t>
            </w:r>
          </w:p>
        </w:tc>
        <w:tc>
          <w:tcPr>
            <w:tcW w:w="780" w:type="dxa"/>
            <w:vAlign w:val="bottom"/>
            <w:gridSpan w:val="4"/>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holding gains</w:t>
            </w:r>
          </w:p>
        </w:tc>
        <w:tc>
          <w:tcPr>
            <w:tcW w:w="780" w:type="dxa"/>
            <w:vAlign w:val="bottom"/>
            <w:gridSpan w:val="4"/>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holding losses</w:t>
            </w:r>
          </w:p>
        </w:tc>
        <w:tc>
          <w:tcPr>
            <w:tcW w:w="60" w:type="dxa"/>
            <w:vAlign w:val="bottom"/>
          </w:tcPr>
          <w:p>
            <w:pPr>
              <w:spacing w:after="0"/>
              <w:rPr>
                <w:sz w:val="10"/>
                <w:szCs w:val="10"/>
                <w:color w:val="auto"/>
              </w:rPr>
            </w:pPr>
          </w:p>
        </w:tc>
        <w:tc>
          <w:tcPr>
            <w:tcW w:w="640" w:type="dxa"/>
            <w:vAlign w:val="bottom"/>
            <w:gridSpan w:val="4"/>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8"/>
              </w:rPr>
              <w:t>gains</w:t>
            </w:r>
          </w:p>
        </w:tc>
        <w:tc>
          <w:tcPr>
            <w:tcW w:w="600" w:type="dxa"/>
            <w:vAlign w:val="bottom"/>
            <w:gridSpan w:val="3"/>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losses</w:t>
            </w:r>
          </w:p>
        </w:tc>
        <w:tc>
          <w:tcPr>
            <w:tcW w:w="40" w:type="dxa"/>
            <w:vAlign w:val="bottom"/>
          </w:tcPr>
          <w:p>
            <w:pPr>
              <w:spacing w:after="0"/>
              <w:rPr>
                <w:sz w:val="10"/>
                <w:szCs w:val="10"/>
                <w:color w:val="auto"/>
              </w:rPr>
            </w:pPr>
          </w:p>
        </w:tc>
        <w:tc>
          <w:tcPr>
            <w:tcW w:w="1020" w:type="dxa"/>
            <w:vAlign w:val="bottom"/>
            <w:gridSpan w:val="7"/>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carrying amount</w:t>
            </w:r>
          </w:p>
        </w:tc>
        <w:tc>
          <w:tcPr>
            <w:tcW w:w="0" w:type="dxa"/>
            <w:vAlign w:val="bottom"/>
          </w:tcPr>
          <w:p>
            <w:pPr>
              <w:spacing w:after="0"/>
              <w:rPr>
                <w:sz w:val="1"/>
                <w:szCs w:val="1"/>
                <w:color w:val="auto"/>
              </w:rPr>
            </w:pPr>
          </w:p>
        </w:tc>
      </w:tr>
      <w:tr>
        <w:trPr>
          <w:trHeight w:val="97"/>
        </w:trPr>
        <w:tc>
          <w:tcPr>
            <w:tcW w:w="2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Borders>
              <w:top w:val="single" w:sz="8" w:color="auto"/>
            </w:tcBorders>
            <w:gridSpan w:val="2"/>
          </w:tcPr>
          <w:p>
            <w:pPr>
              <w:jc w:val="center"/>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ind w:right="126"/>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center"/>
              <w:ind w:right="64"/>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Borders>
              <w:top w:val="single" w:sz="8" w:color="auto"/>
            </w:tcBorders>
            <w:gridSpan w:val="2"/>
          </w:tcPr>
          <w:p>
            <w:pPr>
              <w:jc w:val="center"/>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180" w:type="dxa"/>
            <w:vAlign w:val="bottom"/>
            <w:gridSpan w:val="2"/>
          </w:tcPr>
          <w:p>
            <w:pPr>
              <w:spacing w:after="0"/>
              <w:rPr>
                <w:sz w:val="8"/>
                <w:szCs w:val="8"/>
                <w:color w:val="auto"/>
              </w:rPr>
            </w:pPr>
          </w:p>
        </w:tc>
        <w:tc>
          <w:tcPr>
            <w:tcW w:w="480" w:type="dxa"/>
            <w:vAlign w:val="bottom"/>
            <w:tcBorders>
              <w:top w:val="single" w:sz="8" w:color="auto"/>
            </w:tcBorders>
            <w:gridSpan w:val="2"/>
          </w:tcPr>
          <w:p>
            <w:pPr>
              <w:jc w:val="center"/>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Borders>
              <w:top w:val="single" w:sz="8" w:color="auto"/>
            </w:tcBorders>
            <w:gridSpan w:val="3"/>
          </w:tcPr>
          <w:p>
            <w:pPr>
              <w:jc w:val="right"/>
              <w:ind w:right="240"/>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20" w:type="dxa"/>
            <w:vAlign w:val="bottom"/>
            <w:tcBorders>
              <w:top w:val="single" w:sz="8" w:color="auto"/>
            </w:tcBorders>
          </w:tcPr>
          <w:p>
            <w:pPr>
              <w:spacing w:after="0"/>
              <w:rPr>
                <w:sz w:val="8"/>
                <w:szCs w:val="8"/>
                <w:color w:val="auto"/>
              </w:rPr>
            </w:pPr>
          </w:p>
        </w:tc>
        <w:tc>
          <w:tcPr>
            <w:tcW w:w="400" w:type="dxa"/>
            <w:vAlign w:val="bottom"/>
            <w:tcBorders>
              <w:top w:val="single" w:sz="8" w:color="auto"/>
            </w:tcBorders>
            <w:gridSpan w:val="2"/>
          </w:tcPr>
          <w:p>
            <w:pPr>
              <w:jc w:val="right"/>
              <w:ind w:right="120"/>
              <w:spacing w:after="0" w:line="97" w:lineRule="exact"/>
              <w:rPr>
                <w:sz w:val="20"/>
                <w:szCs w:val="20"/>
                <w:color w:val="auto"/>
              </w:rPr>
            </w:pPr>
            <w:r>
              <w:rPr>
                <w:rFonts w:ascii="Times New Roman" w:cs="Times New Roman" w:eastAsia="Times New Roman" w:hAnsi="Times New Roman"/>
                <w:sz w:val="10"/>
                <w:szCs w:val="10"/>
                <w:b w:val="1"/>
                <w:bCs w:val="1"/>
                <w:color w:val="auto"/>
              </w:rPr>
              <w:t>US$</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Trading debt investments</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63,741</w:t>
            </w:r>
          </w:p>
        </w:tc>
        <w:tc>
          <w:tcPr>
            <w:tcW w:w="10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1,367</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65,108</w:t>
            </w:r>
          </w:p>
        </w:tc>
        <w:tc>
          <w:tcPr>
            <w:tcW w:w="16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10,217</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63,741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1,367</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65,108</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10,217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color w:val="auto"/>
        </w:rPr>
        <w:t>F- 39</w:t>
      </w:r>
    </w:p>
    <w:p>
      <w:pPr>
        <w:sectPr>
          <w:pgSz w:w="11900" w:h="16838" w:orient="portrait"/>
          <w:cols w:equalWidth="0" w:num="1">
            <w:col w:w="10159"/>
          </w:cols>
          <w:pgMar w:left="300" w:top="388" w:right="1440"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1">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 (CONTINUED)</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2">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7" w:lineRule="exact"/>
        <w:rPr>
          <w:sz w:val="20"/>
          <w:szCs w:val="20"/>
          <w:color w:val="auto"/>
        </w:rPr>
      </w:pPr>
    </w:p>
    <w:p>
      <w:pPr>
        <w:ind w:left="1980" w:hanging="304"/>
        <w:spacing w:after="0"/>
        <w:tabs>
          <w:tab w:leader="none" w:pos="1980" w:val="left"/>
        </w:tabs>
        <w:numPr>
          <w:ilvl w:val="0"/>
          <w:numId w:val="12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Short-term Investments (Continued)</w:t>
      </w:r>
    </w:p>
    <w:p>
      <w:pPr>
        <w:spacing w:after="0" w:line="192" w:lineRule="exact"/>
        <w:rPr>
          <w:rFonts w:ascii="Times New Roman" w:cs="Times New Roman" w:eastAsia="Times New Roman" w:hAnsi="Times New Roman"/>
          <w:sz w:val="13"/>
          <w:szCs w:val="13"/>
          <w:b w:val="1"/>
          <w:bCs w:val="1"/>
          <w:color w:val="auto"/>
        </w:rPr>
      </w:pPr>
    </w:p>
    <w:p>
      <w:pPr>
        <w:ind w:left="2000" w:right="559"/>
        <w:spacing w:after="0" w:line="264"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Trading debt investments include debt investments issued by a private equity fund outside the PRC amounting to RMB5,187 and RMB65,108 (US$10,217) as of December 31, 2020 and 2021, respectively. The available-for-sale debt investments held by the Group as of December 31, 2020 are issued by a private equity fund outside the PRC and are mandatorily redeemable at the end of the one-year investment term.</w:t>
      </w:r>
    </w:p>
    <w:p>
      <w:pPr>
        <w:spacing w:after="0" w:line="51" w:lineRule="exact"/>
        <w:rPr>
          <w:rFonts w:ascii="Times New Roman" w:cs="Times New Roman" w:eastAsia="Times New Roman" w:hAnsi="Times New Roman"/>
          <w:sz w:val="13"/>
          <w:szCs w:val="13"/>
          <w:b w:val="1"/>
          <w:bCs w:val="1"/>
          <w:color w:val="auto"/>
        </w:rPr>
      </w:pPr>
    </w:p>
    <w:p>
      <w:pPr>
        <w:ind w:left="2000" w:right="639"/>
        <w:spacing w:after="0" w:line="278"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For the years ended December 31, 2019, 2020 and 2021, the Group recognized interest income of RMB299, RMB478, and RMB1,818 (US$285) from short-term investments, respectively.</w:t>
      </w:r>
    </w:p>
    <w:p>
      <w:pPr>
        <w:spacing w:after="0" w:line="42" w:lineRule="exact"/>
        <w:rPr>
          <w:rFonts w:ascii="Times New Roman" w:cs="Times New Roman" w:eastAsia="Times New Roman" w:hAnsi="Times New Roman"/>
          <w:sz w:val="13"/>
          <w:szCs w:val="13"/>
          <w:b w:val="1"/>
          <w:bCs w:val="1"/>
          <w:color w:val="auto"/>
        </w:rPr>
      </w:pPr>
    </w:p>
    <w:p>
      <w:pPr>
        <w:ind w:left="2000" w:right="719"/>
        <w:spacing w:after="0" w:line="322"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2"/>
          <w:szCs w:val="12"/>
          <w:color w:val="auto"/>
        </w:rPr>
        <w:t>For the years ended December 31, 2019, 2020 and 2021, the realized gain on the available-for-sale debt investments held by the Group that was reclassified from Accumulative other comprehensive income to Interest and investment income amounted to nil, nil and RMB1,729 (US$271).</w:t>
      </w:r>
    </w:p>
    <w:p>
      <w:pPr>
        <w:spacing w:after="0" w:line="201" w:lineRule="exact"/>
        <w:rPr>
          <w:rFonts w:ascii="Times New Roman" w:cs="Times New Roman" w:eastAsia="Times New Roman" w:hAnsi="Times New Roman"/>
          <w:sz w:val="13"/>
          <w:szCs w:val="13"/>
          <w:b w:val="1"/>
          <w:bCs w:val="1"/>
          <w:color w:val="auto"/>
        </w:rPr>
      </w:pPr>
    </w:p>
    <w:p>
      <w:pPr>
        <w:ind w:left="1980" w:hanging="304"/>
        <w:spacing w:after="0"/>
        <w:tabs>
          <w:tab w:leader="none" w:pos="1980" w:val="left"/>
        </w:tabs>
        <w:numPr>
          <w:ilvl w:val="0"/>
          <w:numId w:val="12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Accounts Receivable, Net</w:t>
      </w:r>
    </w:p>
    <w:p>
      <w:pPr>
        <w:spacing w:after="0" w:line="85" w:lineRule="exact"/>
        <w:rPr>
          <w:rFonts w:ascii="Times New Roman" w:cs="Times New Roman" w:eastAsia="Times New Roman" w:hAnsi="Times New Roman"/>
          <w:sz w:val="13"/>
          <w:szCs w:val="13"/>
          <w:b w:val="1"/>
          <w:bCs w:val="1"/>
          <w:color w:val="auto"/>
        </w:rPr>
      </w:pPr>
    </w:p>
    <w:p>
      <w:pPr>
        <w:ind w:left="2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Accounts receivable, net, consisted of the following:</w:t>
      </w:r>
    </w:p>
    <w:p>
      <w:pPr>
        <w:spacing w:after="0" w:line="17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0"/>
          <w:szCs w:val="10"/>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4513580</wp:posOffset>
            </wp:positionH>
            <wp:positionV relativeFrom="paragraph">
              <wp:posOffset>5715</wp:posOffset>
            </wp:positionV>
            <wp:extent cx="1136650" cy="63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3">
                      <a:extLst>
                        <a:ext uri="{28A0092B-C50C-407E-A947-70E740481C1C}"/>
                      </a:extLst>
                    </a:blip>
                    <a:srcRect/>
                    <a:stretch>
                      <a:fillRect/>
                    </a:stretch>
                  </pic:blipFill>
                  <pic:spPr bwMode="auto">
                    <a:xfrm>
                      <a:off x="0" y="0"/>
                      <a:ext cx="1136650" cy="6350"/>
                    </a:xfrm>
                    <a:prstGeom prst="rect">
                      <a:avLst/>
                    </a:prstGeom>
                    <a:noFill/>
                  </pic:spPr>
                </pic:pic>
              </a:graphicData>
            </a:graphic>
          </wp:anchor>
        </w:drawing>
      </w:r>
    </w:p>
    <w:p>
      <w:pPr>
        <w:ind w:left="7240"/>
        <w:spacing w:after="0"/>
        <w:tabs>
          <w:tab w:leader="none" w:pos="8220" w:val="left"/>
        </w:tabs>
        <w:rPr>
          <w:sz w:val="20"/>
          <w:szCs w:val="20"/>
          <w:color w:val="auto"/>
        </w:rPr>
      </w:pPr>
      <w:r>
        <w:rPr>
          <w:rFonts w:ascii="Times New Roman" w:cs="Times New Roman" w:eastAsia="Times New Roman" w:hAnsi="Times New Roman"/>
          <w:sz w:val="10"/>
          <w:szCs w:val="10"/>
          <w:b w:val="1"/>
          <w:bCs w:val="1"/>
          <w:color w:val="auto"/>
        </w:rPr>
        <w:t>2020</w:t>
      </w:r>
      <w:r>
        <w:rPr>
          <w:sz w:val="20"/>
          <w:szCs w:val="20"/>
          <w:color w:val="auto"/>
        </w:rPr>
        <w:tab/>
      </w:r>
      <w:r>
        <w:rPr>
          <w:rFonts w:ascii="Times New Roman" w:cs="Times New Roman" w:eastAsia="Times New Roman" w:hAnsi="Times New Roman"/>
          <w:sz w:val="10"/>
          <w:szCs w:val="10"/>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4513580</wp:posOffset>
            </wp:positionH>
            <wp:positionV relativeFrom="paragraph">
              <wp:posOffset>-1270</wp:posOffset>
            </wp:positionV>
            <wp:extent cx="1136650" cy="63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4">
                      <a:extLst>
                        <a:ext uri="{28A0092B-C50C-407E-A947-70E740481C1C}"/>
                      </a:extLst>
                    </a:blip>
                    <a:srcRect/>
                    <a:stretch>
                      <a:fillRect/>
                    </a:stretch>
                  </pic:blipFill>
                  <pic:spPr bwMode="auto">
                    <a:xfrm>
                      <a:off x="0" y="0"/>
                      <a:ext cx="1136650" cy="6350"/>
                    </a:xfrm>
                    <a:prstGeom prst="rect">
                      <a:avLst/>
                    </a:prstGeom>
                    <a:noFill/>
                  </pic:spPr>
                </pic:pic>
              </a:graphicData>
            </a:graphic>
          </wp:anchor>
        </w:drawing>
      </w:r>
    </w:p>
    <w:p>
      <w:pPr>
        <w:ind w:left="7220"/>
        <w:spacing w:after="0" w:line="237" w:lineRule="auto"/>
        <w:tabs>
          <w:tab w:leader="none" w:pos="7880" w:val="left"/>
          <w:tab w:leader="none" w:pos="8560" w:val="left"/>
        </w:tabs>
        <w:rPr>
          <w:sz w:val="20"/>
          <w:szCs w:val="20"/>
          <w:color w:val="auto"/>
        </w:rPr>
      </w:pPr>
      <w:r>
        <w:rPr>
          <w:rFonts w:ascii="Times New Roman" w:cs="Times New Roman" w:eastAsia="Times New Roman" w:hAnsi="Times New Roman"/>
          <w:sz w:val="10"/>
          <w:szCs w:val="10"/>
          <w:b w:val="1"/>
          <w:bCs w:val="1"/>
          <w:color w:val="auto"/>
        </w:rPr>
        <w:t>RMB</w:t>
      </w:r>
      <w:r>
        <w:rPr>
          <w:sz w:val="20"/>
          <w:szCs w:val="20"/>
          <w:color w:val="auto"/>
        </w:rPr>
        <w:tab/>
      </w:r>
      <w:r>
        <w:rPr>
          <w:rFonts w:ascii="Times New Roman" w:cs="Times New Roman" w:eastAsia="Times New Roman" w:hAnsi="Times New Roman"/>
          <w:sz w:val="10"/>
          <w:szCs w:val="10"/>
          <w:b w:val="1"/>
          <w:bCs w:val="1"/>
          <w:color w:val="auto"/>
        </w:rPr>
        <w:t>RMB</w:t>
      </w:r>
      <w:r>
        <w:rPr>
          <w:sz w:val="20"/>
          <w:szCs w:val="20"/>
          <w:color w:val="auto"/>
        </w:rPr>
        <w:tab/>
      </w:r>
      <w:r>
        <w:rPr>
          <w:rFonts w:ascii="Times New Roman" w:cs="Times New Roman" w:eastAsia="Times New Roman" w:hAnsi="Times New Roman"/>
          <w:sz w:val="10"/>
          <w:szCs w:val="10"/>
          <w:b w:val="1"/>
          <w:bCs w:val="1"/>
          <w:color w:val="auto"/>
        </w:rPr>
        <w:t>US$</w:t>
      </w:r>
    </w:p>
    <w:p>
      <w:pPr>
        <w:spacing w:after="0" w:line="6" w:lineRule="exact"/>
        <w:rPr>
          <w:sz w:val="20"/>
          <w:szCs w:val="20"/>
          <w:color w:val="auto"/>
        </w:rPr>
      </w:pPr>
    </w:p>
    <w:tbl>
      <w:tblPr>
        <w:tblLayout w:type="fixed"/>
        <w:tblInd w:w="2000" w:type="dxa"/>
        <w:tblCellMar>
          <w:top w:w="0" w:type="dxa"/>
          <w:left w:w="0" w:type="dxa"/>
          <w:bottom w:w="0" w:type="dxa"/>
          <w:right w:w="0" w:type="dxa"/>
        </w:tblCellMar>
      </w:tblPr>
      <w:tr>
        <w:trPr>
          <w:trHeight w:val="149"/>
        </w:trPr>
        <w:tc>
          <w:tcPr>
            <w:tcW w:w="320" w:type="dxa"/>
            <w:vAlign w:val="bottom"/>
          </w:tcPr>
          <w:p>
            <w:pPr>
              <w:spacing w:after="0"/>
              <w:rPr>
                <w:sz w:val="12"/>
                <w:szCs w:val="12"/>
                <w:color w:val="auto"/>
              </w:rPr>
            </w:pPr>
          </w:p>
        </w:tc>
        <w:tc>
          <w:tcPr>
            <w:tcW w:w="4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receivable</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173,197</w:t>
            </w:r>
          </w:p>
        </w:tc>
        <w:tc>
          <w:tcPr>
            <w:tcW w:w="40" w:type="dxa"/>
            <w:vAlign w:val="bottom"/>
            <w:shd w:val="clear" w:color="auto" w:fill="CCEEFF"/>
          </w:tcPr>
          <w:p>
            <w:pPr>
              <w:spacing w:after="0"/>
              <w:rPr>
                <w:sz w:val="12"/>
                <w:szCs w:val="12"/>
                <w:color w:val="auto"/>
              </w:rPr>
            </w:pPr>
          </w:p>
        </w:tc>
        <w:tc>
          <w:tcPr>
            <w:tcW w:w="6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125,606</w:t>
            </w:r>
          </w:p>
        </w:tc>
        <w:tc>
          <w:tcPr>
            <w:tcW w:w="120" w:type="dxa"/>
            <w:vAlign w:val="bottom"/>
            <w:shd w:val="clear" w:color="auto" w:fill="CCEEFF"/>
          </w:tcPr>
          <w:p>
            <w:pPr>
              <w:spacing w:after="0"/>
              <w:rPr>
                <w:sz w:val="12"/>
                <w:szCs w:val="12"/>
                <w:color w:val="auto"/>
              </w:rPr>
            </w:pPr>
          </w:p>
        </w:tc>
        <w:tc>
          <w:tcPr>
            <w:tcW w:w="620" w:type="dxa"/>
            <w:vAlign w:val="bottom"/>
            <w:gridSpan w:val="6"/>
            <w:shd w:val="clear" w:color="auto" w:fill="CCEEFF"/>
          </w:tcPr>
          <w:p>
            <w:pPr>
              <w:jc w:val="right"/>
              <w:ind w:right="28"/>
              <w:spacing w:after="0"/>
              <w:rPr>
                <w:sz w:val="20"/>
                <w:szCs w:val="20"/>
                <w:color w:val="auto"/>
              </w:rPr>
            </w:pPr>
            <w:r>
              <w:rPr>
                <w:rFonts w:ascii="Times New Roman" w:cs="Times New Roman" w:eastAsia="Times New Roman" w:hAnsi="Times New Roman"/>
                <w:sz w:val="13"/>
                <w:szCs w:val="13"/>
                <w:color w:val="auto"/>
              </w:rPr>
              <w:t>19,710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6"/>
        </w:trPr>
        <w:tc>
          <w:tcPr>
            <w:tcW w:w="320" w:type="dxa"/>
            <w:vAlign w:val="bottom"/>
          </w:tcPr>
          <w:p>
            <w:pPr>
              <w:spacing w:after="0"/>
              <w:rPr>
                <w:sz w:val="13"/>
                <w:szCs w:val="13"/>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3"/>
                <w:szCs w:val="13"/>
                <w:color w:val="auto"/>
              </w:rPr>
              <w:t>Allowance for doubtful accounts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w w:val="98"/>
              </w:rPr>
              <w:t>(10,051)</w:t>
            </w:r>
          </w:p>
        </w:tc>
        <w:tc>
          <w:tcPr>
            <w:tcW w:w="740" w:type="dxa"/>
            <w:vAlign w:val="bottom"/>
            <w:gridSpan w:val="4"/>
          </w:tcPr>
          <w:p>
            <w:pPr>
              <w:jc w:val="right"/>
              <w:ind w:right="18"/>
              <w:spacing w:after="0"/>
              <w:rPr>
                <w:sz w:val="20"/>
                <w:szCs w:val="20"/>
                <w:color w:val="auto"/>
              </w:rPr>
            </w:pPr>
            <w:r>
              <w:rPr>
                <w:rFonts w:ascii="Times New Roman" w:cs="Times New Roman" w:eastAsia="Times New Roman" w:hAnsi="Times New Roman"/>
                <w:sz w:val="13"/>
                <w:szCs w:val="13"/>
                <w:color w:val="auto"/>
              </w:rPr>
              <w:t>(69,417)</w:t>
            </w:r>
          </w:p>
        </w:tc>
        <w:tc>
          <w:tcPr>
            <w:tcW w:w="620" w:type="dxa"/>
            <w:vAlign w:val="bottom"/>
            <w:gridSpan w:val="6"/>
          </w:tcPr>
          <w:p>
            <w:pPr>
              <w:jc w:val="right"/>
              <w:spacing w:after="0"/>
              <w:rPr>
                <w:sz w:val="20"/>
                <w:szCs w:val="20"/>
                <w:color w:val="auto"/>
              </w:rPr>
            </w:pPr>
            <w:r>
              <w:rPr>
                <w:rFonts w:ascii="Times New Roman" w:cs="Times New Roman" w:eastAsia="Times New Roman" w:hAnsi="Times New Roman"/>
                <w:sz w:val="13"/>
                <w:szCs w:val="13"/>
                <w:color w:val="auto"/>
              </w:rPr>
              <w:t>(10,893)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320" w:type="dxa"/>
            <w:vAlign w:val="bottom"/>
          </w:tcPr>
          <w:p>
            <w:pPr>
              <w:spacing w:after="0" w:line="20" w:lineRule="exact"/>
              <w:rPr>
                <w:sz w:val="1"/>
                <w:szCs w:val="1"/>
                <w:color w:val="auto"/>
              </w:rPr>
            </w:pPr>
          </w:p>
        </w:tc>
        <w:tc>
          <w:tcPr>
            <w:tcW w:w="484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4"/>
        </w:trPr>
        <w:tc>
          <w:tcPr>
            <w:tcW w:w="320" w:type="dxa"/>
            <w:vAlign w:val="bottom"/>
          </w:tcPr>
          <w:p>
            <w:pPr>
              <w:spacing w:after="0"/>
              <w:rPr>
                <w:sz w:val="14"/>
                <w:szCs w:val="14"/>
                <w:color w:val="auto"/>
              </w:rPr>
            </w:pPr>
          </w:p>
        </w:tc>
        <w:tc>
          <w:tcPr>
            <w:tcW w:w="4840" w:type="dxa"/>
            <w:vAlign w:val="bottom"/>
            <w:tcBorders>
              <w:right w:val="single" w:sz="8" w:color="CCEEFF"/>
            </w:tcBorders>
            <w:shd w:val="clear" w:color="auto" w:fill="CCEEFF"/>
          </w:tcPr>
          <w:p>
            <w:pPr>
              <w:spacing w:after="0"/>
              <w:rPr>
                <w:sz w:val="14"/>
                <w:szCs w:val="14"/>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163,146</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b w:val="1"/>
                <w:bCs w:val="1"/>
                <w:color w:val="auto"/>
              </w:rPr>
              <w:t>56,189</w:t>
            </w:r>
          </w:p>
        </w:tc>
        <w:tc>
          <w:tcPr>
            <w:tcW w:w="620" w:type="dxa"/>
            <w:vAlign w:val="bottom"/>
            <w:gridSpan w:val="6"/>
            <w:shd w:val="clear" w:color="auto" w:fill="CCEEFF"/>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8,817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20"/>
        </w:trPr>
        <w:tc>
          <w:tcPr>
            <w:tcW w:w="5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The movements in the allowance for doubtful accounts were:</w:t>
            </w:r>
          </w:p>
        </w:tc>
        <w:tc>
          <w:tcPr>
            <w:tcW w:w="2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83"/>
        </w:trPr>
        <w:tc>
          <w:tcPr>
            <w:tcW w:w="3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14"/>
          </w:tcPr>
          <w:p>
            <w:pPr>
              <w:jc w:val="right"/>
              <w:ind w:right="342"/>
              <w:spacing w:after="0"/>
              <w:rPr>
                <w:sz w:val="20"/>
                <w:szCs w:val="20"/>
                <w:color w:val="auto"/>
              </w:rPr>
            </w:pPr>
            <w:r>
              <w:rPr>
                <w:rFonts w:ascii="Times New Roman" w:cs="Times New Roman" w:eastAsia="Times New Roman" w:hAnsi="Times New Roman"/>
                <w:sz w:val="10"/>
                <w:szCs w:val="10"/>
                <w:b w:val="1"/>
                <w:bCs w:val="1"/>
                <w:color w:val="auto"/>
              </w:rPr>
              <w:t>For the year ended December 31,</w:t>
            </w:r>
          </w:p>
        </w:tc>
      </w:tr>
      <w:tr>
        <w:trPr>
          <w:trHeight w:val="97"/>
        </w:trPr>
        <w:tc>
          <w:tcPr>
            <w:tcW w:w="3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28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40" w:type="dxa"/>
            <w:vAlign w:val="bottom"/>
            <w:tcBorders>
              <w:top w:val="single" w:sz="8" w:color="auto"/>
            </w:tcBorders>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gridSpan w:val="2"/>
          </w:tcPr>
          <w:p>
            <w:pPr>
              <w:jc w:val="right"/>
              <w:ind w:right="75"/>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20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40" w:type="dxa"/>
            <w:vAlign w:val="bottom"/>
            <w:tcBorders>
              <w:top w:val="single" w:sz="8" w:color="auto"/>
              <w:bottom w:val="single" w:sz="8" w:color="auto"/>
            </w:tcBorders>
            <w:gridSpan w:val="4"/>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10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240" w:type="dxa"/>
            <w:vAlign w:val="bottom"/>
            <w:tcBorders>
              <w:top w:val="single" w:sz="8" w:color="auto"/>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97"/>
        </w:trPr>
        <w:tc>
          <w:tcPr>
            <w:tcW w:w="3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28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gridSpan w:val="2"/>
          </w:tcPr>
          <w:p>
            <w:pPr>
              <w:jc w:val="right"/>
              <w:ind w:right="55"/>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200" w:type="dxa"/>
            <w:vAlign w:val="bottom"/>
          </w:tcPr>
          <w:p>
            <w:pPr>
              <w:spacing w:after="0"/>
              <w:rPr>
                <w:sz w:val="8"/>
                <w:szCs w:val="8"/>
                <w:color w:val="auto"/>
              </w:rPr>
            </w:pPr>
          </w:p>
        </w:tc>
        <w:tc>
          <w:tcPr>
            <w:tcW w:w="560" w:type="dxa"/>
            <w:vAlign w:val="bottom"/>
            <w:gridSpan w:val="5"/>
          </w:tcPr>
          <w:p>
            <w:pPr>
              <w:jc w:val="right"/>
              <w:ind w:right="280"/>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100" w:type="dxa"/>
            <w:vAlign w:val="bottom"/>
          </w:tcPr>
          <w:p>
            <w:pPr>
              <w:spacing w:after="0"/>
              <w:rPr>
                <w:sz w:val="8"/>
                <w:szCs w:val="8"/>
                <w:color w:val="auto"/>
              </w:rPr>
            </w:pPr>
          </w:p>
        </w:tc>
        <w:tc>
          <w:tcPr>
            <w:tcW w:w="320" w:type="dxa"/>
            <w:vAlign w:val="bottom"/>
            <w:gridSpan w:val="2"/>
          </w:tcPr>
          <w:p>
            <w:pPr>
              <w:jc w:val="right"/>
              <w:ind w:right="140"/>
              <w:spacing w:after="0" w:line="97" w:lineRule="exact"/>
              <w:rPr>
                <w:sz w:val="20"/>
                <w:szCs w:val="20"/>
                <w:color w:val="auto"/>
              </w:rPr>
            </w:pPr>
            <w:r>
              <w:rPr>
                <w:rFonts w:ascii="Times New Roman" w:cs="Times New Roman" w:eastAsia="Times New Roman" w:hAnsi="Times New Roman"/>
                <w:sz w:val="10"/>
                <w:szCs w:val="10"/>
                <w:b w:val="1"/>
                <w:bCs w:val="1"/>
                <w:color w:val="auto"/>
                <w:w w:val="89"/>
              </w:rPr>
              <w:t>US$</w:t>
            </w:r>
          </w:p>
        </w:tc>
        <w:tc>
          <w:tcPr>
            <w:tcW w:w="80" w:type="dxa"/>
            <w:vAlign w:val="bottom"/>
          </w:tcPr>
          <w:p>
            <w:pPr>
              <w:spacing w:after="0"/>
              <w:rPr>
                <w:sz w:val="8"/>
                <w:szCs w:val="8"/>
                <w:color w:val="auto"/>
              </w:rPr>
            </w:pPr>
          </w:p>
        </w:tc>
      </w:tr>
      <w:tr>
        <w:trPr>
          <w:trHeight w:val="156"/>
        </w:trPr>
        <w:tc>
          <w:tcPr>
            <w:tcW w:w="51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at the beginning of the year</w:t>
            </w:r>
          </w:p>
        </w:tc>
        <w:tc>
          <w:tcPr>
            <w:tcW w:w="4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(392)</w:t>
            </w:r>
          </w:p>
        </w:tc>
        <w:tc>
          <w:tcPr>
            <w:tcW w:w="40" w:type="dxa"/>
            <w:vAlign w:val="bottom"/>
            <w:shd w:val="clear" w:color="auto" w:fill="CCEEFF"/>
          </w:tcPr>
          <w:p>
            <w:pPr>
              <w:spacing w:after="0"/>
              <w:rPr>
                <w:sz w:val="13"/>
                <w:szCs w:val="13"/>
                <w:color w:val="auto"/>
              </w:rPr>
            </w:pPr>
          </w:p>
        </w:tc>
        <w:tc>
          <w:tcPr>
            <w:tcW w:w="620" w:type="dxa"/>
            <w:vAlign w:val="bottom"/>
            <w:tcBorders>
              <w:right w:val="single" w:sz="8" w:color="CCEEFF"/>
            </w:tcBorders>
            <w:gridSpan w:val="3"/>
            <w:shd w:val="clear" w:color="auto" w:fill="CCEEFF"/>
          </w:tcPr>
          <w:p>
            <w:pPr>
              <w:jc w:val="right"/>
              <w:ind w:right="122"/>
              <w:spacing w:after="0"/>
              <w:rPr>
                <w:sz w:val="20"/>
                <w:szCs w:val="20"/>
                <w:color w:val="auto"/>
              </w:rPr>
            </w:pPr>
            <w:r>
              <w:rPr>
                <w:rFonts w:ascii="Times New Roman" w:cs="Times New Roman" w:eastAsia="Times New Roman" w:hAnsi="Times New Roman"/>
                <w:sz w:val="13"/>
                <w:szCs w:val="13"/>
                <w:color w:val="auto"/>
              </w:rPr>
              <w:t>(862)</w:t>
            </w:r>
          </w:p>
        </w:tc>
        <w:tc>
          <w:tcPr>
            <w:tcW w:w="540" w:type="dxa"/>
            <w:vAlign w:val="bottom"/>
            <w:gridSpan w:val="4"/>
            <w:shd w:val="clear" w:color="auto" w:fill="CCEEFF"/>
          </w:tcPr>
          <w:p>
            <w:pPr>
              <w:jc w:val="right"/>
              <w:ind w:right="82"/>
              <w:spacing w:after="0"/>
              <w:rPr>
                <w:sz w:val="20"/>
                <w:szCs w:val="20"/>
                <w:color w:val="auto"/>
              </w:rPr>
            </w:pPr>
            <w:r>
              <w:rPr>
                <w:rFonts w:ascii="Times New Roman" w:cs="Times New Roman" w:eastAsia="Times New Roman" w:hAnsi="Times New Roman"/>
                <w:sz w:val="13"/>
                <w:szCs w:val="13"/>
                <w:color w:val="auto"/>
                <w:w w:val="89"/>
              </w:rPr>
              <w:t>(10,051)</w:t>
            </w:r>
          </w:p>
        </w:tc>
        <w:tc>
          <w:tcPr>
            <w:tcW w:w="20" w:type="dxa"/>
            <w:vAlign w:val="bottom"/>
            <w:shd w:val="clear" w:color="auto" w:fill="CCEEFF"/>
          </w:tcPr>
          <w:p>
            <w:pPr>
              <w:spacing w:after="0"/>
              <w:rPr>
                <w:sz w:val="13"/>
                <w:szCs w:val="13"/>
                <w:color w:val="auto"/>
              </w:rPr>
            </w:pPr>
          </w:p>
        </w:tc>
        <w:tc>
          <w:tcPr>
            <w:tcW w:w="500" w:type="dxa"/>
            <w:vAlign w:val="bottom"/>
            <w:gridSpan w:val="4"/>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(1,577)</w:t>
            </w:r>
          </w:p>
        </w:tc>
      </w:tr>
      <w:tr>
        <w:trPr>
          <w:trHeight w:val="156"/>
        </w:trPr>
        <w:tc>
          <w:tcPr>
            <w:tcW w:w="5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Additional provision charged to expense</w:t>
            </w:r>
          </w:p>
        </w:tc>
        <w:tc>
          <w:tcPr>
            <w:tcW w:w="420" w:type="dxa"/>
            <w:vAlign w:val="bottom"/>
            <w:gridSpan w:val="2"/>
          </w:tcPr>
          <w:p>
            <w:pPr>
              <w:jc w:val="right"/>
              <w:ind w:right="55"/>
              <w:spacing w:after="0"/>
              <w:rPr>
                <w:sz w:val="20"/>
                <w:szCs w:val="20"/>
                <w:color w:val="auto"/>
              </w:rPr>
            </w:pPr>
            <w:r>
              <w:rPr>
                <w:rFonts w:ascii="Times New Roman" w:cs="Times New Roman" w:eastAsia="Times New Roman" w:hAnsi="Times New Roman"/>
                <w:sz w:val="13"/>
                <w:szCs w:val="13"/>
                <w:color w:val="auto"/>
              </w:rPr>
              <w:t>(469)</w:t>
            </w:r>
          </w:p>
        </w:tc>
        <w:tc>
          <w:tcPr>
            <w:tcW w:w="40" w:type="dxa"/>
            <w:vAlign w:val="bottom"/>
          </w:tcPr>
          <w:p>
            <w:pPr>
              <w:spacing w:after="0"/>
              <w:rPr>
                <w:sz w:val="13"/>
                <w:szCs w:val="13"/>
                <w:color w:val="auto"/>
              </w:rPr>
            </w:pPr>
          </w:p>
        </w:tc>
        <w:tc>
          <w:tcPr>
            <w:tcW w:w="620" w:type="dxa"/>
            <w:vAlign w:val="bottom"/>
            <w:gridSpan w:val="3"/>
          </w:tcPr>
          <w:p>
            <w:pPr>
              <w:jc w:val="right"/>
              <w:ind w:right="122"/>
              <w:spacing w:after="0"/>
              <w:rPr>
                <w:sz w:val="20"/>
                <w:szCs w:val="20"/>
                <w:color w:val="auto"/>
              </w:rPr>
            </w:pPr>
            <w:r>
              <w:rPr>
                <w:rFonts w:ascii="Times New Roman" w:cs="Times New Roman" w:eastAsia="Times New Roman" w:hAnsi="Times New Roman"/>
                <w:sz w:val="13"/>
                <w:szCs w:val="13"/>
                <w:color w:val="auto"/>
              </w:rPr>
              <w:t>(9,217)</w:t>
            </w:r>
          </w:p>
        </w:tc>
        <w:tc>
          <w:tcPr>
            <w:tcW w:w="540" w:type="dxa"/>
            <w:vAlign w:val="bottom"/>
            <w:gridSpan w:val="4"/>
          </w:tcPr>
          <w:p>
            <w:pPr>
              <w:jc w:val="right"/>
              <w:ind w:right="82"/>
              <w:spacing w:after="0"/>
              <w:rPr>
                <w:sz w:val="20"/>
                <w:szCs w:val="20"/>
                <w:color w:val="auto"/>
              </w:rPr>
            </w:pPr>
            <w:r>
              <w:rPr>
                <w:rFonts w:ascii="Times New Roman" w:cs="Times New Roman" w:eastAsia="Times New Roman" w:hAnsi="Times New Roman"/>
                <w:sz w:val="13"/>
                <w:szCs w:val="13"/>
                <w:color w:val="auto"/>
                <w:w w:val="89"/>
              </w:rPr>
              <w:t>(59,347)</w:t>
            </w:r>
          </w:p>
        </w:tc>
        <w:tc>
          <w:tcPr>
            <w:tcW w:w="20" w:type="dxa"/>
            <w:vAlign w:val="bottom"/>
          </w:tcPr>
          <w:p>
            <w:pPr>
              <w:spacing w:after="0"/>
              <w:rPr>
                <w:sz w:val="13"/>
                <w:szCs w:val="13"/>
                <w:color w:val="auto"/>
              </w:rPr>
            </w:pPr>
          </w:p>
        </w:tc>
        <w:tc>
          <w:tcPr>
            <w:tcW w:w="500" w:type="dxa"/>
            <w:vAlign w:val="bottom"/>
            <w:gridSpan w:val="4"/>
          </w:tcPr>
          <w:p>
            <w:pPr>
              <w:jc w:val="right"/>
              <w:ind w:right="2"/>
              <w:spacing w:after="0"/>
              <w:rPr>
                <w:sz w:val="20"/>
                <w:szCs w:val="20"/>
                <w:color w:val="auto"/>
              </w:rPr>
            </w:pPr>
            <w:r>
              <w:rPr>
                <w:rFonts w:ascii="Times New Roman" w:cs="Times New Roman" w:eastAsia="Times New Roman" w:hAnsi="Times New Roman"/>
                <w:sz w:val="13"/>
                <w:szCs w:val="13"/>
                <w:color w:val="auto"/>
              </w:rPr>
              <w:t>(9,313)</w:t>
            </w:r>
          </w:p>
        </w:tc>
      </w:tr>
      <w:tr>
        <w:trPr>
          <w:trHeight w:val="156"/>
        </w:trPr>
        <w:tc>
          <w:tcPr>
            <w:tcW w:w="51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4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(1)</w:t>
            </w:r>
          </w:p>
        </w:tc>
        <w:tc>
          <w:tcPr>
            <w:tcW w:w="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2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82"/>
              <w:spacing w:after="0"/>
              <w:rPr>
                <w:sz w:val="20"/>
                <w:szCs w:val="20"/>
                <w:color w:val="auto"/>
              </w:rPr>
            </w:pPr>
            <w:r>
              <w:rPr>
                <w:rFonts w:ascii="Times New Roman" w:cs="Times New Roman" w:eastAsia="Times New Roman" w:hAnsi="Times New Roman"/>
                <w:sz w:val="13"/>
                <w:szCs w:val="13"/>
                <w:color w:val="auto"/>
              </w:rPr>
              <w:t>(19)</w:t>
            </w:r>
          </w:p>
        </w:tc>
        <w:tc>
          <w:tcPr>
            <w:tcW w:w="20" w:type="dxa"/>
            <w:vAlign w:val="bottom"/>
            <w:shd w:val="clear" w:color="auto" w:fill="CCEEFF"/>
          </w:tcPr>
          <w:p>
            <w:pPr>
              <w:spacing w:after="0"/>
              <w:rPr>
                <w:sz w:val="13"/>
                <w:szCs w:val="13"/>
                <w:color w:val="auto"/>
              </w:rPr>
            </w:pPr>
          </w:p>
        </w:tc>
        <w:tc>
          <w:tcPr>
            <w:tcW w:w="500" w:type="dxa"/>
            <w:vAlign w:val="bottom"/>
            <w:gridSpan w:val="4"/>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(3)</w:t>
            </w:r>
          </w:p>
        </w:tc>
      </w:tr>
      <w:tr>
        <w:trPr>
          <w:trHeight w:val="164"/>
        </w:trPr>
        <w:tc>
          <w:tcPr>
            <w:tcW w:w="5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Balance at the end of the year</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(862</w:t>
            </w:r>
          </w:p>
        </w:tc>
        <w:tc>
          <w:tcPr>
            <w:tcW w:w="140" w:type="dxa"/>
            <w:vAlign w:val="bottom"/>
          </w:tcPr>
          <w:p>
            <w:pPr>
              <w:jc w:val="right"/>
              <w:ind w:right="55"/>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4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(10,051</w:t>
            </w:r>
          </w:p>
        </w:tc>
        <w:tc>
          <w:tcPr>
            <w:tcW w:w="200" w:type="dxa"/>
            <w:vAlign w:val="bottom"/>
          </w:tcPr>
          <w:p>
            <w:pPr>
              <w:jc w:val="right"/>
              <w:ind w:right="12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3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89"/>
              </w:rPr>
              <w:t>(69,417</w:t>
            </w:r>
          </w:p>
        </w:tc>
        <w:tc>
          <w:tcPr>
            <w:tcW w:w="160" w:type="dxa"/>
            <w:vAlign w:val="bottom"/>
          </w:tcPr>
          <w:p>
            <w:pPr>
              <w:jc w:val="right"/>
              <w:ind w:right="8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(10,893</w:t>
            </w:r>
          </w:p>
        </w:tc>
        <w:tc>
          <w:tcPr>
            <w:tcW w:w="80" w:type="dxa"/>
            <w:vAlign w:val="bottom"/>
          </w:tcPr>
          <w:p>
            <w:pPr>
              <w:jc w:val="right"/>
              <w:ind w:right="2"/>
              <w:spacing w:after="0"/>
              <w:rPr>
                <w:sz w:val="20"/>
                <w:szCs w:val="20"/>
                <w:color w:val="auto"/>
              </w:rPr>
            </w:pPr>
            <w:r>
              <w:rPr>
                <w:rFonts w:ascii="Times New Roman" w:cs="Times New Roman" w:eastAsia="Times New Roman" w:hAnsi="Times New Roman"/>
                <w:sz w:val="8"/>
                <w:szCs w:val="8"/>
                <w:b w:val="1"/>
                <w:bCs w:val="1"/>
                <w:color w:val="auto"/>
                <w:w w:val="73"/>
              </w:rPr>
              <w:t>)</w:t>
            </w:r>
          </w:p>
        </w:tc>
      </w:tr>
    </w:tbl>
    <w:p>
      <w:pPr>
        <w:spacing w:after="0" w:line="153" w:lineRule="exact"/>
        <w:rPr>
          <w:sz w:val="20"/>
          <w:szCs w:val="20"/>
          <w:color w:val="auto"/>
        </w:rPr>
      </w:pPr>
    </w:p>
    <w:p>
      <w:pPr>
        <w:ind w:left="2000" w:right="619"/>
        <w:spacing w:after="0" w:line="264" w:lineRule="auto"/>
        <w:rPr>
          <w:sz w:val="20"/>
          <w:szCs w:val="20"/>
          <w:color w:val="auto"/>
        </w:rPr>
      </w:pPr>
      <w:r>
        <w:rPr>
          <w:rFonts w:ascii="Times New Roman" w:cs="Times New Roman" w:eastAsia="Times New Roman" w:hAnsi="Times New Roman"/>
          <w:sz w:val="13"/>
          <w:szCs w:val="13"/>
          <w:color w:val="auto"/>
        </w:rPr>
        <w:t>In March 2021, the Group signed payment commitment letters with certain customers. RMB16,242(US$2,549) was included in other non-current assets in the Group’s consolidated balance sheet as of December 31, 2020 for the uncollected balance due in April 2022 based on the payment schedule in the aforementioned commitment letters.</w:t>
      </w:r>
    </w:p>
    <w:p>
      <w:pPr>
        <w:spacing w:after="0" w:line="8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color w:val="auto"/>
        </w:rPr>
        <w:t>F- 40</w:t>
      </w:r>
    </w:p>
    <w:p>
      <w:pPr>
        <w:sectPr>
          <w:pgSz w:w="11900" w:h="16838" w:orient="portrait"/>
          <w:cols w:equalWidth="0" w:num="1">
            <w:col w:w="10159"/>
          </w:cols>
          <w:pgMar w:left="300" w:top="388" w:right="1440"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5">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 (CONTINUED)</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6">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7" w:lineRule="exact"/>
        <w:rPr>
          <w:sz w:val="20"/>
          <w:szCs w:val="20"/>
          <w:color w:val="auto"/>
        </w:rPr>
      </w:pPr>
    </w:p>
    <w:p>
      <w:pPr>
        <w:ind w:left="1980" w:hanging="304"/>
        <w:spacing w:after="0"/>
        <w:tabs>
          <w:tab w:leader="none" w:pos="1980" w:val="left"/>
        </w:tabs>
        <w:numPr>
          <w:ilvl w:val="0"/>
          <w:numId w:val="12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Inventories</w:t>
      </w:r>
    </w:p>
    <w:p>
      <w:pPr>
        <w:spacing w:after="0" w:line="85" w:lineRule="exact"/>
        <w:rPr>
          <w:rFonts w:ascii="Times New Roman" w:cs="Times New Roman" w:eastAsia="Times New Roman" w:hAnsi="Times New Roman"/>
          <w:sz w:val="13"/>
          <w:szCs w:val="13"/>
          <w:b w:val="1"/>
          <w:bCs w:val="1"/>
          <w:color w:val="auto"/>
        </w:rPr>
      </w:pPr>
    </w:p>
    <w:p>
      <w:pPr>
        <w:ind w:left="2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Inventories consisted of the following:</w:t>
      </w:r>
    </w:p>
    <w:p>
      <w:pPr>
        <w:spacing w:after="0" w:line="177" w:lineRule="exact"/>
        <w:rPr>
          <w:sz w:val="20"/>
          <w:szCs w:val="20"/>
          <w:color w:val="auto"/>
        </w:rPr>
      </w:pPr>
    </w:p>
    <w:tbl>
      <w:tblPr>
        <w:tblLayout w:type="fixed"/>
        <w:tblInd w:w="2320" w:type="dxa"/>
        <w:tblCellMar>
          <w:top w:w="0" w:type="dxa"/>
          <w:left w:w="0" w:type="dxa"/>
          <w:bottom w:w="0" w:type="dxa"/>
          <w:right w:w="0" w:type="dxa"/>
        </w:tblCellMar>
      </w:tblPr>
      <w:tr>
        <w:trPr>
          <w:trHeight w:val="124"/>
        </w:trPr>
        <w:tc>
          <w:tcPr>
            <w:tcW w:w="4860" w:type="dxa"/>
            <w:vAlign w:val="bottom"/>
          </w:tcPr>
          <w:p>
            <w:pPr>
              <w:spacing w:after="0"/>
              <w:rPr>
                <w:sz w:val="10"/>
                <w:szCs w:val="10"/>
                <w:color w:val="auto"/>
              </w:rPr>
            </w:pPr>
          </w:p>
        </w:tc>
        <w:tc>
          <w:tcPr>
            <w:tcW w:w="132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As of December 31,</w:t>
            </w:r>
          </w:p>
        </w:tc>
        <w:tc>
          <w:tcPr>
            <w:tcW w:w="4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7"/>
        </w:trPr>
        <w:tc>
          <w:tcPr>
            <w:tcW w:w="4860" w:type="dxa"/>
            <w:vAlign w:val="bottom"/>
          </w:tcPr>
          <w:p>
            <w:pPr>
              <w:spacing w:after="0"/>
              <w:rPr>
                <w:sz w:val="8"/>
                <w:szCs w:val="8"/>
                <w:color w:val="auto"/>
              </w:rPr>
            </w:pPr>
          </w:p>
        </w:tc>
        <w:tc>
          <w:tcPr>
            <w:tcW w:w="440" w:type="dxa"/>
            <w:vAlign w:val="bottom"/>
            <w:tcBorders>
              <w:bottom w:val="single" w:sz="8" w:color="auto"/>
            </w:tcBorders>
          </w:tcPr>
          <w:p>
            <w:pPr>
              <w:jc w:val="right"/>
              <w:ind w:right="60"/>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auto"/>
            </w:tcBorders>
            <w:gridSpan w:val="2"/>
          </w:tcPr>
          <w:p>
            <w:pPr>
              <w:jc w:val="right"/>
              <w:ind w:right="40"/>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97"/>
        </w:trPr>
        <w:tc>
          <w:tcPr>
            <w:tcW w:w="4860" w:type="dxa"/>
            <w:vAlign w:val="bottom"/>
          </w:tcPr>
          <w:p>
            <w:pPr>
              <w:spacing w:after="0"/>
              <w:rPr>
                <w:sz w:val="8"/>
                <w:szCs w:val="8"/>
                <w:color w:val="auto"/>
              </w:rPr>
            </w:pPr>
          </w:p>
        </w:tc>
        <w:tc>
          <w:tcPr>
            <w:tcW w:w="440" w:type="dxa"/>
            <w:vAlign w:val="bottom"/>
          </w:tcPr>
          <w:p>
            <w:pPr>
              <w:jc w:val="right"/>
              <w:ind w:right="40"/>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200" w:type="dxa"/>
            <w:vAlign w:val="bottom"/>
            <w:gridSpan w:val="2"/>
          </w:tcPr>
          <w:p>
            <w:pPr>
              <w:spacing w:after="0"/>
              <w:rPr>
                <w:sz w:val="8"/>
                <w:szCs w:val="8"/>
                <w:color w:val="auto"/>
              </w:rPr>
            </w:pPr>
          </w:p>
        </w:tc>
        <w:tc>
          <w:tcPr>
            <w:tcW w:w="680" w:type="dxa"/>
            <w:vAlign w:val="bottom"/>
            <w:gridSpan w:val="2"/>
          </w:tcPr>
          <w:p>
            <w:pPr>
              <w:jc w:val="right"/>
              <w:ind w:right="320"/>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400" w:type="dxa"/>
            <w:vAlign w:val="bottom"/>
          </w:tcPr>
          <w:p>
            <w:pPr>
              <w:jc w:val="right"/>
              <w:ind w:right="37"/>
              <w:spacing w:after="0" w:line="97" w:lineRule="exact"/>
              <w:rPr>
                <w:sz w:val="20"/>
                <w:szCs w:val="20"/>
                <w:color w:val="auto"/>
              </w:rPr>
            </w:pPr>
            <w:r>
              <w:rPr>
                <w:rFonts w:ascii="Times New Roman" w:cs="Times New Roman" w:eastAsia="Times New Roman" w:hAnsi="Times New Roman"/>
                <w:sz w:val="10"/>
                <w:szCs w:val="10"/>
                <w:b w:val="1"/>
                <w:bCs w:val="1"/>
                <w:color w:val="auto"/>
              </w:rPr>
              <w:t>US$</w:t>
            </w:r>
          </w:p>
        </w:tc>
        <w:tc>
          <w:tcPr>
            <w:tcW w:w="80" w:type="dxa"/>
            <w:vAlign w:val="bottom"/>
          </w:tcPr>
          <w:p>
            <w:pPr>
              <w:spacing w:after="0"/>
              <w:rPr>
                <w:sz w:val="8"/>
                <w:szCs w:val="8"/>
                <w:color w:val="auto"/>
              </w:rPr>
            </w:pPr>
          </w:p>
        </w:tc>
      </w:tr>
      <w:tr>
        <w:trPr>
          <w:trHeight w:val="15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Raw materials</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57,419</w:t>
            </w:r>
          </w:p>
        </w:tc>
        <w:tc>
          <w:tcPr>
            <w:tcW w:w="1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62,462</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9,802</w:t>
            </w:r>
          </w:p>
        </w:tc>
      </w:tr>
      <w:tr>
        <w:trPr>
          <w:trHeight w:val="156"/>
        </w:trPr>
        <w:tc>
          <w:tcPr>
            <w:tcW w:w="4860" w:type="dxa"/>
            <w:vAlign w:val="bottom"/>
          </w:tcPr>
          <w:p>
            <w:pPr>
              <w:spacing w:after="0"/>
              <w:rPr>
                <w:sz w:val="20"/>
                <w:szCs w:val="20"/>
                <w:color w:val="auto"/>
              </w:rPr>
            </w:pPr>
            <w:r>
              <w:rPr>
                <w:rFonts w:ascii="Times New Roman" w:cs="Times New Roman" w:eastAsia="Times New Roman" w:hAnsi="Times New Roman"/>
                <w:sz w:val="13"/>
                <w:szCs w:val="13"/>
                <w:color w:val="auto"/>
              </w:rPr>
              <w:t>Work in progress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1,929</w:t>
            </w:r>
          </w:p>
        </w:tc>
        <w:tc>
          <w:tcPr>
            <w:tcW w:w="18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17,134</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2,689</w:t>
            </w:r>
          </w:p>
        </w:tc>
      </w:tr>
      <w:tr>
        <w:trPr>
          <w:trHeight w:val="15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Finished goods</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19,918</w:t>
            </w:r>
          </w:p>
        </w:tc>
        <w:tc>
          <w:tcPr>
            <w:tcW w:w="1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27,168</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4,263</w:t>
            </w:r>
          </w:p>
        </w:tc>
      </w:tr>
      <w:tr>
        <w:trPr>
          <w:trHeight w:val="155"/>
        </w:trPr>
        <w:tc>
          <w:tcPr>
            <w:tcW w:w="4860" w:type="dxa"/>
            <w:vAlign w:val="bottom"/>
          </w:tcPr>
          <w:p>
            <w:pPr>
              <w:spacing w:after="0"/>
              <w:rPr>
                <w:sz w:val="20"/>
                <w:szCs w:val="20"/>
                <w:color w:val="auto"/>
              </w:rPr>
            </w:pPr>
            <w:r>
              <w:rPr>
                <w:rFonts w:ascii="Times New Roman" w:cs="Times New Roman" w:eastAsia="Times New Roman" w:hAnsi="Times New Roman"/>
                <w:sz w:val="13"/>
                <w:szCs w:val="13"/>
                <w:color w:val="auto"/>
              </w:rPr>
              <w:t>Inventories, total</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79,266</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106,764</w:t>
            </w:r>
          </w:p>
        </w:tc>
        <w:tc>
          <w:tcPr>
            <w:tcW w:w="200" w:type="dxa"/>
            <w:vAlign w:val="bottom"/>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16,754</w:t>
            </w:r>
          </w:p>
        </w:tc>
        <w:tc>
          <w:tcPr>
            <w:tcW w:w="80" w:type="dxa"/>
            <w:vAlign w:val="bottom"/>
          </w:tcPr>
          <w:p>
            <w:pPr>
              <w:spacing w:after="0"/>
              <w:rPr>
                <w:sz w:val="13"/>
                <w:szCs w:val="13"/>
                <w:color w:val="auto"/>
              </w:rPr>
            </w:pPr>
          </w:p>
        </w:tc>
      </w:tr>
      <w:tr>
        <w:trPr>
          <w:trHeight w:val="15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Inventories provision</w:t>
            </w: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(32,172)</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(28,689)</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(4,502)</w:t>
            </w:r>
          </w:p>
        </w:tc>
      </w:tr>
      <w:tr>
        <w:trPr>
          <w:trHeight w:val="164"/>
        </w:trPr>
        <w:tc>
          <w:tcPr>
            <w:tcW w:w="486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47,094</w:t>
            </w: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78,075</w:t>
            </w:r>
          </w:p>
        </w:tc>
        <w:tc>
          <w:tcPr>
            <w:tcW w:w="20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12,252</w:t>
            </w:r>
          </w:p>
        </w:tc>
        <w:tc>
          <w:tcPr>
            <w:tcW w:w="80" w:type="dxa"/>
            <w:vAlign w:val="bottom"/>
          </w:tcPr>
          <w:p>
            <w:pPr>
              <w:spacing w:after="0"/>
              <w:rPr>
                <w:sz w:val="14"/>
                <w:szCs w:val="14"/>
                <w:color w:val="auto"/>
              </w:rPr>
            </w:pPr>
          </w:p>
        </w:tc>
      </w:tr>
    </w:tbl>
    <w:p>
      <w:pPr>
        <w:spacing w:after="0" w:line="258" w:lineRule="exact"/>
        <w:rPr>
          <w:sz w:val="20"/>
          <w:szCs w:val="20"/>
          <w:color w:val="auto"/>
        </w:rPr>
      </w:pPr>
    </w:p>
    <w:p>
      <w:pPr>
        <w:ind w:left="1980" w:hanging="304"/>
        <w:spacing w:after="0"/>
        <w:tabs>
          <w:tab w:leader="none" w:pos="1980" w:val="left"/>
        </w:tabs>
        <w:numPr>
          <w:ilvl w:val="0"/>
          <w:numId w:val="12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Prepayments and Other Current Assets</w:t>
      </w:r>
    </w:p>
    <w:p>
      <w:pPr>
        <w:spacing w:after="0" w:line="85" w:lineRule="exact"/>
        <w:rPr>
          <w:rFonts w:ascii="Times New Roman" w:cs="Times New Roman" w:eastAsia="Times New Roman" w:hAnsi="Times New Roman"/>
          <w:sz w:val="13"/>
          <w:szCs w:val="13"/>
          <w:b w:val="1"/>
          <w:bCs w:val="1"/>
          <w:color w:val="auto"/>
        </w:rPr>
      </w:pPr>
    </w:p>
    <w:p>
      <w:pPr>
        <w:ind w:left="2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Prepayments and other current assets consisted of the following:</w:t>
      </w:r>
    </w:p>
    <w:p>
      <w:pPr>
        <w:spacing w:after="0" w:line="177" w:lineRule="exact"/>
        <w:rPr>
          <w:sz w:val="20"/>
          <w:szCs w:val="20"/>
          <w:color w:val="auto"/>
        </w:rPr>
      </w:pPr>
    </w:p>
    <w:tbl>
      <w:tblPr>
        <w:tblLayout w:type="fixed"/>
        <w:tblInd w:w="2320" w:type="dxa"/>
        <w:tblCellMar>
          <w:top w:w="0" w:type="dxa"/>
          <w:left w:w="0" w:type="dxa"/>
          <w:bottom w:w="0" w:type="dxa"/>
          <w:right w:w="0" w:type="dxa"/>
        </w:tblCellMar>
      </w:tblPr>
      <w:tr>
        <w:trPr>
          <w:trHeight w:val="124"/>
        </w:trPr>
        <w:tc>
          <w:tcPr>
            <w:tcW w:w="5160" w:type="dxa"/>
            <w:vAlign w:val="bottom"/>
          </w:tcPr>
          <w:p>
            <w:pPr>
              <w:spacing w:after="0"/>
              <w:rPr>
                <w:sz w:val="10"/>
                <w:szCs w:val="10"/>
                <w:color w:val="auto"/>
              </w:rPr>
            </w:pPr>
          </w:p>
        </w:tc>
        <w:tc>
          <w:tcPr>
            <w:tcW w:w="1160" w:type="dxa"/>
            <w:vAlign w:val="bottom"/>
            <w:tcBorders>
              <w:bottom w:val="single" w:sz="8" w:color="auto"/>
            </w:tcBorders>
            <w:gridSpan w:val="6"/>
          </w:tcPr>
          <w:p>
            <w:pPr>
              <w:ind w:left="300"/>
              <w:spacing w:after="0"/>
              <w:rPr>
                <w:sz w:val="20"/>
                <w:szCs w:val="20"/>
                <w:color w:val="auto"/>
              </w:rPr>
            </w:pPr>
            <w:r>
              <w:rPr>
                <w:rFonts w:ascii="Times New Roman" w:cs="Times New Roman" w:eastAsia="Times New Roman" w:hAnsi="Times New Roman"/>
                <w:sz w:val="10"/>
                <w:szCs w:val="10"/>
                <w:b w:val="1"/>
                <w:bCs w:val="1"/>
                <w:color w:val="auto"/>
              </w:rPr>
              <w:t>As of December 31,</w:t>
            </w:r>
          </w:p>
        </w:tc>
        <w:tc>
          <w:tcPr>
            <w:tcW w:w="3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7"/>
        </w:trPr>
        <w:tc>
          <w:tcPr>
            <w:tcW w:w="5160" w:type="dxa"/>
            <w:vAlign w:val="bottom"/>
          </w:tcPr>
          <w:p>
            <w:pPr>
              <w:spacing w:after="0"/>
              <w:rPr>
                <w:sz w:val="8"/>
                <w:szCs w:val="8"/>
                <w:color w:val="auto"/>
              </w:rPr>
            </w:pPr>
          </w:p>
        </w:tc>
        <w:tc>
          <w:tcPr>
            <w:tcW w:w="400" w:type="dxa"/>
            <w:vAlign w:val="bottom"/>
            <w:tcBorders>
              <w:bottom w:val="single" w:sz="8" w:color="auto"/>
            </w:tcBorders>
          </w:tcPr>
          <w:p>
            <w:pPr>
              <w:jc w:val="right"/>
              <w:ind w:right="40"/>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Borders>
              <w:bottom w:val="single" w:sz="8" w:color="auto"/>
            </w:tcBorders>
            <w:gridSpan w:val="2"/>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r>
      <w:tr>
        <w:trPr>
          <w:trHeight w:val="97"/>
        </w:trPr>
        <w:tc>
          <w:tcPr>
            <w:tcW w:w="5160" w:type="dxa"/>
            <w:vAlign w:val="bottom"/>
          </w:tcPr>
          <w:p>
            <w:pPr>
              <w:spacing w:after="0"/>
              <w:rPr>
                <w:sz w:val="8"/>
                <w:szCs w:val="8"/>
                <w:color w:val="auto"/>
              </w:rPr>
            </w:pPr>
          </w:p>
        </w:tc>
        <w:tc>
          <w:tcPr>
            <w:tcW w:w="400" w:type="dxa"/>
            <w:vAlign w:val="bottom"/>
          </w:tcPr>
          <w:p>
            <w:pPr>
              <w:jc w:val="right"/>
              <w:ind w:right="20"/>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160" w:type="dxa"/>
            <w:vAlign w:val="bottom"/>
            <w:gridSpan w:val="2"/>
          </w:tcPr>
          <w:p>
            <w:pPr>
              <w:spacing w:after="0"/>
              <w:rPr>
                <w:sz w:val="8"/>
                <w:szCs w:val="8"/>
                <w:color w:val="auto"/>
              </w:rPr>
            </w:pPr>
          </w:p>
        </w:tc>
        <w:tc>
          <w:tcPr>
            <w:tcW w:w="600" w:type="dxa"/>
            <w:vAlign w:val="bottom"/>
            <w:gridSpan w:val="3"/>
          </w:tcPr>
          <w:p>
            <w:pPr>
              <w:ind w:left="80"/>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300" w:type="dxa"/>
            <w:vAlign w:val="bottom"/>
          </w:tcPr>
          <w:p>
            <w:pPr>
              <w:jc w:val="right"/>
              <w:ind w:right="17"/>
              <w:spacing w:after="0" w:line="97" w:lineRule="exact"/>
              <w:rPr>
                <w:sz w:val="20"/>
                <w:szCs w:val="20"/>
                <w:color w:val="auto"/>
              </w:rPr>
            </w:pPr>
            <w:r>
              <w:rPr>
                <w:rFonts w:ascii="Times New Roman" w:cs="Times New Roman" w:eastAsia="Times New Roman" w:hAnsi="Times New Roman"/>
                <w:sz w:val="10"/>
                <w:szCs w:val="10"/>
                <w:b w:val="1"/>
                <w:bCs w:val="1"/>
                <w:color w:val="auto"/>
              </w:rPr>
              <w:t>US$</w:t>
            </w:r>
          </w:p>
        </w:tc>
        <w:tc>
          <w:tcPr>
            <w:tcW w:w="40" w:type="dxa"/>
            <w:vAlign w:val="bottom"/>
          </w:tcPr>
          <w:p>
            <w:pPr>
              <w:spacing w:after="0"/>
              <w:rPr>
                <w:sz w:val="8"/>
                <w:szCs w:val="8"/>
                <w:color w:val="auto"/>
              </w:rPr>
            </w:pPr>
          </w:p>
        </w:tc>
      </w:tr>
      <w:tr>
        <w:trPr>
          <w:trHeight w:val="15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Deductible value-added tax input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4,122</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16,487</w:t>
            </w:r>
          </w:p>
        </w:tc>
        <w:tc>
          <w:tcPr>
            <w:tcW w:w="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5"/>
              </w:rPr>
              <w:t>2,587</w:t>
            </w:r>
          </w:p>
        </w:tc>
      </w:tr>
      <w:tr>
        <w:trPr>
          <w:trHeight w:val="156"/>
        </w:trPr>
        <w:tc>
          <w:tcPr>
            <w:tcW w:w="5160" w:type="dxa"/>
            <w:vAlign w:val="bottom"/>
          </w:tcPr>
          <w:p>
            <w:pPr>
              <w:spacing w:after="0"/>
              <w:rPr>
                <w:sz w:val="20"/>
                <w:szCs w:val="20"/>
                <w:color w:val="auto"/>
              </w:rPr>
            </w:pPr>
            <w:r>
              <w:rPr>
                <w:rFonts w:ascii="Times New Roman" w:cs="Times New Roman" w:eastAsia="Times New Roman" w:hAnsi="Times New Roman"/>
                <w:sz w:val="13"/>
                <w:szCs w:val="13"/>
                <w:color w:val="auto"/>
              </w:rPr>
              <w:t>Staff advances</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1,039</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1,257</w:t>
            </w:r>
          </w:p>
        </w:tc>
        <w:tc>
          <w:tcPr>
            <w:tcW w:w="40" w:type="dxa"/>
            <w:vAlign w:val="bottom"/>
          </w:tcPr>
          <w:p>
            <w:pPr>
              <w:spacing w:after="0"/>
              <w:rPr>
                <w:sz w:val="13"/>
                <w:szCs w:val="13"/>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197</w:t>
            </w:r>
          </w:p>
        </w:tc>
      </w:tr>
      <w:tr>
        <w:trPr>
          <w:trHeight w:val="15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Prepayment to suppliers</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14,008</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9,958</w:t>
            </w:r>
          </w:p>
        </w:tc>
        <w:tc>
          <w:tcPr>
            <w:tcW w:w="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5"/>
              </w:rPr>
              <w:t>1,563</w:t>
            </w:r>
          </w:p>
        </w:tc>
      </w:tr>
      <w:tr>
        <w:trPr>
          <w:trHeight w:val="156"/>
        </w:trPr>
        <w:tc>
          <w:tcPr>
            <w:tcW w:w="5160" w:type="dxa"/>
            <w:vAlign w:val="bottom"/>
          </w:tcPr>
          <w:p>
            <w:pPr>
              <w:spacing w:after="0"/>
              <w:rPr>
                <w:sz w:val="20"/>
                <w:szCs w:val="20"/>
                <w:color w:val="auto"/>
              </w:rPr>
            </w:pPr>
            <w:r>
              <w:rPr>
                <w:rFonts w:ascii="Times New Roman" w:cs="Times New Roman" w:eastAsia="Times New Roman" w:hAnsi="Times New Roman"/>
                <w:sz w:val="13"/>
                <w:szCs w:val="13"/>
                <w:color w:val="auto"/>
              </w:rPr>
              <w:t>Others</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1,693</w:t>
            </w:r>
          </w:p>
        </w:tc>
        <w:tc>
          <w:tcPr>
            <w:tcW w:w="40" w:type="dxa"/>
            <w:vAlign w:val="bottom"/>
          </w:tcPr>
          <w:p>
            <w:pPr>
              <w:spacing w:after="0"/>
              <w:rPr>
                <w:sz w:val="13"/>
                <w:szCs w:val="13"/>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267</w:t>
            </w:r>
          </w:p>
        </w:tc>
      </w:tr>
      <w:tr>
        <w:trPr>
          <w:trHeight w:val="164"/>
        </w:trPr>
        <w:tc>
          <w:tcPr>
            <w:tcW w:w="516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21,421</w:t>
            </w: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29,395</w:t>
            </w:r>
          </w:p>
        </w:tc>
        <w:tc>
          <w:tcPr>
            <w:tcW w:w="160" w:type="dxa"/>
            <w:vAlign w:val="bottom"/>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4,614</w:t>
            </w:r>
          </w:p>
        </w:tc>
        <w:tc>
          <w:tcPr>
            <w:tcW w:w="40" w:type="dxa"/>
            <w:vAlign w:val="bottom"/>
          </w:tcPr>
          <w:p>
            <w:pPr>
              <w:spacing w:after="0"/>
              <w:rPr>
                <w:sz w:val="14"/>
                <w:szCs w:val="14"/>
                <w:color w:val="auto"/>
              </w:rPr>
            </w:pPr>
          </w:p>
        </w:tc>
      </w:tr>
    </w:tbl>
    <w:p>
      <w:pPr>
        <w:spacing w:after="0" w:line="153" w:lineRule="exact"/>
        <w:rPr>
          <w:sz w:val="20"/>
          <w:szCs w:val="20"/>
          <w:color w:val="auto"/>
        </w:rPr>
      </w:pPr>
    </w:p>
    <w:p>
      <w:pPr>
        <w:ind w:left="1980" w:right="619"/>
        <w:spacing w:after="0" w:line="278" w:lineRule="auto"/>
        <w:rPr>
          <w:sz w:val="20"/>
          <w:szCs w:val="20"/>
          <w:color w:val="auto"/>
        </w:rPr>
      </w:pPr>
      <w:r>
        <w:rPr>
          <w:rFonts w:ascii="Times New Roman" w:cs="Times New Roman" w:eastAsia="Times New Roman" w:hAnsi="Times New Roman"/>
          <w:sz w:val="13"/>
          <w:szCs w:val="13"/>
          <w:color w:val="auto"/>
        </w:rPr>
        <w:t>As of December 31, 2020 and 2021, the Group recorded the allowance for doubtful accounts relating to prepayment to third parties of RMB1,586 and RMB1,537 (US$241), respectively.</w:t>
      </w:r>
    </w:p>
    <w:p>
      <w:pPr>
        <w:spacing w:after="0" w:line="381" w:lineRule="exact"/>
        <w:rPr>
          <w:sz w:val="20"/>
          <w:szCs w:val="20"/>
          <w:color w:val="auto"/>
        </w:rPr>
      </w:pPr>
    </w:p>
    <w:tbl>
      <w:tblPr>
        <w:tblLayout w:type="fixed"/>
        <w:tblInd w:w="1680" w:type="dxa"/>
        <w:tblCellMar>
          <w:top w:w="0" w:type="dxa"/>
          <w:left w:w="0" w:type="dxa"/>
          <w:bottom w:w="0" w:type="dxa"/>
          <w:right w:w="0" w:type="dxa"/>
        </w:tblCellMar>
      </w:tblPr>
      <w:tr>
        <w:trPr>
          <w:trHeight w:val="170"/>
        </w:trPr>
        <w:tc>
          <w:tcPr>
            <w:tcW w:w="200" w:type="dxa"/>
            <w:vAlign w:val="bottom"/>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w w:val="81"/>
              </w:rPr>
              <w:t>8.</w:t>
            </w:r>
          </w:p>
        </w:tc>
        <w:tc>
          <w:tcPr>
            <w:tcW w:w="54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Property and Equipment, Net</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5"/>
        </w:trPr>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22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0"/>
                <w:szCs w:val="10"/>
                <w:b w:val="1"/>
                <w:bCs w:val="1"/>
                <w:color w:val="auto"/>
              </w:rPr>
              <w:t>As of December 31,</w:t>
            </w:r>
          </w:p>
        </w:tc>
        <w:tc>
          <w:tcPr>
            <w:tcW w:w="3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97"/>
        </w:trPr>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20" w:type="dxa"/>
            <w:vAlign w:val="bottom"/>
          </w:tcPr>
          <w:p>
            <w:pPr>
              <w:spacing w:after="0"/>
              <w:rPr>
                <w:sz w:val="8"/>
                <w:szCs w:val="8"/>
                <w:color w:val="auto"/>
              </w:rPr>
            </w:pPr>
          </w:p>
        </w:tc>
        <w:tc>
          <w:tcPr>
            <w:tcW w:w="440" w:type="dxa"/>
            <w:vAlign w:val="bottom"/>
            <w:tcBorders>
              <w:bottom w:val="single" w:sz="8" w:color="auto"/>
            </w:tcBorders>
          </w:tcPr>
          <w:p>
            <w:pPr>
              <w:jc w:val="right"/>
              <w:ind w:right="58"/>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140" w:type="dxa"/>
            <w:vAlign w:val="bottom"/>
          </w:tcPr>
          <w:p>
            <w:pPr>
              <w:spacing w:after="0"/>
              <w:rPr>
                <w:sz w:val="8"/>
                <w:szCs w:val="8"/>
                <w:color w:val="auto"/>
              </w:rPr>
            </w:pPr>
          </w:p>
        </w:tc>
        <w:tc>
          <w:tcPr>
            <w:tcW w:w="600" w:type="dxa"/>
            <w:vAlign w:val="bottom"/>
            <w:tcBorders>
              <w:bottom w:val="single" w:sz="8" w:color="auto"/>
            </w:tcBorders>
            <w:gridSpan w:val="2"/>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97"/>
        </w:trPr>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20" w:type="dxa"/>
            <w:vAlign w:val="bottom"/>
          </w:tcPr>
          <w:p>
            <w:pPr>
              <w:spacing w:after="0"/>
              <w:rPr>
                <w:sz w:val="8"/>
                <w:szCs w:val="8"/>
                <w:color w:val="auto"/>
              </w:rPr>
            </w:pPr>
          </w:p>
        </w:tc>
        <w:tc>
          <w:tcPr>
            <w:tcW w:w="440" w:type="dxa"/>
            <w:vAlign w:val="bottom"/>
          </w:tcPr>
          <w:p>
            <w:pPr>
              <w:jc w:val="right"/>
              <w:ind w:right="38"/>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140" w:type="dxa"/>
            <w:vAlign w:val="bottom"/>
          </w:tcPr>
          <w:p>
            <w:pPr>
              <w:spacing w:after="0"/>
              <w:rPr>
                <w:sz w:val="8"/>
                <w:szCs w:val="8"/>
                <w:color w:val="auto"/>
              </w:rPr>
            </w:pPr>
          </w:p>
        </w:tc>
        <w:tc>
          <w:tcPr>
            <w:tcW w:w="640" w:type="dxa"/>
            <w:vAlign w:val="bottom"/>
            <w:gridSpan w:val="3"/>
          </w:tcPr>
          <w:p>
            <w:pPr>
              <w:ind w:left="100"/>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340" w:type="dxa"/>
            <w:vAlign w:val="bottom"/>
          </w:tcPr>
          <w:p>
            <w:pPr>
              <w:jc w:val="right"/>
              <w:ind w:right="36"/>
              <w:spacing w:after="0" w:line="97" w:lineRule="exact"/>
              <w:rPr>
                <w:sz w:val="20"/>
                <w:szCs w:val="20"/>
                <w:color w:val="auto"/>
              </w:rPr>
            </w:pPr>
            <w:r>
              <w:rPr>
                <w:rFonts w:ascii="Times New Roman" w:cs="Times New Roman" w:eastAsia="Times New Roman" w:hAnsi="Times New Roman"/>
                <w:sz w:val="10"/>
                <w:szCs w:val="10"/>
                <w:b w:val="1"/>
                <w:bCs w:val="1"/>
                <w:color w:val="auto"/>
              </w:rPr>
              <w:t>US$</w:t>
            </w:r>
          </w:p>
        </w:tc>
        <w:tc>
          <w:tcPr>
            <w:tcW w:w="80" w:type="dxa"/>
            <w:vAlign w:val="bottom"/>
          </w:tcPr>
          <w:p>
            <w:pPr>
              <w:spacing w:after="0"/>
              <w:rPr>
                <w:sz w:val="8"/>
                <w:szCs w:val="8"/>
                <w:color w:val="auto"/>
              </w:rPr>
            </w:pPr>
          </w:p>
        </w:tc>
      </w:tr>
      <w:tr>
        <w:trPr>
          <w:trHeight w:val="156"/>
        </w:trPr>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Office equipment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1,545</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2,511</w:t>
            </w:r>
          </w:p>
        </w:tc>
        <w:tc>
          <w:tcPr>
            <w:tcW w:w="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394</w:t>
            </w:r>
          </w:p>
        </w:tc>
      </w:tr>
      <w:tr>
        <w:trPr>
          <w:trHeight w:val="156"/>
        </w:trPr>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3"/>
                <w:szCs w:val="13"/>
                <w:color w:val="auto"/>
              </w:rPr>
              <w:t>Machinery and electronic equipment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11,513</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22,547</w:t>
            </w:r>
          </w:p>
        </w:tc>
        <w:tc>
          <w:tcPr>
            <w:tcW w:w="40" w:type="dxa"/>
            <w:vAlign w:val="bottom"/>
          </w:tcPr>
          <w:p>
            <w:pPr>
              <w:spacing w:after="0"/>
              <w:rPr>
                <w:sz w:val="13"/>
                <w:szCs w:val="13"/>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3,538</w:t>
            </w:r>
          </w:p>
        </w:tc>
      </w:tr>
      <w:tr>
        <w:trPr>
          <w:trHeight w:val="156"/>
        </w:trPr>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Transportation equipment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3,310</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3,643</w:t>
            </w:r>
          </w:p>
        </w:tc>
        <w:tc>
          <w:tcPr>
            <w:tcW w:w="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572</w:t>
            </w:r>
          </w:p>
        </w:tc>
      </w:tr>
      <w:tr>
        <w:trPr>
          <w:trHeight w:val="156"/>
        </w:trPr>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3"/>
                <w:szCs w:val="13"/>
                <w:color w:val="auto"/>
              </w:rPr>
              <w:t>Leasehold improvements</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15,017</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30,250</w:t>
            </w:r>
          </w:p>
        </w:tc>
        <w:tc>
          <w:tcPr>
            <w:tcW w:w="40" w:type="dxa"/>
            <w:vAlign w:val="bottom"/>
          </w:tcPr>
          <w:p>
            <w:pPr>
              <w:spacing w:after="0"/>
              <w:rPr>
                <w:sz w:val="13"/>
                <w:szCs w:val="13"/>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4,746</w:t>
            </w:r>
          </w:p>
        </w:tc>
      </w:tr>
      <w:tr>
        <w:trPr>
          <w:trHeight w:val="156"/>
        </w:trPr>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Construction in progress</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11,976</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1,720</w:t>
            </w:r>
          </w:p>
        </w:tc>
        <w:tc>
          <w:tcPr>
            <w:tcW w:w="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270</w:t>
            </w:r>
          </w:p>
        </w:tc>
      </w:tr>
      <w:tr>
        <w:trPr>
          <w:trHeight w:val="155"/>
        </w:trPr>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43,361</w:t>
            </w:r>
          </w:p>
        </w:tc>
        <w:tc>
          <w:tcPr>
            <w:tcW w:w="140" w:type="dxa"/>
            <w:vAlign w:val="bottom"/>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60,671</w:t>
            </w:r>
          </w:p>
        </w:tc>
        <w:tc>
          <w:tcPr>
            <w:tcW w:w="14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9,520</w:t>
            </w:r>
          </w:p>
        </w:tc>
        <w:tc>
          <w:tcPr>
            <w:tcW w:w="80" w:type="dxa"/>
            <w:vAlign w:val="bottom"/>
          </w:tcPr>
          <w:p>
            <w:pPr>
              <w:spacing w:after="0"/>
              <w:rPr>
                <w:sz w:val="13"/>
                <w:szCs w:val="13"/>
                <w:color w:val="auto"/>
              </w:rPr>
            </w:pPr>
          </w:p>
        </w:tc>
      </w:tr>
      <w:tr>
        <w:trPr>
          <w:trHeight w:val="156"/>
        </w:trPr>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Less: accumulated depreciation</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(22,492)</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(25,223)</w:t>
            </w:r>
          </w:p>
        </w:tc>
        <w:tc>
          <w:tcPr>
            <w:tcW w:w="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4"/>
              </w:rPr>
              <w:t>(3,958)</w:t>
            </w:r>
          </w:p>
        </w:tc>
      </w:tr>
      <w:tr>
        <w:trPr>
          <w:trHeight w:val="156"/>
        </w:trPr>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3"/>
                <w:szCs w:val="13"/>
                <w:color w:val="auto"/>
              </w:rPr>
              <w:t>Less: accumulated impairment</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(1,627)</w:t>
            </w:r>
          </w:p>
        </w:tc>
        <w:tc>
          <w:tcPr>
            <w:tcW w:w="40" w:type="dxa"/>
            <w:vAlign w:val="bottom"/>
          </w:tcPr>
          <w:p>
            <w:pPr>
              <w:spacing w:after="0"/>
              <w:rPr>
                <w:sz w:val="13"/>
                <w:szCs w:val="13"/>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(255)</w:t>
            </w:r>
          </w:p>
        </w:tc>
      </w:tr>
      <w:tr>
        <w:trPr>
          <w:trHeight w:val="164"/>
        </w:trPr>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20" w:type="dxa"/>
            <w:vAlign w:val="bottom"/>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20,869</w:t>
            </w:r>
          </w:p>
        </w:tc>
        <w:tc>
          <w:tcPr>
            <w:tcW w:w="140" w:type="dxa"/>
            <w:vAlign w:val="bottom"/>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33,821</w:t>
            </w:r>
          </w:p>
        </w:tc>
        <w:tc>
          <w:tcPr>
            <w:tcW w:w="140" w:type="dxa"/>
            <w:vAlign w:val="bottom"/>
            <w:shd w:val="clear" w:color="auto" w:fill="CCEEFF"/>
          </w:tcPr>
          <w:p>
            <w:pPr>
              <w:spacing w:after="0"/>
              <w:rPr>
                <w:sz w:val="14"/>
                <w:szCs w:val="14"/>
                <w:color w:val="auto"/>
              </w:rPr>
            </w:pP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5,307</w:t>
            </w:r>
          </w:p>
        </w:tc>
        <w:tc>
          <w:tcPr>
            <w:tcW w:w="80" w:type="dxa"/>
            <w:vAlign w:val="bottom"/>
            <w:shd w:val="clear" w:color="auto" w:fill="CCEEFF"/>
          </w:tcPr>
          <w:p>
            <w:pPr>
              <w:spacing w:after="0"/>
              <w:rPr>
                <w:sz w:val="14"/>
                <w:szCs w:val="14"/>
                <w:color w:val="auto"/>
              </w:rPr>
            </w:pPr>
          </w:p>
        </w:tc>
      </w:tr>
    </w:tbl>
    <w:p>
      <w:pPr>
        <w:spacing w:after="0" w:line="153" w:lineRule="exact"/>
        <w:rPr>
          <w:sz w:val="20"/>
          <w:szCs w:val="20"/>
          <w:color w:val="auto"/>
        </w:rPr>
      </w:pPr>
    </w:p>
    <w:p>
      <w:pPr>
        <w:ind w:left="2000" w:right="839"/>
        <w:spacing w:after="0" w:line="278" w:lineRule="auto"/>
        <w:rPr>
          <w:sz w:val="20"/>
          <w:szCs w:val="20"/>
          <w:color w:val="auto"/>
        </w:rPr>
      </w:pPr>
      <w:r>
        <w:rPr>
          <w:rFonts w:ascii="Times New Roman" w:cs="Times New Roman" w:eastAsia="Times New Roman" w:hAnsi="Times New Roman"/>
          <w:sz w:val="13"/>
          <w:szCs w:val="13"/>
          <w:color w:val="auto"/>
        </w:rPr>
        <w:t>For the years ended December 31, 2019, 2020 and 2021, the Group recorded depreciation expense of RMB5,488, RMB5,785 and RMB7,427 (US$1,165), respectively.</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color w:val="auto"/>
        </w:rPr>
        <w:t>F- 41</w:t>
      </w:r>
    </w:p>
    <w:p>
      <w:pPr>
        <w:sectPr>
          <w:pgSz w:w="11900" w:h="16838" w:orient="portrait"/>
          <w:cols w:equalWidth="0" w:num="1">
            <w:col w:w="10159"/>
          </w:cols>
          <w:pgMar w:left="300" w:top="388" w:right="1440"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7">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 (CONTINUED)</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8">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7" w:lineRule="exact"/>
        <w:rPr>
          <w:sz w:val="20"/>
          <w:szCs w:val="20"/>
          <w:color w:val="auto"/>
        </w:rPr>
      </w:pPr>
    </w:p>
    <w:p>
      <w:pPr>
        <w:ind w:left="1980" w:hanging="304"/>
        <w:spacing w:after="0"/>
        <w:tabs>
          <w:tab w:leader="none" w:pos="1980" w:val="left"/>
        </w:tabs>
        <w:numPr>
          <w:ilvl w:val="0"/>
          <w:numId w:val="12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Long-Term Loans Receivable</w:t>
      </w:r>
    </w:p>
    <w:p>
      <w:pPr>
        <w:spacing w:after="0" w:line="85" w:lineRule="exact"/>
        <w:rPr>
          <w:rFonts w:ascii="Times New Roman" w:cs="Times New Roman" w:eastAsia="Times New Roman" w:hAnsi="Times New Roman"/>
          <w:sz w:val="13"/>
          <w:szCs w:val="13"/>
          <w:b w:val="1"/>
          <w:bCs w:val="1"/>
          <w:color w:val="auto"/>
        </w:rPr>
      </w:pPr>
    </w:p>
    <w:p>
      <w:pPr>
        <w:ind w:left="2000" w:right="639"/>
        <w:spacing w:after="0" w:line="259"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In January 2020, the Group entered into a three-year loan agreement with a third-party supplier of key AAV components with a principal amount of RMB52,000 and an interest rate of 3% per annum. The supplier’s use of loan proceeds is limited to expanding its production capacity. This long-term loan can be prepaid by the borrower at any time and the outstanding loan balance is guaranteed by the supplier’s sole shareholder and his spouse. In 2020, RMB40,000 of the loan’s principal was repaid by the third-party supplier.</w:t>
      </w:r>
    </w:p>
    <w:p>
      <w:pPr>
        <w:spacing w:after="0" w:line="55" w:lineRule="exact"/>
        <w:rPr>
          <w:rFonts w:ascii="Times New Roman" w:cs="Times New Roman" w:eastAsia="Times New Roman" w:hAnsi="Times New Roman"/>
          <w:sz w:val="13"/>
          <w:szCs w:val="13"/>
          <w:b w:val="1"/>
          <w:bCs w:val="1"/>
          <w:color w:val="auto"/>
        </w:rPr>
      </w:pPr>
    </w:p>
    <w:p>
      <w:pPr>
        <w:ind w:left="2000" w:right="659"/>
        <w:spacing w:after="0" w:line="259"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In March 2020, the Group provided a two-year loan to a third-party entity with a principal amount of EUR243 (equivalent to RMB1,900) and an interest rate of 3.5% per annum. The usage of the loan proceeds is limited to assisting the Group with the application of the necessary permits from the aviation authority in a European country for the commercial operations of AAVs in a European country. Subsequent to December 31, 2021, the Group entered into a supplementary letter with the third-party entity to extend the term of the loan by two years.</w:t>
      </w:r>
    </w:p>
    <w:p>
      <w:pPr>
        <w:spacing w:after="0" w:line="55" w:lineRule="exact"/>
        <w:rPr>
          <w:rFonts w:ascii="Times New Roman" w:cs="Times New Roman" w:eastAsia="Times New Roman" w:hAnsi="Times New Roman"/>
          <w:sz w:val="13"/>
          <w:szCs w:val="13"/>
          <w:b w:val="1"/>
          <w:bCs w:val="1"/>
          <w:color w:val="auto"/>
        </w:rPr>
      </w:pPr>
    </w:p>
    <w:p>
      <w:pPr>
        <w:ind w:left="2000" w:right="719"/>
        <w:spacing w:after="0" w:line="278"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For the years ended December 31, 2019, 2020 and 2021, the Group recognized interest income of nil, RMB984 and RMB1,402 (US$220) from the long-term loans receivable, respectively.</w:t>
      </w:r>
    </w:p>
    <w:p>
      <w:pPr>
        <w:spacing w:after="0" w:line="225" w:lineRule="exact"/>
        <w:rPr>
          <w:rFonts w:ascii="Times New Roman" w:cs="Times New Roman" w:eastAsia="Times New Roman" w:hAnsi="Times New Roman"/>
          <w:sz w:val="13"/>
          <w:szCs w:val="13"/>
          <w:b w:val="1"/>
          <w:bCs w:val="1"/>
          <w:color w:val="auto"/>
        </w:rPr>
      </w:pPr>
    </w:p>
    <w:p>
      <w:pPr>
        <w:ind w:left="1980" w:hanging="304"/>
        <w:spacing w:after="0"/>
        <w:tabs>
          <w:tab w:leader="none" w:pos="1980" w:val="left"/>
        </w:tabs>
        <w:numPr>
          <w:ilvl w:val="0"/>
          <w:numId w:val="12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Long-term investments</w:t>
      </w:r>
    </w:p>
    <w:p>
      <w:pPr>
        <w:spacing w:after="0" w:line="92"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0"/>
          <w:szCs w:val="10"/>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4896485</wp:posOffset>
            </wp:positionH>
            <wp:positionV relativeFrom="paragraph">
              <wp:posOffset>5715</wp:posOffset>
            </wp:positionV>
            <wp:extent cx="778510" cy="63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9">
                      <a:extLst>
                        <a:ext uri="{28A0092B-C50C-407E-A947-70E740481C1C}"/>
                      </a:extLst>
                    </a:blip>
                    <a:srcRect/>
                    <a:stretch>
                      <a:fillRect/>
                    </a:stretch>
                  </pic:blipFill>
                  <pic:spPr bwMode="auto">
                    <a:xfrm>
                      <a:off x="0" y="0"/>
                      <a:ext cx="778510" cy="6350"/>
                    </a:xfrm>
                    <a:prstGeom prst="rect">
                      <a:avLst/>
                    </a:prstGeom>
                    <a:noFill/>
                  </pic:spPr>
                </pic:pic>
              </a:graphicData>
            </a:graphic>
          </wp:anchor>
        </w:drawing>
      </w:r>
    </w:p>
    <w:p>
      <w:pPr>
        <w:ind w:left="7780"/>
        <w:spacing w:after="0"/>
        <w:tabs>
          <w:tab w:leader="none" w:pos="8440" w:val="left"/>
        </w:tabs>
        <w:rPr>
          <w:sz w:val="20"/>
          <w:szCs w:val="20"/>
          <w:color w:val="auto"/>
        </w:rPr>
      </w:pPr>
      <w:r>
        <w:rPr>
          <w:rFonts w:ascii="Times New Roman" w:cs="Times New Roman" w:eastAsia="Times New Roman" w:hAnsi="Times New Roman"/>
          <w:sz w:val="10"/>
          <w:szCs w:val="10"/>
          <w:b w:val="1"/>
          <w:bCs w:val="1"/>
          <w:color w:val="auto"/>
        </w:rPr>
        <w:t>2020</w:t>
      </w:r>
      <w:r>
        <w:rPr>
          <w:sz w:val="20"/>
          <w:szCs w:val="20"/>
          <w:color w:val="auto"/>
        </w:rPr>
        <w:tab/>
      </w:r>
      <w:r>
        <w:rPr>
          <w:rFonts w:ascii="Times New Roman" w:cs="Times New Roman" w:eastAsia="Times New Roman" w:hAnsi="Times New Roman"/>
          <w:sz w:val="10"/>
          <w:szCs w:val="10"/>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4896485</wp:posOffset>
            </wp:positionH>
            <wp:positionV relativeFrom="paragraph">
              <wp:posOffset>-1270</wp:posOffset>
            </wp:positionV>
            <wp:extent cx="778510" cy="63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0">
                      <a:extLst>
                        <a:ext uri="{28A0092B-C50C-407E-A947-70E740481C1C}"/>
                      </a:extLst>
                    </a:blip>
                    <a:srcRect/>
                    <a:stretch>
                      <a:fillRect/>
                    </a:stretch>
                  </pic:blipFill>
                  <pic:spPr bwMode="auto">
                    <a:xfrm>
                      <a:off x="0" y="0"/>
                      <a:ext cx="778510" cy="6350"/>
                    </a:xfrm>
                    <a:prstGeom prst="rect">
                      <a:avLst/>
                    </a:prstGeom>
                    <a:noFill/>
                  </pic:spPr>
                </pic:pic>
              </a:graphicData>
            </a:graphic>
          </wp:anchor>
        </w:drawing>
      </w:r>
    </w:p>
    <w:p>
      <w:pPr>
        <w:ind w:left="7760"/>
        <w:spacing w:after="0" w:line="237" w:lineRule="auto"/>
        <w:tabs>
          <w:tab w:leader="none" w:pos="8240" w:val="left"/>
          <w:tab w:leader="none" w:pos="8700" w:val="left"/>
        </w:tabs>
        <w:rPr>
          <w:sz w:val="20"/>
          <w:szCs w:val="20"/>
          <w:color w:val="auto"/>
        </w:rPr>
      </w:pPr>
      <w:r>
        <w:rPr>
          <w:rFonts w:ascii="Times New Roman" w:cs="Times New Roman" w:eastAsia="Times New Roman" w:hAnsi="Times New Roman"/>
          <w:sz w:val="10"/>
          <w:szCs w:val="10"/>
          <w:b w:val="1"/>
          <w:bCs w:val="1"/>
          <w:color w:val="auto"/>
        </w:rPr>
        <w:t>RMB</w:t>
      </w:r>
      <w:r>
        <w:rPr>
          <w:sz w:val="20"/>
          <w:szCs w:val="20"/>
          <w:color w:val="auto"/>
        </w:rPr>
        <w:tab/>
      </w:r>
      <w:r>
        <w:rPr>
          <w:rFonts w:ascii="Times New Roman" w:cs="Times New Roman" w:eastAsia="Times New Roman" w:hAnsi="Times New Roman"/>
          <w:sz w:val="10"/>
          <w:szCs w:val="10"/>
          <w:b w:val="1"/>
          <w:bCs w:val="1"/>
          <w:color w:val="auto"/>
        </w:rPr>
        <w:t>RMB</w:t>
      </w:r>
      <w:r>
        <w:rPr>
          <w:sz w:val="20"/>
          <w:szCs w:val="20"/>
          <w:color w:val="auto"/>
        </w:rPr>
        <w:tab/>
      </w:r>
      <w:r>
        <w:rPr>
          <w:rFonts w:ascii="Times New Roman" w:cs="Times New Roman" w:eastAsia="Times New Roman" w:hAnsi="Times New Roman"/>
          <w:sz w:val="10"/>
          <w:szCs w:val="10"/>
          <w:b w:val="1"/>
          <w:bCs w:val="1"/>
          <w:color w:val="auto"/>
        </w:rPr>
        <w:t>US$</w:t>
      </w:r>
    </w:p>
    <w:p>
      <w:pPr>
        <w:spacing w:after="0" w:line="6" w:lineRule="exact"/>
        <w:rPr>
          <w:sz w:val="20"/>
          <w:szCs w:val="20"/>
          <w:color w:val="auto"/>
        </w:rPr>
      </w:pPr>
    </w:p>
    <w:tbl>
      <w:tblPr>
        <w:tblLayout w:type="fixed"/>
        <w:tblInd w:w="2320" w:type="dxa"/>
        <w:tblCellMar>
          <w:top w:w="0" w:type="dxa"/>
          <w:left w:w="0" w:type="dxa"/>
          <w:bottom w:w="0" w:type="dxa"/>
          <w:right w:w="0" w:type="dxa"/>
        </w:tblCellMar>
      </w:tblPr>
      <w:tr>
        <w:trPr>
          <w:trHeight w:val="14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 method investments (a)</w:t>
            </w:r>
          </w:p>
        </w:tc>
        <w:tc>
          <w:tcPr>
            <w:tcW w:w="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3,224</w:t>
            </w: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506</w:t>
            </w:r>
          </w:p>
        </w:tc>
      </w:tr>
      <w:tr>
        <w:trPr>
          <w:trHeight w:val="156"/>
        </w:trPr>
        <w:tc>
          <w:tcPr>
            <w:tcW w:w="5400" w:type="dxa"/>
            <w:vAlign w:val="bottom"/>
          </w:tcPr>
          <w:p>
            <w:pPr>
              <w:spacing w:after="0"/>
              <w:rPr>
                <w:sz w:val="20"/>
                <w:szCs w:val="20"/>
                <w:color w:val="auto"/>
              </w:rPr>
            </w:pPr>
            <w:r>
              <w:rPr>
                <w:rFonts w:ascii="Times New Roman" w:cs="Times New Roman" w:eastAsia="Times New Roman" w:hAnsi="Times New Roman"/>
                <w:sz w:val="13"/>
                <w:szCs w:val="13"/>
                <w:color w:val="auto"/>
              </w:rPr>
              <w:t>Equity investments without readily determinable fair values (b)</w:t>
            </w:r>
          </w:p>
        </w:tc>
        <w:tc>
          <w:tcPr>
            <w:tcW w:w="4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5"/>
              </w:rPr>
              <w:t>2,919</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2,919</w:t>
            </w: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458</w:t>
            </w:r>
          </w:p>
        </w:tc>
      </w:tr>
      <w:tr>
        <w:trPr>
          <w:trHeight w:val="20"/>
        </w:trPr>
        <w:tc>
          <w:tcPr>
            <w:tcW w:w="5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5"/>
        </w:trPr>
        <w:tc>
          <w:tcPr>
            <w:tcW w:w="54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5"/>
              </w:rPr>
              <w:t>2,919</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6,143</w:t>
            </w: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964</w:t>
            </w:r>
          </w:p>
        </w:tc>
      </w:tr>
      <w:tr>
        <w:trPr>
          <w:trHeight w:val="29"/>
        </w:trPr>
        <w:tc>
          <w:tcPr>
            <w:tcW w:w="5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84" w:lineRule="exact"/>
        <w:rPr>
          <w:sz w:val="20"/>
          <w:szCs w:val="20"/>
          <w:color w:val="auto"/>
        </w:rPr>
      </w:pPr>
    </w:p>
    <w:p>
      <w:pPr>
        <w:ind w:left="2380" w:right="579" w:hanging="393"/>
        <w:spacing w:after="0" w:line="253" w:lineRule="auto"/>
        <w:tabs>
          <w:tab w:leader="none" w:pos="2380" w:val="left"/>
        </w:tabs>
        <w:numPr>
          <w:ilvl w:val="0"/>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June 2021, the Group and a third party investor entered into an investment agreement to establish an investee for establishing the 5G Intelligent Air Mobility Experience Center as well as local urban air mobility route planning and AAV operations, with total cash consideration of RMB10,500 (US$1,648) and RMB19,500 (US$3,060), respectively. The Group held 35% of the investee’s equity interests. As the Group has significant influence on the invested company, the Group accounted for the investment using equity method. For the year ended December 31, 2021, the Group recognized the loss from equity method investment in the amount of RMB276 (US$43). RMB2,800 (US$439) was recorded as Accrued expenses and other liabilities (Note 11), indicating the consideration which should be paid on or before December 31, 2021, pursuant to the investment agreement. The Company subsequently settled this amount in January 2022. For the remaining consideration amounting to RMB7,000 (US$1,098), the Company will settle in accordance with the agreed terms and therefore it was disclosed in Capital commitments (Note 23(b)).</w:t>
      </w:r>
    </w:p>
    <w:p>
      <w:pPr>
        <w:spacing w:after="0" w:line="69" w:lineRule="exact"/>
        <w:rPr>
          <w:rFonts w:ascii="Times New Roman" w:cs="Times New Roman" w:eastAsia="Times New Roman" w:hAnsi="Times New Roman"/>
          <w:sz w:val="13"/>
          <w:szCs w:val="13"/>
          <w:color w:val="auto"/>
        </w:rPr>
      </w:pPr>
    </w:p>
    <w:p>
      <w:pPr>
        <w:ind w:left="2380" w:right="579" w:hanging="393"/>
        <w:spacing w:after="0" w:line="255" w:lineRule="auto"/>
        <w:tabs>
          <w:tab w:leader="none" w:pos="2380" w:val="left"/>
        </w:tabs>
        <w:numPr>
          <w:ilvl w:val="0"/>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2017, the Group provided facilitating services to a third party to acquire a land use right from the Guangzhou City government. In exchange for such services, the Group received a cash consideration of RMB41,117 and 5% equity interests in a corporation, the sole asset of which was the aforementioned land use right. The Group elected to use the measurement alternative to measure this investment at cost, less any impairment, plus or minus changes resulting from observable price changes in orderly transactions for identical or similar investments of the same issuer. As of December 31, 2020 and 2021, the carrying value of this investment was RMB2,919 and RMB2,919 (US$458).</w:t>
      </w:r>
    </w:p>
    <w:p>
      <w:pPr>
        <w:spacing w:after="0" w:line="8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color w:val="auto"/>
        </w:rPr>
        <w:t>F- 42</w:t>
      </w:r>
    </w:p>
    <w:p>
      <w:pPr>
        <w:sectPr>
          <w:pgSz w:w="11900" w:h="16838" w:orient="portrait"/>
          <w:cols w:equalWidth="0" w:num="1">
            <w:col w:w="10159"/>
          </w:cols>
          <w:pgMar w:left="300" w:top="388" w:right="1440"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1">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 (CONTINUED)</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2">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7" w:lineRule="exact"/>
        <w:rPr>
          <w:sz w:val="20"/>
          <w:szCs w:val="20"/>
          <w:color w:val="auto"/>
        </w:rPr>
      </w:pPr>
    </w:p>
    <w:p>
      <w:pPr>
        <w:ind w:left="1680"/>
        <w:spacing w:after="0"/>
        <w:tabs>
          <w:tab w:leader="none" w:pos="1960" w:val="left"/>
        </w:tabs>
        <w:rPr>
          <w:sz w:val="20"/>
          <w:szCs w:val="20"/>
          <w:color w:val="auto"/>
        </w:rPr>
      </w:pPr>
      <w:r>
        <w:rPr>
          <w:rFonts w:ascii="Times New Roman" w:cs="Times New Roman" w:eastAsia="Times New Roman" w:hAnsi="Times New Roman"/>
          <w:sz w:val="13"/>
          <w:szCs w:val="13"/>
          <w:b w:val="1"/>
          <w:bCs w:val="1"/>
          <w:color w:val="auto"/>
        </w:rPr>
        <w:t>11.</w:t>
        <w:tab/>
        <w:t>Accrued Expenses and Other Liabilities</w:t>
      </w:r>
    </w:p>
    <w:p>
      <w:pPr>
        <w:spacing w:after="0" w:line="8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Accrued expenses and other liabilities consisted of the following:</w:t>
      </w:r>
    </w:p>
    <w:p>
      <w:pPr>
        <w:spacing w:after="0" w:line="177" w:lineRule="exact"/>
        <w:rPr>
          <w:sz w:val="20"/>
          <w:szCs w:val="20"/>
          <w:color w:val="auto"/>
        </w:rPr>
      </w:pPr>
    </w:p>
    <w:tbl>
      <w:tblPr>
        <w:tblLayout w:type="fixed"/>
        <w:tblInd w:w="2000" w:type="dxa"/>
        <w:tblCellMar>
          <w:top w:w="0" w:type="dxa"/>
          <w:left w:w="0" w:type="dxa"/>
          <w:bottom w:w="0" w:type="dxa"/>
          <w:right w:w="0" w:type="dxa"/>
        </w:tblCellMar>
      </w:tblPr>
      <w:tr>
        <w:trPr>
          <w:trHeight w:val="124"/>
        </w:trPr>
        <w:tc>
          <w:tcPr>
            <w:tcW w:w="3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0"/>
                <w:szCs w:val="10"/>
                <w:b w:val="1"/>
                <w:bCs w:val="1"/>
                <w:color w:val="auto"/>
                <w:w w:val="99"/>
              </w:rPr>
              <w:t>As of December 31,</w:t>
            </w:r>
          </w:p>
        </w:tc>
        <w:tc>
          <w:tcPr>
            <w:tcW w:w="2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460" w:type="dxa"/>
            <w:vAlign w:val="bottom"/>
            <w:tcBorders>
              <w:bottom w:val="single" w:sz="8" w:color="auto"/>
            </w:tcBorders>
            <w:gridSpan w:val="2"/>
          </w:tcPr>
          <w:p>
            <w:pPr>
              <w:jc w:val="right"/>
              <w:ind w:right="103"/>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100" w:type="dxa"/>
            <w:vAlign w:val="bottom"/>
          </w:tcPr>
          <w:p>
            <w:pPr>
              <w:spacing w:after="0"/>
              <w:rPr>
                <w:sz w:val="8"/>
                <w:szCs w:val="8"/>
                <w:color w:val="auto"/>
              </w:rPr>
            </w:pPr>
          </w:p>
        </w:tc>
        <w:tc>
          <w:tcPr>
            <w:tcW w:w="560" w:type="dxa"/>
            <w:vAlign w:val="bottom"/>
            <w:tcBorders>
              <w:bottom w:val="single" w:sz="8" w:color="auto"/>
            </w:tcBorders>
            <w:gridSpan w:val="3"/>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3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460" w:type="dxa"/>
            <w:vAlign w:val="bottom"/>
            <w:gridSpan w:val="2"/>
          </w:tcPr>
          <w:p>
            <w:pPr>
              <w:jc w:val="right"/>
              <w:ind w:right="83"/>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3"/>
          </w:tcPr>
          <w:p>
            <w:pPr>
              <w:jc w:val="center"/>
              <w:ind w:right="260"/>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300" w:type="dxa"/>
            <w:vAlign w:val="bottom"/>
            <w:gridSpan w:val="2"/>
          </w:tcPr>
          <w:p>
            <w:pPr>
              <w:jc w:val="center"/>
              <w:ind w:right="40"/>
              <w:spacing w:after="0" w:line="97" w:lineRule="exact"/>
              <w:rPr>
                <w:sz w:val="20"/>
                <w:szCs w:val="20"/>
                <w:color w:val="auto"/>
              </w:rPr>
            </w:pPr>
            <w:r>
              <w:rPr>
                <w:rFonts w:ascii="Times New Roman" w:cs="Times New Roman" w:eastAsia="Times New Roman" w:hAnsi="Times New Roman"/>
                <w:sz w:val="10"/>
                <w:szCs w:val="10"/>
                <w:b w:val="1"/>
                <w:bCs w:val="1"/>
                <w:color w:val="auto"/>
              </w:rPr>
              <w:t>US$</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Payroll and welfare payables</w:t>
            </w:r>
          </w:p>
        </w:tc>
        <w:tc>
          <w:tcPr>
            <w:tcW w:w="460" w:type="dxa"/>
            <w:vAlign w:val="bottom"/>
            <w:tcBorders>
              <w:right w:val="single" w:sz="8" w:color="CCEEFF"/>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3"/>
                <w:szCs w:val="13"/>
                <w:color w:val="auto"/>
              </w:rPr>
              <w:t>23,636</w:t>
            </w:r>
          </w:p>
        </w:tc>
        <w:tc>
          <w:tcPr>
            <w:tcW w:w="100" w:type="dxa"/>
            <w:vAlign w:val="bottom"/>
            <w:shd w:val="clear" w:color="auto" w:fill="CCEEFF"/>
          </w:tcPr>
          <w:p>
            <w:pPr>
              <w:spacing w:after="0"/>
              <w:rPr>
                <w:sz w:val="14"/>
                <w:szCs w:val="14"/>
                <w:color w:val="auto"/>
              </w:rPr>
            </w:pP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32,532</w:t>
            </w:r>
          </w:p>
        </w:tc>
        <w:tc>
          <w:tcPr>
            <w:tcW w:w="14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5"/>
              </w:rPr>
              <w:t>5,105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3"/>
                <w:szCs w:val="13"/>
                <w:color w:val="auto"/>
              </w:rPr>
              <w:t>Payables to suppliers</w:t>
            </w:r>
          </w:p>
        </w:tc>
        <w:tc>
          <w:tcPr>
            <w:tcW w:w="460" w:type="dxa"/>
            <w:vAlign w:val="bottom"/>
            <w:gridSpan w:val="2"/>
          </w:tcPr>
          <w:p>
            <w:pPr>
              <w:jc w:val="right"/>
              <w:ind w:right="3"/>
              <w:spacing w:after="0"/>
              <w:rPr>
                <w:sz w:val="20"/>
                <w:szCs w:val="20"/>
                <w:color w:val="auto"/>
              </w:rPr>
            </w:pPr>
            <w:r>
              <w:rPr>
                <w:rFonts w:ascii="Times New Roman" w:cs="Times New Roman" w:eastAsia="Times New Roman" w:hAnsi="Times New Roman"/>
                <w:sz w:val="13"/>
                <w:szCs w:val="13"/>
                <w:color w:val="auto"/>
              </w:rPr>
              <w:t>7,259</w:t>
            </w:r>
          </w:p>
        </w:tc>
        <w:tc>
          <w:tcPr>
            <w:tcW w:w="10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8,542</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w w:val="95"/>
              </w:rPr>
              <w:t>1,340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Payables for service fee</w:t>
            </w:r>
          </w:p>
        </w:tc>
        <w:tc>
          <w:tcPr>
            <w:tcW w:w="460" w:type="dxa"/>
            <w:vAlign w:val="bottom"/>
            <w:tcBorders>
              <w:right w:val="single" w:sz="8" w:color="CCEEFF"/>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3"/>
                <w:szCs w:val="13"/>
                <w:color w:val="auto"/>
              </w:rPr>
              <w:t>7,146</w:t>
            </w:r>
          </w:p>
        </w:tc>
        <w:tc>
          <w:tcPr>
            <w:tcW w:w="100" w:type="dxa"/>
            <w:vAlign w:val="bottom"/>
            <w:shd w:val="clear" w:color="auto" w:fill="CCEEFF"/>
          </w:tcPr>
          <w:p>
            <w:pPr>
              <w:spacing w:after="0"/>
              <w:rPr>
                <w:sz w:val="14"/>
                <w:szCs w:val="14"/>
                <w:color w:val="auto"/>
              </w:rPr>
            </w:pP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6,876</w:t>
            </w:r>
          </w:p>
        </w:tc>
        <w:tc>
          <w:tcPr>
            <w:tcW w:w="14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5"/>
              </w:rPr>
              <w:t>1,079</w:t>
            </w: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3"/>
                <w:szCs w:val="13"/>
                <w:color w:val="auto"/>
              </w:rPr>
              <w:t>Other taxes payable</w:t>
            </w:r>
          </w:p>
        </w:tc>
        <w:tc>
          <w:tcPr>
            <w:tcW w:w="460" w:type="dxa"/>
            <w:vAlign w:val="bottom"/>
            <w:gridSpan w:val="2"/>
          </w:tcPr>
          <w:p>
            <w:pPr>
              <w:jc w:val="right"/>
              <w:ind w:right="3"/>
              <w:spacing w:after="0"/>
              <w:rPr>
                <w:sz w:val="20"/>
                <w:szCs w:val="20"/>
                <w:color w:val="auto"/>
              </w:rPr>
            </w:pPr>
            <w:r>
              <w:rPr>
                <w:rFonts w:ascii="Times New Roman" w:cs="Times New Roman" w:eastAsia="Times New Roman" w:hAnsi="Times New Roman"/>
                <w:sz w:val="13"/>
                <w:szCs w:val="13"/>
                <w:color w:val="auto"/>
              </w:rPr>
              <w:t>5,595</w:t>
            </w:r>
          </w:p>
        </w:tc>
        <w:tc>
          <w:tcPr>
            <w:tcW w:w="10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5,014</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787</w:t>
            </w: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Product warranty liability</w:t>
            </w:r>
          </w:p>
        </w:tc>
        <w:tc>
          <w:tcPr>
            <w:tcW w:w="460" w:type="dxa"/>
            <w:vAlign w:val="bottom"/>
            <w:tcBorders>
              <w:right w:val="single" w:sz="8" w:color="CCEEFF"/>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3"/>
                <w:szCs w:val="13"/>
                <w:color w:val="auto"/>
              </w:rPr>
              <w:t>4,856</w:t>
            </w:r>
          </w:p>
        </w:tc>
        <w:tc>
          <w:tcPr>
            <w:tcW w:w="100" w:type="dxa"/>
            <w:vAlign w:val="bottom"/>
            <w:shd w:val="clear" w:color="auto" w:fill="CCEEFF"/>
          </w:tcPr>
          <w:p>
            <w:pPr>
              <w:spacing w:after="0"/>
              <w:rPr>
                <w:sz w:val="13"/>
                <w:szCs w:val="13"/>
                <w:color w:val="auto"/>
              </w:rPr>
            </w:pP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4,758</w:t>
            </w:r>
          </w:p>
        </w:tc>
        <w:tc>
          <w:tcPr>
            <w:tcW w:w="14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747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3"/>
                <w:szCs w:val="13"/>
                <w:color w:val="auto"/>
              </w:rPr>
              <w:t>Consideration payable to an equity method investment (Note 10 (a))</w:t>
            </w:r>
          </w:p>
        </w:tc>
        <w:tc>
          <w:tcPr>
            <w:tcW w:w="140" w:type="dxa"/>
            <w:vAlign w:val="bottom"/>
          </w:tcPr>
          <w:p>
            <w:pPr>
              <w:spacing w:after="0"/>
              <w:rPr>
                <w:sz w:val="14"/>
                <w:szCs w:val="14"/>
                <w:color w:val="auto"/>
              </w:rPr>
            </w:pPr>
          </w:p>
        </w:tc>
        <w:tc>
          <w:tcPr>
            <w:tcW w:w="420" w:type="dxa"/>
            <w:vAlign w:val="bottom"/>
            <w:gridSpan w:val="2"/>
          </w:tcPr>
          <w:p>
            <w:pPr>
              <w:jc w:val="right"/>
              <w:ind w:right="108"/>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2,800</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439</w:t>
            </w: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Accrued interests</w:t>
            </w:r>
          </w:p>
        </w:tc>
        <w:tc>
          <w:tcPr>
            <w:tcW w:w="460" w:type="dxa"/>
            <w:vAlign w:val="bottom"/>
            <w:tcBorders>
              <w:right w:val="single" w:sz="8" w:color="CCEEFF"/>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3"/>
                <w:szCs w:val="13"/>
                <w:color w:val="auto"/>
              </w:rPr>
              <w:t>2,526</w:t>
            </w:r>
          </w:p>
        </w:tc>
        <w:tc>
          <w:tcPr>
            <w:tcW w:w="100" w:type="dxa"/>
            <w:vAlign w:val="bottom"/>
            <w:shd w:val="clear" w:color="auto" w:fill="CCEEFF"/>
          </w:tcPr>
          <w:p>
            <w:pPr>
              <w:spacing w:after="0"/>
              <w:rPr>
                <w:sz w:val="13"/>
                <w:szCs w:val="13"/>
                <w:color w:val="auto"/>
              </w:rPr>
            </w:pP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769</w:t>
            </w:r>
          </w:p>
        </w:tc>
        <w:tc>
          <w:tcPr>
            <w:tcW w:w="14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121</w:t>
            </w: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3"/>
                <w:szCs w:val="13"/>
                <w:color w:val="auto"/>
              </w:rPr>
              <w:t>Current portion of a long-term loan from a third party (Note a)</w:t>
            </w:r>
          </w:p>
        </w:tc>
        <w:tc>
          <w:tcPr>
            <w:tcW w:w="460" w:type="dxa"/>
            <w:vAlign w:val="bottom"/>
            <w:gridSpan w:val="2"/>
          </w:tcPr>
          <w:p>
            <w:pPr>
              <w:jc w:val="right"/>
              <w:ind w:right="3"/>
              <w:spacing w:after="0"/>
              <w:rPr>
                <w:sz w:val="20"/>
                <w:szCs w:val="20"/>
                <w:color w:val="auto"/>
              </w:rPr>
            </w:pPr>
            <w:r>
              <w:rPr>
                <w:rFonts w:ascii="Times New Roman" w:cs="Times New Roman" w:eastAsia="Times New Roman" w:hAnsi="Times New Roman"/>
                <w:sz w:val="13"/>
                <w:szCs w:val="13"/>
                <w:color w:val="auto"/>
              </w:rPr>
              <w:t>30,000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Others</w:t>
            </w:r>
          </w:p>
        </w:tc>
        <w:tc>
          <w:tcPr>
            <w:tcW w:w="460" w:type="dxa"/>
            <w:vAlign w:val="bottom"/>
            <w:tcBorders>
              <w:right w:val="single" w:sz="8" w:color="CCEEFF"/>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3"/>
                <w:szCs w:val="13"/>
                <w:color w:val="auto"/>
              </w:rPr>
              <w:t>560</w:t>
            </w:r>
          </w:p>
        </w:tc>
        <w:tc>
          <w:tcPr>
            <w:tcW w:w="100" w:type="dxa"/>
            <w:vAlign w:val="bottom"/>
            <w:shd w:val="clear" w:color="auto" w:fill="CCEEFF"/>
          </w:tcPr>
          <w:p>
            <w:pPr>
              <w:spacing w:after="0"/>
              <w:rPr>
                <w:sz w:val="13"/>
                <w:szCs w:val="13"/>
                <w:color w:val="auto"/>
              </w:rPr>
            </w:pP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w:t>
            </w:r>
          </w:p>
        </w:tc>
        <w:tc>
          <w:tcPr>
            <w:tcW w:w="14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88</w:t>
            </w:r>
          </w:p>
        </w:tc>
        <w:tc>
          <w:tcPr>
            <w:tcW w:w="0" w:type="dxa"/>
            <w:vAlign w:val="bottom"/>
          </w:tcPr>
          <w:p>
            <w:pPr>
              <w:spacing w:after="0"/>
              <w:rPr>
                <w:sz w:val="1"/>
                <w:szCs w:val="1"/>
                <w:color w:val="auto"/>
              </w:rPr>
            </w:pPr>
          </w:p>
        </w:tc>
      </w:tr>
      <w:tr>
        <w:trPr>
          <w:trHeight w:val="164"/>
        </w:trPr>
        <w:tc>
          <w:tcPr>
            <w:tcW w:w="3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460" w:type="dxa"/>
            <w:vAlign w:val="bottom"/>
            <w:tcBorders>
              <w:top w:val="single" w:sz="8" w:color="auto"/>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81,578</w:t>
            </w:r>
          </w:p>
        </w:tc>
        <w:tc>
          <w:tcPr>
            <w:tcW w:w="100" w:type="dxa"/>
            <w:vAlign w:val="bottom"/>
          </w:tcPr>
          <w:p>
            <w:pPr>
              <w:spacing w:after="0"/>
              <w:rPr>
                <w:sz w:val="14"/>
                <w:szCs w:val="14"/>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61,851</w:t>
            </w:r>
          </w:p>
        </w:tc>
        <w:tc>
          <w:tcPr>
            <w:tcW w:w="140" w:type="dxa"/>
            <w:vAlign w:val="bottom"/>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9,706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0"/>
        </w:trPr>
        <w:tc>
          <w:tcPr>
            <w:tcW w:w="5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 reconciliation of the changes in the Group’s product warranty liability is as follows:</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20" w:type="dxa"/>
            <w:vAlign w:val="bottom"/>
          </w:tcPr>
          <w:p>
            <w:pPr>
              <w:spacing w:after="0"/>
              <w:rPr>
                <w:sz w:val="23"/>
                <w:szCs w:val="23"/>
                <w:color w:val="auto"/>
              </w:rPr>
            </w:pPr>
          </w:p>
        </w:tc>
        <w:tc>
          <w:tcPr>
            <w:tcW w:w="5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gridSpan w:val="9"/>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For the year ended</w:t>
            </w:r>
          </w:p>
        </w:tc>
        <w:tc>
          <w:tcPr>
            <w:tcW w:w="0" w:type="dxa"/>
            <w:vAlign w:val="bottom"/>
          </w:tcPr>
          <w:p>
            <w:pPr>
              <w:spacing w:after="0"/>
              <w:rPr>
                <w:sz w:val="1"/>
                <w:szCs w:val="1"/>
                <w:color w:val="auto"/>
              </w:rPr>
            </w:pPr>
          </w:p>
        </w:tc>
      </w:tr>
      <w:tr>
        <w:trPr>
          <w:trHeight w:val="124"/>
        </w:trPr>
        <w:tc>
          <w:tcPr>
            <w:tcW w:w="3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5"/>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2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jc w:val="right"/>
              <w:ind w:right="3"/>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100" w:type="dxa"/>
            <w:vAlign w:val="bottom"/>
          </w:tcPr>
          <w:p>
            <w:pPr>
              <w:spacing w:after="0"/>
              <w:rPr>
                <w:sz w:val="8"/>
                <w:szCs w:val="8"/>
                <w:color w:val="auto"/>
              </w:rPr>
            </w:pPr>
          </w:p>
        </w:tc>
        <w:tc>
          <w:tcPr>
            <w:tcW w:w="560" w:type="dxa"/>
            <w:vAlign w:val="bottom"/>
            <w:gridSpan w:val="3"/>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3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Borders>
              <w:top w:val="single" w:sz="8" w:color="auto"/>
            </w:tcBorders>
            <w:gridSpan w:val="3"/>
          </w:tcPr>
          <w:p>
            <w:pPr>
              <w:jc w:val="center"/>
              <w:ind w:right="180"/>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260" w:type="dxa"/>
            <w:vAlign w:val="bottom"/>
            <w:tcBorders>
              <w:top w:val="single" w:sz="8" w:color="auto"/>
            </w:tcBorders>
          </w:tcPr>
          <w:p>
            <w:pPr>
              <w:jc w:val="center"/>
              <w:spacing w:after="0" w:line="97" w:lineRule="exact"/>
              <w:rPr>
                <w:sz w:val="20"/>
                <w:szCs w:val="20"/>
                <w:color w:val="auto"/>
              </w:rPr>
            </w:pPr>
            <w:r>
              <w:rPr>
                <w:rFonts w:ascii="Times New Roman" w:cs="Times New Roman" w:eastAsia="Times New Roman" w:hAnsi="Times New Roman"/>
                <w:sz w:val="10"/>
                <w:szCs w:val="10"/>
                <w:b w:val="1"/>
                <w:bCs w:val="1"/>
                <w:color w:val="auto"/>
              </w:rPr>
              <w:t>US$</w:t>
            </w:r>
          </w:p>
        </w:tc>
        <w:tc>
          <w:tcPr>
            <w:tcW w:w="8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as of the beginning of the year</w:t>
            </w:r>
          </w:p>
        </w:tc>
        <w:tc>
          <w:tcPr>
            <w:tcW w:w="56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3"/>
                <w:szCs w:val="13"/>
                <w:color w:val="auto"/>
              </w:rPr>
              <w:t>2,675</w:t>
            </w:r>
          </w:p>
        </w:tc>
        <w:tc>
          <w:tcPr>
            <w:tcW w:w="5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4,856</w:t>
            </w:r>
          </w:p>
        </w:tc>
        <w:tc>
          <w:tcPr>
            <w:tcW w:w="40" w:type="dxa"/>
            <w:vAlign w:val="bottom"/>
            <w:tcBorders>
              <w:right w:val="single" w:sz="8" w:color="CCEEFF"/>
            </w:tcBorders>
            <w:shd w:val="clear" w:color="auto" w:fill="CCEEFF"/>
          </w:tcPr>
          <w:p>
            <w:pPr>
              <w:spacing w:after="0"/>
              <w:rPr>
                <w:sz w:val="13"/>
                <w:szCs w:val="13"/>
                <w:color w:val="auto"/>
              </w:rPr>
            </w:pP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762</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3"/>
                <w:szCs w:val="13"/>
                <w:color w:val="auto"/>
              </w:rPr>
              <w:t>Accruals during the year</w:t>
            </w:r>
          </w:p>
        </w:tc>
        <w:tc>
          <w:tcPr>
            <w:tcW w:w="560" w:type="dxa"/>
            <w:vAlign w:val="bottom"/>
            <w:gridSpan w:val="3"/>
          </w:tcPr>
          <w:p>
            <w:pPr>
              <w:jc w:val="right"/>
              <w:ind w:right="48"/>
              <w:spacing w:after="0"/>
              <w:rPr>
                <w:sz w:val="20"/>
                <w:szCs w:val="20"/>
                <w:color w:val="auto"/>
              </w:rPr>
            </w:pPr>
            <w:r>
              <w:rPr>
                <w:rFonts w:ascii="Times New Roman" w:cs="Times New Roman" w:eastAsia="Times New Roman" w:hAnsi="Times New Roman"/>
                <w:sz w:val="13"/>
                <w:szCs w:val="13"/>
                <w:color w:val="auto"/>
              </w:rPr>
              <w:t>2,934</w:t>
            </w: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1,258</w:t>
            </w:r>
          </w:p>
        </w:tc>
        <w:tc>
          <w:tcPr>
            <w:tcW w:w="40" w:type="dxa"/>
            <w:vAlign w:val="bottom"/>
          </w:tcPr>
          <w:p>
            <w:pPr>
              <w:spacing w:after="0"/>
              <w:rPr>
                <w:sz w:val="13"/>
                <w:szCs w:val="13"/>
                <w:color w:val="auto"/>
              </w:rPr>
            </w:pP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198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Claims during the year</w:t>
            </w:r>
          </w:p>
        </w:tc>
        <w:tc>
          <w:tcPr>
            <w:tcW w:w="56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3"/>
                <w:szCs w:val="13"/>
                <w:color w:val="auto"/>
              </w:rPr>
              <w:t>(132)</w:t>
            </w:r>
          </w:p>
        </w:tc>
        <w:tc>
          <w:tcPr>
            <w:tcW w:w="5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(319)</w:t>
            </w:r>
          </w:p>
        </w:tc>
        <w:tc>
          <w:tcPr>
            <w:tcW w:w="40" w:type="dxa"/>
            <w:vAlign w:val="bottom"/>
            <w:tcBorders>
              <w:right w:val="single" w:sz="8" w:color="CCEEFF"/>
            </w:tcBorders>
            <w:shd w:val="clear" w:color="auto" w:fill="CCEEFF"/>
          </w:tcPr>
          <w:p>
            <w:pPr>
              <w:spacing w:after="0"/>
              <w:rPr>
                <w:sz w:val="13"/>
                <w:szCs w:val="13"/>
                <w:color w:val="auto"/>
              </w:rPr>
            </w:pP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(50)</w:t>
            </w: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3"/>
                <w:szCs w:val="13"/>
                <w:color w:val="auto"/>
              </w:rPr>
              <w:t>Reversal during the year</w:t>
            </w:r>
          </w:p>
        </w:tc>
        <w:tc>
          <w:tcPr>
            <w:tcW w:w="140" w:type="dxa"/>
            <w:vAlign w:val="bottom"/>
          </w:tcPr>
          <w:p>
            <w:pPr>
              <w:spacing w:after="0"/>
              <w:rPr>
                <w:sz w:val="13"/>
                <w:szCs w:val="13"/>
                <w:color w:val="auto"/>
              </w:rPr>
            </w:pPr>
          </w:p>
        </w:tc>
        <w:tc>
          <w:tcPr>
            <w:tcW w:w="420" w:type="dxa"/>
            <w:vAlign w:val="bottom"/>
            <w:gridSpan w:val="2"/>
          </w:tcPr>
          <w:p>
            <w:pPr>
              <w:jc w:val="right"/>
              <w:ind w:right="8"/>
              <w:spacing w:after="0"/>
              <w:rPr>
                <w:sz w:val="20"/>
                <w:szCs w:val="20"/>
                <w:color w:val="auto"/>
              </w:rPr>
            </w:pPr>
            <w:r>
              <w:rPr>
                <w:rFonts w:ascii="Times New Roman" w:cs="Times New Roman" w:eastAsia="Times New Roman" w:hAnsi="Times New Roman"/>
                <w:sz w:val="13"/>
                <w:szCs w:val="13"/>
                <w:color w:val="auto"/>
              </w:rPr>
              <w:t>(621)</w:t>
            </w:r>
          </w:p>
        </w:tc>
        <w:tc>
          <w:tcPr>
            <w:tcW w:w="56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(1,037)</w:t>
            </w:r>
          </w:p>
        </w:tc>
        <w:tc>
          <w:tcPr>
            <w:tcW w:w="40" w:type="dxa"/>
            <w:vAlign w:val="bottom"/>
          </w:tcPr>
          <w:p>
            <w:pPr>
              <w:spacing w:after="0"/>
              <w:rPr>
                <w:sz w:val="13"/>
                <w:szCs w:val="13"/>
                <w:color w:val="auto"/>
              </w:rPr>
            </w:pP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w w:val="99"/>
              </w:rPr>
              <w:t>(163)</w:t>
            </w: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20" w:type="dxa"/>
            <w:vAlign w:val="bottom"/>
            <w:vMerge w:val="continue"/>
          </w:tcPr>
          <w:p>
            <w:pPr>
              <w:spacing w:after="0"/>
              <w:rPr>
                <w:sz w:val="13"/>
                <w:szCs w:val="13"/>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Product warranty liability</w:t>
            </w:r>
          </w:p>
        </w:tc>
        <w:tc>
          <w:tcPr>
            <w:tcW w:w="1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3"/>
                <w:szCs w:val="13"/>
                <w:b w:val="1"/>
                <w:bCs w:val="1"/>
                <w:color w:val="auto"/>
              </w:rPr>
              <w:t>4,856</w:t>
            </w:r>
          </w:p>
        </w:tc>
        <w:tc>
          <w:tcPr>
            <w:tcW w:w="5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4,758</w:t>
            </w:r>
          </w:p>
        </w:tc>
        <w:tc>
          <w:tcPr>
            <w:tcW w:w="40" w:type="dxa"/>
            <w:vAlign w:val="bottom"/>
            <w:tcBorders>
              <w:right w:val="single" w:sz="8" w:color="CCEEFF"/>
            </w:tcBorders>
            <w:shd w:val="clear" w:color="auto" w:fill="CCEEFF"/>
          </w:tcPr>
          <w:p>
            <w:pPr>
              <w:spacing w:after="0"/>
              <w:rPr>
                <w:sz w:val="13"/>
                <w:szCs w:val="13"/>
                <w:color w:val="auto"/>
              </w:rPr>
            </w:pP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747</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2380" w:right="579" w:hanging="393"/>
        <w:spacing w:after="0" w:line="255" w:lineRule="auto"/>
        <w:tabs>
          <w:tab w:leader="none" w:pos="2380" w:val="left"/>
        </w:tabs>
        <w:numPr>
          <w:ilvl w:val="1"/>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September 18, 2019, the Group borrowed a long-term loan from a third party with a principal of RMB30,000 and an interest rate of 4.75% per annum, which is guaranteed by the Group’s founder and director, Mr. Huazhi Hu, and his spouse. In March 2021, one of the Group’s customer, the third party (controlling shareholder of the customer) and the Group entered into a tripartite agreement, the long-term loan amounting to RMB25,000 (US$3,923) was settled by the accounts receivable from sales of AAVs to the customer and the amount of accrued interest amounting to RMB2,148 (US$337) was waived by the third party and recognized in other income, the remaining principal of RMB5,000 (US$785) was repaid in cash in August 2021 to the third party by the Group.</w:t>
      </w:r>
    </w:p>
    <w:p>
      <w:pPr>
        <w:spacing w:after="0" w:line="241" w:lineRule="exact"/>
        <w:rPr>
          <w:rFonts w:ascii="Times New Roman" w:cs="Times New Roman" w:eastAsia="Times New Roman" w:hAnsi="Times New Roman"/>
          <w:sz w:val="13"/>
          <w:szCs w:val="13"/>
          <w:color w:val="auto"/>
        </w:rPr>
      </w:pPr>
    </w:p>
    <w:p>
      <w:pPr>
        <w:ind w:left="2000" w:right="6999" w:hanging="324"/>
        <w:spacing w:after="0" w:line="376" w:lineRule="auto"/>
        <w:tabs>
          <w:tab w:leader="none" w:pos="1994" w:val="left"/>
        </w:tabs>
        <w:numPr>
          <w:ilvl w:val="0"/>
          <w:numId w:val="13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Bank loans </w:t>
      </w:r>
      <w:r>
        <w:rPr>
          <w:rFonts w:ascii="Times New Roman" w:cs="Times New Roman" w:eastAsia="Times New Roman" w:hAnsi="Times New Roman"/>
          <w:sz w:val="13"/>
          <w:szCs w:val="13"/>
          <w:i w:val="1"/>
          <w:iCs w:val="1"/>
          <w:color w:val="auto"/>
        </w:rPr>
        <w:t>Short-term bank loans</w:t>
      </w:r>
    </w:p>
    <w:p>
      <w:pPr>
        <w:ind w:left="2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outstanding short-term bank loans of RMB15,000 as of December 31, 2020 was fully repaid upon maturity in 2021.</w:t>
      </w:r>
    </w:p>
    <w:p>
      <w:pPr>
        <w:spacing w:after="0" w:line="83" w:lineRule="exact"/>
        <w:rPr>
          <w:rFonts w:ascii="Times New Roman" w:cs="Times New Roman" w:eastAsia="Times New Roman" w:hAnsi="Times New Roman"/>
          <w:sz w:val="13"/>
          <w:szCs w:val="13"/>
          <w:b w:val="1"/>
          <w:bCs w:val="1"/>
          <w:color w:val="auto"/>
        </w:rPr>
      </w:pPr>
    </w:p>
    <w:p>
      <w:pPr>
        <w:ind w:left="2000" w:right="579"/>
        <w:spacing w:after="0" w:line="264"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In January 2021 and in September 2021, the Group obtained two loans amounted to RMB5,000 (US$785), totaling RMB10,000 (US$1,569), from a bank in the PRC with an interest rate of 4.5% per annum and repayable within one year and within half a year respectively. Interests were paid on a monthly basis. The repayment of the loan is guaranteed by the Group’s founder and director, Mr. Huazhi Hu.</w:t>
      </w:r>
    </w:p>
    <w:p>
      <w:pPr>
        <w:spacing w:after="0" w:line="8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color w:val="auto"/>
        </w:rPr>
        <w:t>F- 43</w:t>
      </w:r>
    </w:p>
    <w:p>
      <w:pPr>
        <w:sectPr>
          <w:pgSz w:w="11900" w:h="16838" w:orient="portrait"/>
          <w:cols w:equalWidth="0" w:num="1">
            <w:col w:w="10159"/>
          </w:cols>
          <w:pgMar w:left="300" w:top="388" w:right="1440"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3">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 (CONTINUED)</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4">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7" w:lineRule="exact"/>
        <w:rPr>
          <w:sz w:val="20"/>
          <w:szCs w:val="20"/>
          <w:color w:val="auto"/>
        </w:rPr>
      </w:pPr>
    </w:p>
    <w:p>
      <w:pPr>
        <w:ind w:left="2000" w:right="6859" w:hanging="324"/>
        <w:spacing w:after="0" w:line="433" w:lineRule="auto"/>
        <w:tabs>
          <w:tab w:leader="none" w:pos="1994" w:val="left"/>
        </w:tabs>
        <w:numPr>
          <w:ilvl w:val="0"/>
          <w:numId w:val="13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Bank loans (Continued) </w:t>
      </w:r>
      <w:r>
        <w:rPr>
          <w:rFonts w:ascii="Times New Roman" w:cs="Times New Roman" w:eastAsia="Times New Roman" w:hAnsi="Times New Roman"/>
          <w:sz w:val="12"/>
          <w:szCs w:val="12"/>
          <w:i w:val="1"/>
          <w:iCs w:val="1"/>
          <w:color w:val="auto"/>
        </w:rPr>
        <w:t>Long-term bank loans</w:t>
      </w:r>
    </w:p>
    <w:p>
      <w:pPr>
        <w:ind w:left="2000" w:right="599"/>
        <w:spacing w:after="0" w:line="25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3"/>
          <w:szCs w:val="13"/>
          <w:color w:val="auto"/>
        </w:rPr>
        <w:t>In 2021, the Group entered into long-term loan agreements with a bank in PRC of total principals of RMB20,000 (US$3,138), subject to an effective interest rate of 3.8% per annum, and with a maturity date from April 2, 2022 to March 15, 2026. As of December 31, 2021, the principal amount of RMB3,000 (US$470) was due within 12 months after the reporting period and presented as current liabilities in the consolidated balance sheet.</w:t>
      </w:r>
    </w:p>
    <w:p>
      <w:pPr>
        <w:spacing w:after="0" w:line="132" w:lineRule="exact"/>
        <w:rPr>
          <w:rFonts w:ascii="Times New Roman" w:cs="Times New Roman" w:eastAsia="Times New Roman" w:hAnsi="Times New Roman"/>
          <w:sz w:val="12"/>
          <w:szCs w:val="12"/>
          <w:b w:val="1"/>
          <w:bCs w:val="1"/>
          <w:color w:val="auto"/>
        </w:rPr>
      </w:pPr>
    </w:p>
    <w:p>
      <w:pPr>
        <w:ind w:left="2000" w:right="619"/>
        <w:spacing w:after="0" w:line="264"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3"/>
          <w:szCs w:val="13"/>
          <w:color w:val="auto"/>
        </w:rPr>
        <w:t>The carrying value of the long-term bank loans approximates its fair value as of December 31, 2021. The interest rates under the loan agreements with the banks were determined based on the prevailing interest rates in the market. The Group classifies the valuation techniques that use these inputs as Level II.</w:t>
      </w:r>
    </w:p>
    <w:p>
      <w:pPr>
        <w:spacing w:after="0" w:line="234" w:lineRule="exact"/>
        <w:rPr>
          <w:rFonts w:ascii="Times New Roman" w:cs="Times New Roman" w:eastAsia="Times New Roman" w:hAnsi="Times New Roman"/>
          <w:sz w:val="12"/>
          <w:szCs w:val="12"/>
          <w:b w:val="1"/>
          <w:bCs w:val="1"/>
          <w:color w:val="auto"/>
        </w:rPr>
      </w:pPr>
    </w:p>
    <w:p>
      <w:pPr>
        <w:ind w:left="1980" w:hanging="304"/>
        <w:spacing w:after="0"/>
        <w:tabs>
          <w:tab w:leader="none" w:pos="1980" w:val="left"/>
        </w:tabs>
        <w:numPr>
          <w:ilvl w:val="0"/>
          <w:numId w:val="13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Mandatorily redeemable non-controlling interests</w:t>
      </w:r>
    </w:p>
    <w:p>
      <w:pPr>
        <w:spacing w:after="0" w:line="85" w:lineRule="exact"/>
        <w:rPr>
          <w:rFonts w:ascii="Times New Roman" w:cs="Times New Roman" w:eastAsia="Times New Roman" w:hAnsi="Times New Roman"/>
          <w:sz w:val="13"/>
          <w:szCs w:val="13"/>
          <w:b w:val="1"/>
          <w:bCs w:val="1"/>
          <w:color w:val="auto"/>
        </w:rPr>
      </w:pPr>
    </w:p>
    <w:p>
      <w:pPr>
        <w:ind w:left="2000" w:right="599"/>
        <w:spacing w:after="0" w:line="253"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On June 15, 2020, the Group established a subsidiary named EHang Yunfu (Note 1). On June 30, 2020, the Group entered into an agreement with a new investor who subscribed 30% of the equity interests of EHang Yunfu for cash consideration of RMB40,000. At the sole discretion of the investor, the Group is obligated to repurchase the 30% non-controlling interest or with the consent of the investor, guarantee a third-party to repurchase the 30% non-controlling interests at the investor’s investment cost at the end of the five-year investment term. The non-controlling interests do not participate in any dividend distributions of EHang Yunfu but earn an after-tax interest of 1.5% per year, payable on a quarterly basis. Accumulated interest is amounted to RMB160 and RMB200 (US$31) as of December 31, 2020 and 2021, respectively. As EHang Yunfu’s non-controlling interests are mandatorily redeemable at the sole discretion of the investor, it is classified as liability and subsequently measured at the amount that would be paid if settlement occurred at the reporting date.</w:t>
      </w:r>
    </w:p>
    <w:p>
      <w:pPr>
        <w:spacing w:after="0" w:line="139" w:lineRule="exact"/>
        <w:rPr>
          <w:rFonts w:ascii="Times New Roman" w:cs="Times New Roman" w:eastAsia="Times New Roman" w:hAnsi="Times New Roman"/>
          <w:sz w:val="13"/>
          <w:szCs w:val="13"/>
          <w:b w:val="1"/>
          <w:bCs w:val="1"/>
          <w:color w:val="auto"/>
        </w:rPr>
      </w:pPr>
    </w:p>
    <w:p>
      <w:pPr>
        <w:ind w:left="2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carrying value of Mandatorily redeemable non-controlling interests approximates its fair value as of December 31, 2021.</w:t>
      </w:r>
    </w:p>
    <w:p>
      <w:pPr>
        <w:spacing w:after="0" w:line="266" w:lineRule="exact"/>
        <w:rPr>
          <w:rFonts w:ascii="Times New Roman" w:cs="Times New Roman" w:eastAsia="Times New Roman" w:hAnsi="Times New Roman"/>
          <w:sz w:val="13"/>
          <w:szCs w:val="13"/>
          <w:b w:val="1"/>
          <w:bCs w:val="1"/>
          <w:color w:val="auto"/>
        </w:rPr>
      </w:pPr>
    </w:p>
    <w:p>
      <w:pPr>
        <w:ind w:left="1980" w:hanging="304"/>
        <w:spacing w:after="0"/>
        <w:tabs>
          <w:tab w:leader="none" w:pos="1980" w:val="left"/>
        </w:tabs>
        <w:numPr>
          <w:ilvl w:val="0"/>
          <w:numId w:val="13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Revenues</w:t>
      </w:r>
    </w:p>
    <w:p>
      <w:pPr>
        <w:spacing w:after="0" w:line="85" w:lineRule="exact"/>
        <w:rPr>
          <w:rFonts w:ascii="Times New Roman" w:cs="Times New Roman" w:eastAsia="Times New Roman" w:hAnsi="Times New Roman"/>
          <w:sz w:val="13"/>
          <w:szCs w:val="13"/>
          <w:b w:val="1"/>
          <w:bCs w:val="1"/>
          <w:color w:val="auto"/>
        </w:rPr>
      </w:pPr>
    </w:p>
    <w:p>
      <w:pPr>
        <w:ind w:left="2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following table presents the disaggregation of revenue from contracts with the customers:</w:t>
      </w:r>
    </w:p>
    <w:p>
      <w:pPr>
        <w:spacing w:after="0" w:line="177" w:lineRule="exact"/>
        <w:rPr>
          <w:sz w:val="20"/>
          <w:szCs w:val="20"/>
          <w:color w:val="auto"/>
        </w:rPr>
      </w:pPr>
    </w:p>
    <w:tbl>
      <w:tblPr>
        <w:tblLayout w:type="fixed"/>
        <w:tblInd w:w="2000" w:type="dxa"/>
        <w:tblCellMar>
          <w:top w:w="0" w:type="dxa"/>
          <w:left w:w="0" w:type="dxa"/>
          <w:bottom w:w="0" w:type="dxa"/>
          <w:right w:w="0" w:type="dxa"/>
        </w:tblCellMar>
      </w:tblPr>
      <w:tr>
        <w:trPr>
          <w:trHeight w:val="124"/>
        </w:trPr>
        <w:tc>
          <w:tcPr>
            <w:tcW w:w="4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8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For the year ended December 31,</w:t>
            </w:r>
          </w:p>
        </w:tc>
        <w:tc>
          <w:tcPr>
            <w:tcW w:w="3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7"/>
        </w:trPr>
        <w:tc>
          <w:tcPr>
            <w:tcW w:w="4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jc w:val="right"/>
              <w:ind w:right="58"/>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660" w:type="dxa"/>
            <w:vAlign w:val="bottom"/>
            <w:gridSpan w:val="2"/>
          </w:tcPr>
          <w:p>
            <w:pPr>
              <w:jc w:val="right"/>
              <w:ind w:right="78"/>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760" w:type="dxa"/>
            <w:vAlign w:val="bottom"/>
            <w:gridSpan w:val="3"/>
          </w:tcPr>
          <w:p>
            <w:pPr>
              <w:jc w:val="right"/>
              <w:ind w:right="20"/>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97"/>
        </w:trPr>
        <w:tc>
          <w:tcPr>
            <w:tcW w:w="4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Borders>
              <w:top w:val="single" w:sz="8" w:color="auto"/>
            </w:tcBorders>
          </w:tcPr>
          <w:p>
            <w:pPr>
              <w:jc w:val="right"/>
              <w:ind w:right="58"/>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200" w:type="dxa"/>
            <w:vAlign w:val="bottom"/>
          </w:tcPr>
          <w:p>
            <w:pPr>
              <w:spacing w:after="0"/>
              <w:rPr>
                <w:sz w:val="8"/>
                <w:szCs w:val="8"/>
                <w:color w:val="auto"/>
              </w:rPr>
            </w:pPr>
          </w:p>
        </w:tc>
        <w:tc>
          <w:tcPr>
            <w:tcW w:w="460" w:type="dxa"/>
            <w:vAlign w:val="bottom"/>
            <w:tcBorders>
              <w:top w:val="single" w:sz="8" w:color="auto"/>
            </w:tcBorders>
          </w:tcPr>
          <w:p>
            <w:pPr>
              <w:jc w:val="right"/>
              <w:ind w:right="58"/>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180" w:type="dxa"/>
            <w:vAlign w:val="bottom"/>
          </w:tcPr>
          <w:p>
            <w:pPr>
              <w:spacing w:after="0"/>
              <w:rPr>
                <w:sz w:val="8"/>
                <w:szCs w:val="8"/>
                <w:color w:val="auto"/>
              </w:rPr>
            </w:pPr>
          </w:p>
        </w:tc>
        <w:tc>
          <w:tcPr>
            <w:tcW w:w="580" w:type="dxa"/>
            <w:vAlign w:val="bottom"/>
            <w:tcBorders>
              <w:top w:val="single" w:sz="8" w:color="auto"/>
            </w:tcBorders>
            <w:gridSpan w:val="2"/>
          </w:tcPr>
          <w:p>
            <w:pPr>
              <w:jc w:val="right"/>
              <w:ind w:right="260"/>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340" w:type="dxa"/>
            <w:vAlign w:val="bottom"/>
            <w:tcBorders>
              <w:top w:val="single" w:sz="8" w:color="auto"/>
            </w:tcBorders>
          </w:tcPr>
          <w:p>
            <w:pPr>
              <w:jc w:val="right"/>
              <w:ind w:right="16"/>
              <w:spacing w:after="0" w:line="97" w:lineRule="exact"/>
              <w:rPr>
                <w:sz w:val="20"/>
                <w:szCs w:val="20"/>
                <w:color w:val="auto"/>
              </w:rPr>
            </w:pPr>
            <w:r>
              <w:rPr>
                <w:rFonts w:ascii="Times New Roman" w:cs="Times New Roman" w:eastAsia="Times New Roman" w:hAnsi="Times New Roman"/>
                <w:sz w:val="10"/>
                <w:szCs w:val="10"/>
                <w:b w:val="1"/>
                <w:bCs w:val="1"/>
                <w:color w:val="auto"/>
              </w:rPr>
              <w:t>US$</w:t>
            </w:r>
          </w:p>
        </w:tc>
        <w:tc>
          <w:tcPr>
            <w:tcW w:w="40" w:type="dxa"/>
            <w:vAlign w:val="bottom"/>
          </w:tcPr>
          <w:p>
            <w:pPr>
              <w:spacing w:after="0"/>
              <w:rPr>
                <w:sz w:val="8"/>
                <w:szCs w:val="8"/>
                <w:color w:val="auto"/>
              </w:rPr>
            </w:pPr>
          </w:p>
        </w:tc>
      </w:tr>
      <w:tr>
        <w:trPr>
          <w:trHeight w:val="156"/>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Revenues - Products</w:t>
            </w: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6"/>
        </w:trPr>
        <w:tc>
          <w:tcPr>
            <w:tcW w:w="5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Air mobility solutions</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85,222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105,351</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46,854</w:t>
            </w:r>
          </w:p>
        </w:tc>
        <w:tc>
          <w:tcPr>
            <w:tcW w:w="1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7,352</w:t>
            </w:r>
          </w:p>
        </w:tc>
        <w:tc>
          <w:tcPr>
            <w:tcW w:w="40" w:type="dxa"/>
            <w:vAlign w:val="bottom"/>
          </w:tcPr>
          <w:p>
            <w:pPr>
              <w:spacing w:after="0"/>
              <w:rPr>
                <w:sz w:val="13"/>
                <w:szCs w:val="13"/>
                <w:color w:val="auto"/>
              </w:rPr>
            </w:pPr>
          </w:p>
        </w:tc>
      </w:tr>
      <w:tr>
        <w:trPr>
          <w:trHeight w:val="156"/>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Smart city management solutions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4,441</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8,282</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7,135</w:t>
            </w: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w:t>
            </w:r>
          </w:p>
        </w:tc>
        <w:tc>
          <w:tcPr>
            <w:tcW w:w="40" w:type="dxa"/>
            <w:vAlign w:val="bottom"/>
            <w:shd w:val="clear" w:color="auto" w:fill="CCEEFF"/>
          </w:tcPr>
          <w:p>
            <w:pPr>
              <w:spacing w:after="0"/>
              <w:rPr>
                <w:sz w:val="13"/>
                <w:szCs w:val="13"/>
                <w:color w:val="auto"/>
              </w:rPr>
            </w:pPr>
          </w:p>
        </w:tc>
      </w:tr>
      <w:tr>
        <w:trPr>
          <w:trHeight w:val="156"/>
        </w:trPr>
        <w:tc>
          <w:tcPr>
            <w:tcW w:w="5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Aerial media solutions</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62,241</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518</w:t>
            </w:r>
          </w:p>
        </w:tc>
        <w:tc>
          <w:tcPr>
            <w:tcW w:w="1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40" w:type="dxa"/>
            <w:vAlign w:val="bottom"/>
          </w:tcPr>
          <w:p>
            <w:pPr>
              <w:spacing w:after="0"/>
              <w:rPr>
                <w:sz w:val="13"/>
                <w:szCs w:val="13"/>
                <w:color w:val="auto"/>
              </w:rPr>
            </w:pPr>
          </w:p>
        </w:tc>
      </w:tr>
      <w:tr>
        <w:trPr>
          <w:trHeight w:val="156"/>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w:t>
            </w: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40" w:type="dxa"/>
            <w:vAlign w:val="bottom"/>
            <w:shd w:val="clear" w:color="auto" w:fill="CCEEFF"/>
          </w:tcPr>
          <w:p>
            <w:pPr>
              <w:spacing w:after="0"/>
              <w:rPr>
                <w:sz w:val="13"/>
                <w:szCs w:val="13"/>
                <w:color w:val="auto"/>
              </w:rPr>
            </w:pPr>
          </w:p>
        </w:tc>
      </w:tr>
      <w:tr>
        <w:trPr>
          <w:trHeight w:val="155"/>
        </w:trPr>
        <w:tc>
          <w:tcPr>
            <w:tcW w:w="5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Subtotal-Products</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90,843</w:t>
            </w:r>
          </w:p>
        </w:tc>
        <w:tc>
          <w:tcPr>
            <w:tcW w:w="20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176,060</w:t>
            </w:r>
          </w:p>
        </w:tc>
        <w:tc>
          <w:tcPr>
            <w:tcW w:w="18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54,923</w:t>
            </w:r>
          </w:p>
        </w:tc>
        <w:tc>
          <w:tcPr>
            <w:tcW w:w="18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8,619</w:t>
            </w:r>
          </w:p>
        </w:tc>
        <w:tc>
          <w:tcPr>
            <w:tcW w:w="40" w:type="dxa"/>
            <w:vAlign w:val="bottom"/>
          </w:tcPr>
          <w:p>
            <w:pPr>
              <w:spacing w:after="0"/>
              <w:rPr>
                <w:sz w:val="13"/>
                <w:szCs w:val="13"/>
                <w:color w:val="auto"/>
              </w:rPr>
            </w:pPr>
          </w:p>
        </w:tc>
      </w:tr>
      <w:tr>
        <w:trPr>
          <w:trHeight w:val="155"/>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Revenues - Services</w:t>
            </w: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6"/>
        </w:trPr>
        <w:tc>
          <w:tcPr>
            <w:tcW w:w="5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Air mobility solutions</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618</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1,302</w:t>
            </w:r>
          </w:p>
        </w:tc>
        <w:tc>
          <w:tcPr>
            <w:tcW w:w="1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40" w:type="dxa"/>
            <w:vAlign w:val="bottom"/>
          </w:tcPr>
          <w:p>
            <w:pPr>
              <w:spacing w:after="0"/>
              <w:rPr>
                <w:sz w:val="13"/>
                <w:szCs w:val="13"/>
                <w:color w:val="auto"/>
              </w:rPr>
            </w:pPr>
          </w:p>
        </w:tc>
      </w:tr>
      <w:tr>
        <w:trPr>
          <w:trHeight w:val="156"/>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Aerial media solutions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30,277</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3,415</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582</w:t>
            </w: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40" w:type="dxa"/>
            <w:vAlign w:val="bottom"/>
            <w:shd w:val="clear" w:color="auto" w:fill="CCEEFF"/>
          </w:tcPr>
          <w:p>
            <w:pPr>
              <w:spacing w:after="0"/>
              <w:rPr>
                <w:sz w:val="13"/>
                <w:szCs w:val="13"/>
                <w:color w:val="auto"/>
              </w:rPr>
            </w:pPr>
          </w:p>
        </w:tc>
      </w:tr>
      <w:tr>
        <w:trPr>
          <w:trHeight w:val="155"/>
        </w:trPr>
        <w:tc>
          <w:tcPr>
            <w:tcW w:w="5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Subtotal-Services</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30,971</w:t>
            </w:r>
          </w:p>
        </w:tc>
        <w:tc>
          <w:tcPr>
            <w:tcW w:w="200" w:type="dxa"/>
            <w:vAlign w:val="bottom"/>
            <w:tcBorders>
              <w:bottom w:val="single" w:sz="8" w:color="CCEEFF"/>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4,033</w:t>
            </w:r>
          </w:p>
        </w:tc>
        <w:tc>
          <w:tcPr>
            <w:tcW w:w="18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1,884</w:t>
            </w:r>
          </w:p>
        </w:tc>
        <w:tc>
          <w:tcPr>
            <w:tcW w:w="18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40" w:type="dxa"/>
            <w:vAlign w:val="bottom"/>
            <w:tcBorders>
              <w:bottom w:val="single" w:sz="8" w:color="CCEEFF"/>
            </w:tcBorders>
          </w:tcPr>
          <w:p>
            <w:pPr>
              <w:spacing w:after="0"/>
              <w:rPr>
                <w:sz w:val="13"/>
                <w:szCs w:val="13"/>
                <w:color w:val="auto"/>
              </w:rPr>
            </w:pPr>
          </w:p>
        </w:tc>
      </w:tr>
      <w:tr>
        <w:trPr>
          <w:trHeight w:val="164"/>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Revenues</w:t>
            </w:r>
          </w:p>
        </w:tc>
        <w:tc>
          <w:tcPr>
            <w:tcW w:w="14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shd w:val="clear" w:color="auto" w:fill="CCEEFF"/>
              </w:rPr>
              <w:t>121,814</w:t>
            </w:r>
          </w:p>
        </w:tc>
        <w:tc>
          <w:tcPr>
            <w:tcW w:w="2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shd w:val="clear" w:color="auto" w:fill="CCEEFF"/>
              </w:rPr>
              <w:t>180,093</w:t>
            </w:r>
          </w:p>
        </w:tc>
        <w:tc>
          <w:tcPr>
            <w:tcW w:w="1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shd w:val="clear" w:color="auto" w:fill="CCEEFF"/>
              </w:rPr>
              <w:t>56,807</w:t>
            </w:r>
          </w:p>
        </w:tc>
        <w:tc>
          <w:tcPr>
            <w:tcW w:w="1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shd w:val="clear" w:color="auto" w:fill="CCEEFF"/>
              </w:rPr>
              <w:t>8,914</w:t>
            </w:r>
          </w:p>
        </w:tc>
        <w:tc>
          <w:tcPr>
            <w:tcW w:w="40" w:type="dxa"/>
            <w:vAlign w:val="bottom"/>
            <w:shd w:val="clear" w:color="auto" w:fill="CCEEFF"/>
          </w:tcPr>
          <w:p>
            <w:pPr>
              <w:spacing w:after="0"/>
              <w:rPr>
                <w:sz w:val="14"/>
                <w:szCs w:val="14"/>
                <w:color w:val="auto"/>
              </w:rPr>
            </w:pPr>
          </w:p>
        </w:tc>
      </w:tr>
    </w:tbl>
    <w:p>
      <w:pPr>
        <w:spacing w:after="0" w:line="22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i w:val="1"/>
          <w:iCs w:val="1"/>
          <w:u w:val="single" w:color="auto"/>
          <w:color w:val="auto"/>
        </w:rPr>
        <w:t>Payment terms</w:t>
      </w:r>
    </w:p>
    <w:p>
      <w:pPr>
        <w:spacing w:after="0" w:line="86" w:lineRule="exact"/>
        <w:rPr>
          <w:sz w:val="20"/>
          <w:szCs w:val="20"/>
          <w:color w:val="auto"/>
        </w:rPr>
      </w:pPr>
    </w:p>
    <w:p>
      <w:pPr>
        <w:ind w:left="2000" w:right="559"/>
        <w:spacing w:after="0" w:line="253" w:lineRule="auto"/>
        <w:rPr>
          <w:sz w:val="20"/>
          <w:szCs w:val="20"/>
          <w:color w:val="auto"/>
        </w:rPr>
      </w:pPr>
      <w:r>
        <w:rPr>
          <w:rFonts w:ascii="Times New Roman" w:cs="Times New Roman" w:eastAsia="Times New Roman" w:hAnsi="Times New Roman"/>
          <w:sz w:val="13"/>
          <w:szCs w:val="13"/>
          <w:color w:val="auto"/>
        </w:rPr>
        <w:t>For the Group’s Air mobility solutions and Aerial media solutions, the Group typically requires a portion of payments upfront and the remaining amounts are contractually due ranging from three to six months. Due to the COVID-19 impacts, the Group signed subsequent commitment letters with certain customers and extended the payment terms in 2021. However, the Company has collected or is in the process of collecting accounts receivable after the due dates agreed in commitment letters. In light of the impacts from the continuous COVID-19 epidemic and control measures in China, the Group recognized additional provision for accounts receivable for the year ended December 31, 2021 (Note 5). Regarding the Smart city management solutions, the timing of billing varies depending on contractual payment schedules with milestone billings and the completion of the quality-assurance warranty period. In instances where the timing of revenue recognition differs from the timing of invoicing, the Group has determined that its contracts do not include a significant financing component at the inception of the contracts.</w:t>
      </w:r>
    </w:p>
    <w:p>
      <w:pPr>
        <w:spacing w:after="0" w:line="9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color w:val="auto"/>
        </w:rPr>
        <w:t>F- 44</w:t>
      </w:r>
    </w:p>
    <w:p>
      <w:pPr>
        <w:sectPr>
          <w:pgSz w:w="11900" w:h="16838" w:orient="portrait"/>
          <w:cols w:equalWidth="0" w:num="1">
            <w:col w:w="10159"/>
          </w:cols>
          <w:pgMar w:left="300" w:top="388" w:right="1440"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5">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 (CONTINUED)</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6">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7" w:lineRule="exact"/>
        <w:rPr>
          <w:sz w:val="20"/>
          <w:szCs w:val="20"/>
          <w:color w:val="auto"/>
        </w:rPr>
      </w:pPr>
    </w:p>
    <w:p>
      <w:pPr>
        <w:ind w:left="2000" w:right="6939" w:hanging="324"/>
        <w:spacing w:after="0" w:line="433" w:lineRule="auto"/>
        <w:tabs>
          <w:tab w:leader="none" w:pos="1994" w:val="left"/>
        </w:tabs>
        <w:numPr>
          <w:ilvl w:val="0"/>
          <w:numId w:val="13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Revenues (Continued) </w:t>
      </w:r>
      <w:r>
        <w:rPr>
          <w:rFonts w:ascii="Times New Roman" w:cs="Times New Roman" w:eastAsia="Times New Roman" w:hAnsi="Times New Roman"/>
          <w:sz w:val="12"/>
          <w:szCs w:val="12"/>
          <w:i w:val="1"/>
          <w:iCs w:val="1"/>
          <w:u w:val="single" w:color="auto"/>
          <w:color w:val="auto"/>
        </w:rPr>
        <w:t>Contract balances</w:t>
      </w:r>
    </w:p>
    <w:p>
      <w:pPr>
        <w:ind w:left="2000" w:right="619"/>
        <w:spacing w:after="0" w:line="252"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3"/>
          <w:szCs w:val="13"/>
          <w:color w:val="auto"/>
        </w:rPr>
        <w:t>Contract balances include Accounts receivable, Unbilled revenue and Cost and estimated earnings in excess of billings. Accounts receivable represents the billed and unbilled amounts related to the Company’s rights to consideration as performance obligations are satisfied and the rights to payment become unconditional but for the passage of time. In 2020, the significant increase in Accounts receivable was due to more sales of passenger-grade AAVs for the year ended December 31,2020. In 2021, the decrease in Accounts receivable was mainly due to impairment of balances amounted to RMB59,347 (US$9,313) provided in the general and administrative expenses in the Group’s consolidated statements of comprehensive loss. The Unbilled revenue was previously recognized from services provided in Aerial media solution. In 2020, the decrease in Unbilled revenue was due to impairment of balances amounted to RMB2,800 provided in the general and administrative expenses in the Group’s consolidated statements of comprehensive loss. In 2021, the Unbilled revenue was collected, corresponding impairment of balances amounted to RMB2,800 (US$439) was reversed. The decrease in Cost and estimated earnings in excess of billings in accordance with the achievement of milestones in the pre-determined billing terms for command-and-control centers, corresponding RMB717 (US$113) was reclassified from Cost and estimated earnings in excess of billings to Accounts receivable in 2021.</w:t>
      </w:r>
    </w:p>
    <w:p>
      <w:pPr>
        <w:spacing w:after="0" w:line="63" w:lineRule="exact"/>
        <w:rPr>
          <w:rFonts w:ascii="Times New Roman" w:cs="Times New Roman" w:eastAsia="Times New Roman" w:hAnsi="Times New Roman"/>
          <w:sz w:val="12"/>
          <w:szCs w:val="12"/>
          <w:b w:val="1"/>
          <w:bCs w:val="1"/>
          <w:color w:val="auto"/>
        </w:rPr>
      </w:pPr>
    </w:p>
    <w:p>
      <w:pPr>
        <w:ind w:left="2000" w:right="619"/>
        <w:spacing w:after="0" w:line="264"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3"/>
          <w:szCs w:val="13"/>
          <w:color w:val="auto"/>
        </w:rPr>
        <w:t>Contract liabilities represent payments received from customers for which the corresponding products or services have not yet been transferred to customers. Revenue of RMB1,081 (US$170) was recognized for the year ended December 31, 2021 from the balance included in the contract liabilities on January 1, 2021.</w:t>
      </w:r>
    </w:p>
    <w:p>
      <w:pPr>
        <w:spacing w:after="0" w:line="234" w:lineRule="exact"/>
        <w:rPr>
          <w:rFonts w:ascii="Times New Roman" w:cs="Times New Roman" w:eastAsia="Times New Roman" w:hAnsi="Times New Roman"/>
          <w:sz w:val="12"/>
          <w:szCs w:val="12"/>
          <w:b w:val="1"/>
          <w:bCs w:val="1"/>
          <w:color w:val="auto"/>
        </w:rPr>
      </w:pPr>
    </w:p>
    <w:p>
      <w:pPr>
        <w:ind w:left="1980" w:hanging="304"/>
        <w:spacing w:after="0"/>
        <w:tabs>
          <w:tab w:leader="none" w:pos="1980" w:val="left"/>
        </w:tabs>
        <w:numPr>
          <w:ilvl w:val="0"/>
          <w:numId w:val="13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Share-based Compensation</w:t>
      </w:r>
    </w:p>
    <w:p>
      <w:pPr>
        <w:spacing w:after="0" w:line="85" w:lineRule="exact"/>
        <w:rPr>
          <w:rFonts w:ascii="Times New Roman" w:cs="Times New Roman" w:eastAsia="Times New Roman" w:hAnsi="Times New Roman"/>
          <w:sz w:val="13"/>
          <w:szCs w:val="13"/>
          <w:b w:val="1"/>
          <w:bCs w:val="1"/>
          <w:color w:val="auto"/>
        </w:rPr>
      </w:pPr>
    </w:p>
    <w:p>
      <w:pPr>
        <w:ind w:left="2000" w:right="599"/>
        <w:spacing w:after="0" w:line="257"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In order to provide additional incentives to employees and to promote the success of the Group’s business, the Group adopted a share incentive plan that was approved by the Board of Directors on December 23, 2016 (the “2015 Share Incentive Plan”). Under the 2015 Share Incentive Plan, the aggregate number of ordinary shares that may be issued pursuant to all share-based awards (including restricted shares, RSUs and share options) is 8,867,053 ordinary shares and can be increased up to a number that is equal to 15% of the then total outstanding shares on a fully diluted basis at the discretion of the Company’s Board of Directors.</w:t>
      </w:r>
    </w:p>
    <w:p>
      <w:pPr>
        <w:spacing w:after="0" w:line="55" w:lineRule="exact"/>
        <w:rPr>
          <w:rFonts w:ascii="Times New Roman" w:cs="Times New Roman" w:eastAsia="Times New Roman" w:hAnsi="Times New Roman"/>
          <w:sz w:val="13"/>
          <w:szCs w:val="13"/>
          <w:b w:val="1"/>
          <w:bCs w:val="1"/>
          <w:color w:val="auto"/>
        </w:rPr>
      </w:pPr>
    </w:p>
    <w:p>
      <w:pPr>
        <w:ind w:left="2000" w:right="599"/>
        <w:spacing w:after="0" w:line="259"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In September 2019, the Company’s Board of Directors approved the 2019 Share Incentive Plan, which become effective upon the completion of the Company’s IPO on December 12, 2019. Under the 2019 Share Incentive Plan, the aggregate number of ordinary shares that may be issued pursuant to all share-based awards (including restricted shares, RSUs and share options) is 6,440,855 ordinary shares and can be increased up to a number that is equal to 15% of the then total outstanding shares on a fully diluted basis at the discretion of the Company’s Board of Directors.</w:t>
      </w:r>
    </w:p>
    <w:p>
      <w:pPr>
        <w:spacing w:after="0" w:line="55" w:lineRule="exact"/>
        <w:rPr>
          <w:rFonts w:ascii="Times New Roman" w:cs="Times New Roman" w:eastAsia="Times New Roman" w:hAnsi="Times New Roman"/>
          <w:sz w:val="13"/>
          <w:szCs w:val="13"/>
          <w:b w:val="1"/>
          <w:bCs w:val="1"/>
          <w:color w:val="auto"/>
        </w:rPr>
      </w:pPr>
    </w:p>
    <w:p>
      <w:pPr>
        <w:ind w:left="2000" w:right="659"/>
        <w:spacing w:after="0" w:line="278"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Pursuant to both 2015 Share Incentive Plan and 2019 Share Incentive Plan, the members of the Board, consultant or employees are entitled to be granted share-based awards.</w:t>
      </w:r>
    </w:p>
    <w:p>
      <w:pPr>
        <w:spacing w:after="0" w:line="42" w:lineRule="exact"/>
        <w:rPr>
          <w:rFonts w:ascii="Times New Roman" w:cs="Times New Roman" w:eastAsia="Times New Roman" w:hAnsi="Times New Roman"/>
          <w:sz w:val="13"/>
          <w:szCs w:val="13"/>
          <w:b w:val="1"/>
          <w:bCs w:val="1"/>
          <w:color w:val="auto"/>
        </w:rPr>
      </w:pPr>
    </w:p>
    <w:p>
      <w:pPr>
        <w:ind w:left="2000" w:right="659"/>
        <w:spacing w:after="0" w:line="264"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Company granted a total of 600,000, 750,000 and nil RSU to the Group’s employees under the 2015 Share Incentive Plan and a total of nil, 1,613,000 and 4,790,000 RSUs to the Group’s employees under the 2019 Share Incentive Plan for the years ended December 31, 2019, 2020 and 2021. The RSUs are subject to service conditions and vest over a four-year period starting from the vesting inception date.</w:t>
      </w:r>
    </w:p>
    <w:p>
      <w:pPr>
        <w:spacing w:after="0" w:line="8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color w:val="auto"/>
        </w:rPr>
        <w:t>F- 45</w:t>
      </w:r>
    </w:p>
    <w:p>
      <w:pPr>
        <w:sectPr>
          <w:pgSz w:w="11900" w:h="16838" w:orient="portrait"/>
          <w:cols w:equalWidth="0" w:num="1">
            <w:col w:w="10159"/>
          </w:cols>
          <w:pgMar w:left="300" w:top="388" w:right="1440"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7">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 (CONTINUED)</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8">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7" w:lineRule="exact"/>
        <w:rPr>
          <w:sz w:val="20"/>
          <w:szCs w:val="20"/>
          <w:color w:val="auto"/>
        </w:rPr>
      </w:pPr>
    </w:p>
    <w:p>
      <w:pPr>
        <w:ind w:left="2000" w:right="5959" w:hanging="324"/>
        <w:spacing w:after="0" w:line="399" w:lineRule="auto"/>
        <w:tabs>
          <w:tab w:leader="none" w:pos="1994" w:val="left"/>
        </w:tabs>
        <w:numPr>
          <w:ilvl w:val="0"/>
          <w:numId w:val="13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Share-based Compensation (Continued) </w:t>
      </w:r>
      <w:r>
        <w:rPr>
          <w:rFonts w:ascii="Times New Roman" w:cs="Times New Roman" w:eastAsia="Times New Roman" w:hAnsi="Times New Roman"/>
          <w:sz w:val="13"/>
          <w:szCs w:val="13"/>
          <w:u w:val="single" w:color="auto"/>
          <w:color w:val="auto"/>
        </w:rPr>
        <w:t>RSUs</w:t>
      </w:r>
    </w:p>
    <w:p>
      <w:pPr>
        <w:spacing w:after="0" w:line="1" w:lineRule="exact"/>
        <w:rPr>
          <w:rFonts w:ascii="Times New Roman" w:cs="Times New Roman" w:eastAsia="Times New Roman" w:hAnsi="Times New Roman"/>
          <w:sz w:val="13"/>
          <w:szCs w:val="13"/>
          <w:b w:val="1"/>
          <w:bCs w:val="1"/>
          <w:color w:val="auto"/>
        </w:rPr>
      </w:pPr>
    </w:p>
    <w:p>
      <w:pPr>
        <w:ind w:left="2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following table summarizes the Company’s RSUs activity under the 2015 Share Incentive Plan and 2019 Share Incentive Plan:</w:t>
      </w:r>
    </w:p>
    <w:p>
      <w:pPr>
        <w:spacing w:after="0" w:line="169" w:lineRule="exact"/>
        <w:rPr>
          <w:sz w:val="20"/>
          <w:szCs w:val="20"/>
          <w:color w:val="auto"/>
        </w:rPr>
      </w:pPr>
    </w:p>
    <w:tbl>
      <w:tblPr>
        <w:tblLayout w:type="fixed"/>
        <w:tblInd w:w="2320" w:type="dxa"/>
        <w:tblCellMar>
          <w:top w:w="0" w:type="dxa"/>
          <w:left w:w="0" w:type="dxa"/>
          <w:bottom w:w="0" w:type="dxa"/>
          <w:right w:w="0" w:type="dxa"/>
        </w:tblCellMar>
      </w:tblPr>
      <w:tr>
        <w:trPr>
          <w:trHeight w:val="115"/>
        </w:trPr>
        <w:tc>
          <w:tcPr>
            <w:tcW w:w="2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0"/>
                <w:szCs w:val="10"/>
                <w:color w:val="auto"/>
              </w:rPr>
              <w:t>Number of RSUs</w:t>
            </w:r>
          </w:p>
        </w:tc>
        <w:tc>
          <w:tcPr>
            <w:tcW w:w="420" w:type="dxa"/>
            <w:vAlign w:val="bottom"/>
          </w:tcPr>
          <w:p>
            <w:pPr>
              <w:spacing w:after="0"/>
              <w:rPr>
                <w:sz w:val="10"/>
                <w:szCs w:val="10"/>
                <w:color w:val="auto"/>
              </w:rPr>
            </w:pPr>
          </w:p>
        </w:tc>
        <w:tc>
          <w:tcPr>
            <w:tcW w:w="1340" w:type="dxa"/>
            <w:vAlign w:val="bottom"/>
            <w:gridSpan w:val="2"/>
          </w:tcPr>
          <w:p>
            <w:pPr>
              <w:jc w:val="center"/>
              <w:ind w:right="520"/>
              <w:spacing w:after="0"/>
              <w:rPr>
                <w:sz w:val="20"/>
                <w:szCs w:val="20"/>
                <w:color w:val="auto"/>
              </w:rPr>
            </w:pPr>
            <w:r>
              <w:rPr>
                <w:rFonts w:ascii="Times New Roman" w:cs="Times New Roman" w:eastAsia="Times New Roman" w:hAnsi="Times New Roman"/>
                <w:sz w:val="10"/>
                <w:szCs w:val="10"/>
                <w:color w:val="auto"/>
              </w:rPr>
              <w:t>Weighted average</w:t>
            </w:r>
          </w:p>
        </w:tc>
        <w:tc>
          <w:tcPr>
            <w:tcW w:w="1120" w:type="dxa"/>
            <w:vAlign w:val="bottom"/>
          </w:tcPr>
          <w:p>
            <w:pPr>
              <w:jc w:val="right"/>
              <w:ind w:right="161"/>
              <w:spacing w:after="0"/>
              <w:rPr>
                <w:sz w:val="20"/>
                <w:szCs w:val="20"/>
                <w:color w:val="auto"/>
              </w:rPr>
            </w:pPr>
            <w:r>
              <w:rPr>
                <w:rFonts w:ascii="Times New Roman" w:cs="Times New Roman" w:eastAsia="Times New Roman" w:hAnsi="Times New Roman"/>
                <w:sz w:val="10"/>
                <w:szCs w:val="10"/>
                <w:color w:val="auto"/>
              </w:rPr>
              <w:t>Weighted average</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gridSpan w:val="2"/>
          </w:tcPr>
          <w:p>
            <w:pPr>
              <w:jc w:val="center"/>
              <w:ind w:right="520"/>
              <w:spacing w:after="0"/>
              <w:rPr>
                <w:sz w:val="20"/>
                <w:szCs w:val="20"/>
                <w:color w:val="auto"/>
              </w:rPr>
            </w:pPr>
            <w:r>
              <w:rPr>
                <w:rFonts w:ascii="Times New Roman" w:cs="Times New Roman" w:eastAsia="Times New Roman" w:hAnsi="Times New Roman"/>
                <w:sz w:val="10"/>
                <w:szCs w:val="10"/>
                <w:color w:val="auto"/>
              </w:rPr>
              <w:t>grant date fair value</w:t>
            </w: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remaining contractual life</w:t>
            </w:r>
          </w:p>
        </w:tc>
        <w:tc>
          <w:tcPr>
            <w:tcW w:w="0" w:type="dxa"/>
            <w:vAlign w:val="bottom"/>
          </w:tcPr>
          <w:p>
            <w:pPr>
              <w:spacing w:after="0"/>
              <w:rPr>
                <w:sz w:val="1"/>
                <w:szCs w:val="1"/>
                <w:color w:val="auto"/>
              </w:rPr>
            </w:pPr>
          </w:p>
        </w:tc>
      </w:tr>
      <w:tr>
        <w:trPr>
          <w:trHeight w:val="97"/>
        </w:trPr>
        <w:tc>
          <w:tcPr>
            <w:tcW w:w="2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Borders>
              <w:top w:val="single" w:sz="8" w:color="auto"/>
            </w:tcBorders>
          </w:tcPr>
          <w:p>
            <w:pPr>
              <w:jc w:val="center"/>
              <w:spacing w:after="0" w:line="97" w:lineRule="exact"/>
              <w:rPr>
                <w:sz w:val="20"/>
                <w:szCs w:val="20"/>
                <w:color w:val="auto"/>
              </w:rPr>
            </w:pPr>
            <w:r>
              <w:rPr>
                <w:rFonts w:ascii="Times New Roman" w:cs="Times New Roman" w:eastAsia="Times New Roman" w:hAnsi="Times New Roman"/>
                <w:sz w:val="10"/>
                <w:szCs w:val="10"/>
                <w:color w:val="auto"/>
              </w:rPr>
              <w:t>(US$)</w:t>
            </w:r>
          </w:p>
        </w:tc>
        <w:tc>
          <w:tcPr>
            <w:tcW w:w="500" w:type="dxa"/>
            <w:vAlign w:val="bottom"/>
          </w:tcPr>
          <w:p>
            <w:pPr>
              <w:spacing w:after="0"/>
              <w:rPr>
                <w:sz w:val="8"/>
                <w:szCs w:val="8"/>
                <w:color w:val="auto"/>
              </w:rPr>
            </w:pPr>
          </w:p>
        </w:tc>
        <w:tc>
          <w:tcPr>
            <w:tcW w:w="1120" w:type="dxa"/>
            <w:vAlign w:val="bottom"/>
            <w:tcBorders>
              <w:top w:val="single" w:sz="8" w:color="auto"/>
            </w:tcBorders>
          </w:tcPr>
          <w:p>
            <w:pPr>
              <w:jc w:val="right"/>
              <w:ind w:right="381"/>
              <w:spacing w:after="0" w:line="97" w:lineRule="exact"/>
              <w:rPr>
                <w:sz w:val="20"/>
                <w:szCs w:val="20"/>
                <w:color w:val="auto"/>
              </w:rPr>
            </w:pPr>
            <w:r>
              <w:rPr>
                <w:rFonts w:ascii="Times New Roman" w:cs="Times New Roman" w:eastAsia="Times New Roman" w:hAnsi="Times New Roman"/>
                <w:sz w:val="10"/>
                <w:szCs w:val="10"/>
                <w:color w:val="auto"/>
              </w:rPr>
              <w:t>(Years)</w:t>
            </w:r>
          </w:p>
        </w:tc>
        <w:tc>
          <w:tcPr>
            <w:tcW w:w="0" w:type="dxa"/>
            <w:vAlign w:val="bottom"/>
          </w:tcPr>
          <w:p>
            <w:pPr>
              <w:spacing w:after="0"/>
              <w:rPr>
                <w:sz w:val="1"/>
                <w:szCs w:val="1"/>
                <w:color w:val="auto"/>
              </w:rPr>
            </w:pPr>
          </w:p>
        </w:tc>
      </w:tr>
      <w:tr>
        <w:trPr>
          <w:trHeight w:val="15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Unvested, December 31, 2018</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1,557,176</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7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2.0941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0.65</w:t>
            </w:r>
          </w:p>
        </w:tc>
        <w:tc>
          <w:tcPr>
            <w:tcW w:w="0" w:type="dxa"/>
            <w:vAlign w:val="bottom"/>
          </w:tcPr>
          <w:p>
            <w:pPr>
              <w:spacing w:after="0"/>
              <w:rPr>
                <w:sz w:val="1"/>
                <w:szCs w:val="1"/>
                <w:color w:val="auto"/>
              </w:rPr>
            </w:pPr>
          </w:p>
        </w:tc>
      </w:tr>
      <w:tr>
        <w:trPr>
          <w:trHeight w:val="156"/>
        </w:trPr>
        <w:tc>
          <w:tcPr>
            <w:tcW w:w="2520" w:type="dxa"/>
            <w:vAlign w:val="bottom"/>
          </w:tcPr>
          <w:p>
            <w:pPr>
              <w:spacing w:after="0"/>
              <w:rPr>
                <w:sz w:val="20"/>
                <w:szCs w:val="20"/>
                <w:color w:val="auto"/>
              </w:rPr>
            </w:pPr>
            <w:r>
              <w:rPr>
                <w:rFonts w:ascii="Times New Roman" w:cs="Times New Roman" w:eastAsia="Times New Roman" w:hAnsi="Times New Roman"/>
                <w:sz w:val="13"/>
                <w:szCs w:val="13"/>
                <w:color w:val="auto"/>
              </w:rPr>
              <w:t>Granted</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600,000</w:t>
            </w:r>
          </w:p>
        </w:tc>
        <w:tc>
          <w:tcPr>
            <w:tcW w:w="60" w:type="dxa"/>
            <w:vAlign w:val="bottom"/>
          </w:tcPr>
          <w:p>
            <w:pPr>
              <w:spacing w:after="0"/>
              <w:rPr>
                <w:sz w:val="13"/>
                <w:szCs w:val="13"/>
                <w:color w:val="auto"/>
              </w:rPr>
            </w:pPr>
          </w:p>
        </w:tc>
        <w:tc>
          <w:tcPr>
            <w:tcW w:w="1760" w:type="dxa"/>
            <w:vAlign w:val="bottom"/>
            <w:gridSpan w:val="3"/>
          </w:tcPr>
          <w:p>
            <w:pPr>
              <w:jc w:val="right"/>
              <w:ind w:right="500"/>
              <w:spacing w:after="0"/>
              <w:rPr>
                <w:sz w:val="20"/>
                <w:szCs w:val="20"/>
                <w:color w:val="auto"/>
              </w:rPr>
            </w:pPr>
            <w:r>
              <w:rPr>
                <w:rFonts w:ascii="Times New Roman" w:cs="Times New Roman" w:eastAsia="Times New Roman" w:hAnsi="Times New Roman"/>
                <w:sz w:val="13"/>
                <w:szCs w:val="13"/>
                <w:color w:val="auto"/>
              </w:rPr>
              <w:t>5.3525</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Vested</w:t>
            </w:r>
          </w:p>
        </w:tc>
        <w:tc>
          <w:tcPr>
            <w:tcW w:w="12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(1,421,700)</w:t>
            </w:r>
          </w:p>
        </w:tc>
        <w:tc>
          <w:tcPr>
            <w:tcW w:w="17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2.0941</w:t>
            </w: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20" w:type="dxa"/>
            <w:vAlign w:val="bottom"/>
          </w:tcPr>
          <w:p>
            <w:pPr>
              <w:spacing w:after="0"/>
              <w:rPr>
                <w:sz w:val="20"/>
                <w:szCs w:val="20"/>
                <w:color w:val="auto"/>
              </w:rPr>
            </w:pPr>
            <w:r>
              <w:rPr>
                <w:rFonts w:ascii="Times New Roman" w:cs="Times New Roman" w:eastAsia="Times New Roman" w:hAnsi="Times New Roman"/>
                <w:sz w:val="13"/>
                <w:szCs w:val="13"/>
                <w:color w:val="auto"/>
              </w:rPr>
              <w:t>Forfeited</w:t>
            </w:r>
          </w:p>
        </w:tc>
        <w:tc>
          <w:tcPr>
            <w:tcW w:w="440" w:type="dxa"/>
            <w:vAlign w:val="bottom"/>
          </w:tcPr>
          <w:p>
            <w:pPr>
              <w:spacing w:after="0"/>
              <w:rPr>
                <w:sz w:val="13"/>
                <w:szCs w:val="13"/>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3"/>
                <w:szCs w:val="13"/>
                <w:color w:val="auto"/>
              </w:rPr>
            </w:pPr>
          </w:p>
        </w:tc>
        <w:tc>
          <w:tcPr>
            <w:tcW w:w="134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Unvested, December 31, 2019</w:t>
            </w: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735,476</w:t>
            </w:r>
          </w:p>
        </w:tc>
        <w:tc>
          <w:tcPr>
            <w:tcW w:w="60" w:type="dxa"/>
            <w:vAlign w:val="bottom"/>
            <w:shd w:val="clear" w:color="auto" w:fill="CCEEFF"/>
          </w:tcPr>
          <w:p>
            <w:pPr>
              <w:spacing w:after="0"/>
              <w:rPr>
                <w:sz w:val="13"/>
                <w:szCs w:val="13"/>
                <w:color w:val="auto"/>
              </w:rPr>
            </w:pPr>
          </w:p>
        </w:tc>
        <w:tc>
          <w:tcPr>
            <w:tcW w:w="17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4.7523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0" w:type="dxa"/>
            <w:vAlign w:val="bottom"/>
          </w:tcPr>
          <w:p>
            <w:pPr>
              <w:spacing w:after="0"/>
              <w:rPr>
                <w:sz w:val="1"/>
                <w:szCs w:val="1"/>
                <w:color w:val="auto"/>
              </w:rPr>
            </w:pPr>
          </w:p>
        </w:tc>
      </w:tr>
      <w:tr>
        <w:trPr>
          <w:trHeight w:val="156"/>
        </w:trPr>
        <w:tc>
          <w:tcPr>
            <w:tcW w:w="2520" w:type="dxa"/>
            <w:vAlign w:val="bottom"/>
          </w:tcPr>
          <w:p>
            <w:pPr>
              <w:spacing w:after="0"/>
              <w:rPr>
                <w:sz w:val="20"/>
                <w:szCs w:val="20"/>
                <w:color w:val="auto"/>
              </w:rPr>
            </w:pPr>
            <w:r>
              <w:rPr>
                <w:rFonts w:ascii="Times New Roman" w:cs="Times New Roman" w:eastAsia="Times New Roman" w:hAnsi="Times New Roman"/>
                <w:sz w:val="13"/>
                <w:szCs w:val="13"/>
                <w:color w:val="auto"/>
              </w:rPr>
              <w:t>Granted</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2,363,000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60" w:type="dxa"/>
            <w:vAlign w:val="bottom"/>
            <w:gridSpan w:val="3"/>
          </w:tcPr>
          <w:p>
            <w:pPr>
              <w:jc w:val="right"/>
              <w:ind w:right="500"/>
              <w:spacing w:after="0"/>
              <w:rPr>
                <w:sz w:val="20"/>
                <w:szCs w:val="20"/>
                <w:color w:val="auto"/>
              </w:rPr>
            </w:pPr>
            <w:r>
              <w:rPr>
                <w:rFonts w:ascii="Times New Roman" w:cs="Times New Roman" w:eastAsia="Times New Roman" w:hAnsi="Times New Roman"/>
                <w:sz w:val="13"/>
                <w:szCs w:val="13"/>
                <w:color w:val="auto"/>
              </w:rPr>
              <w:t>4.2912</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Vested</w:t>
            </w:r>
          </w:p>
        </w:tc>
        <w:tc>
          <w:tcPr>
            <w:tcW w:w="12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(1,819,726)</w:t>
            </w:r>
          </w:p>
        </w:tc>
        <w:tc>
          <w:tcPr>
            <w:tcW w:w="17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4.1359</w:t>
            </w: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20" w:type="dxa"/>
            <w:vAlign w:val="bottom"/>
          </w:tcPr>
          <w:p>
            <w:pPr>
              <w:spacing w:after="0"/>
              <w:rPr>
                <w:sz w:val="20"/>
                <w:szCs w:val="20"/>
                <w:color w:val="auto"/>
              </w:rPr>
            </w:pPr>
            <w:r>
              <w:rPr>
                <w:rFonts w:ascii="Times New Roman" w:cs="Times New Roman" w:eastAsia="Times New Roman" w:hAnsi="Times New Roman"/>
                <w:sz w:val="13"/>
                <w:szCs w:val="13"/>
                <w:color w:val="auto"/>
              </w:rPr>
              <w:t>Forfeited</w:t>
            </w:r>
          </w:p>
        </w:tc>
        <w:tc>
          <w:tcPr>
            <w:tcW w:w="440" w:type="dxa"/>
            <w:vAlign w:val="bottom"/>
          </w:tcPr>
          <w:p>
            <w:pPr>
              <w:spacing w:after="0"/>
              <w:rPr>
                <w:sz w:val="13"/>
                <w:szCs w:val="13"/>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3"/>
                <w:szCs w:val="13"/>
                <w:color w:val="auto"/>
              </w:rPr>
            </w:pPr>
          </w:p>
        </w:tc>
        <w:tc>
          <w:tcPr>
            <w:tcW w:w="134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Unvested, December 31, 2020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1,278,750</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7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4.7774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w:t>
            </w:r>
          </w:p>
        </w:tc>
        <w:tc>
          <w:tcPr>
            <w:tcW w:w="0" w:type="dxa"/>
            <w:vAlign w:val="bottom"/>
          </w:tcPr>
          <w:p>
            <w:pPr>
              <w:spacing w:after="0"/>
              <w:rPr>
                <w:sz w:val="1"/>
                <w:szCs w:val="1"/>
                <w:color w:val="auto"/>
              </w:rPr>
            </w:pPr>
          </w:p>
        </w:tc>
      </w:tr>
      <w:tr>
        <w:trPr>
          <w:trHeight w:val="156"/>
        </w:trPr>
        <w:tc>
          <w:tcPr>
            <w:tcW w:w="2520" w:type="dxa"/>
            <w:vAlign w:val="bottom"/>
          </w:tcPr>
          <w:p>
            <w:pPr>
              <w:spacing w:after="0"/>
              <w:rPr>
                <w:sz w:val="20"/>
                <w:szCs w:val="20"/>
                <w:color w:val="auto"/>
              </w:rPr>
            </w:pPr>
            <w:r>
              <w:rPr>
                <w:rFonts w:ascii="Times New Roman" w:cs="Times New Roman" w:eastAsia="Times New Roman" w:hAnsi="Times New Roman"/>
                <w:sz w:val="13"/>
                <w:szCs w:val="13"/>
                <w:color w:val="auto"/>
              </w:rPr>
              <w:t>Granted</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4,790,000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60" w:type="dxa"/>
            <w:vAlign w:val="bottom"/>
            <w:gridSpan w:val="3"/>
          </w:tcPr>
          <w:p>
            <w:pPr>
              <w:jc w:val="right"/>
              <w:ind w:right="500"/>
              <w:spacing w:after="0"/>
              <w:rPr>
                <w:sz w:val="20"/>
                <w:szCs w:val="20"/>
                <w:color w:val="auto"/>
              </w:rPr>
            </w:pPr>
            <w:r>
              <w:rPr>
                <w:rFonts w:ascii="Times New Roman" w:cs="Times New Roman" w:eastAsia="Times New Roman" w:hAnsi="Times New Roman"/>
                <w:sz w:val="13"/>
                <w:szCs w:val="13"/>
                <w:color w:val="auto"/>
              </w:rPr>
              <w:t>10.6200</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Vested</w:t>
            </w:r>
          </w:p>
        </w:tc>
        <w:tc>
          <w:tcPr>
            <w:tcW w:w="12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(1,949,250)</w:t>
            </w:r>
          </w:p>
        </w:tc>
        <w:tc>
          <w:tcPr>
            <w:tcW w:w="17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9.2469</w:t>
            </w: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Forfeited</w:t>
            </w:r>
          </w:p>
        </w:tc>
        <w:tc>
          <w:tcPr>
            <w:tcW w:w="44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gridSpan w:val="2"/>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1340" w:type="dxa"/>
            <w:vAlign w:val="bottom"/>
            <w:tcBorders>
              <w:bottom w:val="single" w:sz="8" w:color="CCEEFF"/>
            </w:tcBorders>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Unvested, December 31, 2021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4,119,500</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7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9.4561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0" w:type="dxa"/>
            <w:vAlign w:val="bottom"/>
          </w:tcPr>
          <w:p>
            <w:pPr>
              <w:spacing w:after="0"/>
              <w:rPr>
                <w:sz w:val="1"/>
                <w:szCs w:val="1"/>
                <w:color w:val="auto"/>
              </w:rPr>
            </w:pPr>
          </w:p>
        </w:tc>
      </w:tr>
      <w:tr>
        <w:trPr>
          <w:trHeight w:val="175"/>
        </w:trPr>
        <w:tc>
          <w:tcPr>
            <w:tcW w:w="2520" w:type="dxa"/>
            <w:vAlign w:val="bottom"/>
          </w:tcPr>
          <w:p>
            <w:pPr>
              <w:spacing w:after="0"/>
              <w:rPr>
                <w:sz w:val="20"/>
                <w:szCs w:val="20"/>
                <w:color w:val="auto"/>
              </w:rPr>
            </w:pPr>
            <w:r>
              <w:rPr>
                <w:rFonts w:ascii="Times New Roman" w:cs="Times New Roman" w:eastAsia="Times New Roman" w:hAnsi="Times New Roman"/>
                <w:sz w:val="13"/>
                <w:szCs w:val="13"/>
                <w:color w:val="auto"/>
              </w:rPr>
              <w:t>Expected to vest as of December 31, 2021</w:t>
            </w:r>
          </w:p>
        </w:tc>
        <w:tc>
          <w:tcPr>
            <w:tcW w:w="44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4,119,500</w:t>
            </w:r>
          </w:p>
        </w:tc>
        <w:tc>
          <w:tcPr>
            <w:tcW w:w="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left="2000" w:right="799"/>
        <w:spacing w:after="0" w:line="322" w:lineRule="auto"/>
        <w:rPr>
          <w:sz w:val="20"/>
          <w:szCs w:val="20"/>
          <w:color w:val="auto"/>
        </w:rPr>
      </w:pPr>
      <w:r>
        <w:rPr>
          <w:rFonts w:ascii="Times New Roman" w:cs="Times New Roman" w:eastAsia="Times New Roman" w:hAnsi="Times New Roman"/>
          <w:sz w:val="12"/>
          <w:szCs w:val="12"/>
          <w:color w:val="auto"/>
        </w:rPr>
        <w:t>The total fair value of RSUs vested for the years ended December 31, 2019, 2020 and 2021 were RMB14,747, RMB54,036 and RMB121,131 (US$19,009) respectively. Total share-based compensation expense capitalized to inventory was not material for any of the periods presented.</w:t>
      </w:r>
    </w:p>
    <w:p>
      <w:pPr>
        <w:spacing w:after="0" w:line="19" w:lineRule="exact"/>
        <w:rPr>
          <w:sz w:val="20"/>
          <w:szCs w:val="20"/>
          <w:color w:val="auto"/>
        </w:rPr>
      </w:pPr>
    </w:p>
    <w:p>
      <w:pPr>
        <w:ind w:left="2000" w:right="599"/>
        <w:spacing w:after="0" w:line="264" w:lineRule="auto"/>
        <w:rPr>
          <w:sz w:val="20"/>
          <w:szCs w:val="20"/>
          <w:color w:val="auto"/>
        </w:rPr>
      </w:pPr>
      <w:r>
        <w:rPr>
          <w:rFonts w:ascii="Times New Roman" w:cs="Times New Roman" w:eastAsia="Times New Roman" w:hAnsi="Times New Roman"/>
          <w:sz w:val="13"/>
          <w:szCs w:val="13"/>
          <w:color w:val="auto"/>
        </w:rPr>
        <w:t>As of December 31, 2021, there was RMB 251,140 (US$39,409) of unrecognized share-based compensation expenses related to RSUs which is expected to be recognized over a weighted average vesting period of 2.67 years. Total unrecognized compensation cost may be adjusted for actual forfeitures occurring in the future.</w:t>
      </w:r>
    </w:p>
    <w:p>
      <w:pPr>
        <w:spacing w:after="0" w:line="2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u w:val="single" w:color="auto"/>
          <w:color w:val="auto"/>
        </w:rPr>
        <w:t>Share options</w:t>
      </w:r>
    </w:p>
    <w:p>
      <w:pPr>
        <w:spacing w:after="0" w:line="8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following table summarizes the Company’s share options activity under the 2015 Share Incentive Plan:</w:t>
      </w:r>
    </w:p>
    <w:p>
      <w:pPr>
        <w:spacing w:after="0" w:line="169" w:lineRule="exact"/>
        <w:rPr>
          <w:sz w:val="20"/>
          <w:szCs w:val="20"/>
          <w:color w:val="auto"/>
        </w:rPr>
      </w:pPr>
    </w:p>
    <w:tbl>
      <w:tblPr>
        <w:tblLayout w:type="fixed"/>
        <w:tblInd w:w="2320" w:type="dxa"/>
        <w:tblCellMar>
          <w:top w:w="0" w:type="dxa"/>
          <w:left w:w="0" w:type="dxa"/>
          <w:bottom w:w="0" w:type="dxa"/>
          <w:right w:w="0" w:type="dxa"/>
        </w:tblCellMar>
      </w:tblPr>
      <w:tr>
        <w:trPr>
          <w:trHeight w:val="115"/>
        </w:trPr>
        <w:tc>
          <w:tcPr>
            <w:tcW w:w="3340" w:type="dxa"/>
            <w:vAlign w:val="bottom"/>
          </w:tcPr>
          <w:p>
            <w:pPr>
              <w:spacing w:after="0"/>
              <w:rPr>
                <w:sz w:val="10"/>
                <w:szCs w:val="10"/>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0"/>
                <w:szCs w:val="10"/>
                <w:color w:val="auto"/>
              </w:rPr>
              <w:t>Number of share</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Weighted average</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Weighted average</w:t>
            </w:r>
          </w:p>
        </w:tc>
      </w:tr>
      <w:tr>
        <w:trPr>
          <w:trHeight w:val="124"/>
        </w:trPr>
        <w:tc>
          <w:tcPr>
            <w:tcW w:w="3340" w:type="dxa"/>
            <w:vAlign w:val="bottom"/>
          </w:tcPr>
          <w:p>
            <w:pPr>
              <w:spacing w:after="0"/>
              <w:rPr>
                <w:sz w:val="10"/>
                <w:szCs w:val="10"/>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0"/>
                <w:szCs w:val="10"/>
                <w:color w:val="auto"/>
              </w:rPr>
              <w:t>options</w:t>
            </w: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0"/>
                <w:szCs w:val="10"/>
                <w:color w:val="auto"/>
                <w:w w:val="99"/>
              </w:rPr>
              <w:t>grant date fair value</w:t>
            </w: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exercise price</w:t>
            </w:r>
          </w:p>
        </w:tc>
      </w:tr>
      <w:tr>
        <w:trPr>
          <w:trHeight w:val="97"/>
        </w:trPr>
        <w:tc>
          <w:tcPr>
            <w:tcW w:w="334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Borders>
              <w:top w:val="single" w:sz="8" w:color="auto"/>
            </w:tcBorders>
          </w:tcPr>
          <w:p>
            <w:pPr>
              <w:jc w:val="right"/>
              <w:ind w:right="242"/>
              <w:spacing w:after="0" w:line="97" w:lineRule="exact"/>
              <w:rPr>
                <w:sz w:val="20"/>
                <w:szCs w:val="20"/>
                <w:color w:val="auto"/>
              </w:rPr>
            </w:pPr>
            <w:r>
              <w:rPr>
                <w:rFonts w:ascii="Times New Roman" w:cs="Times New Roman" w:eastAsia="Times New Roman" w:hAnsi="Times New Roman"/>
                <w:sz w:val="10"/>
                <w:szCs w:val="10"/>
                <w:color w:val="auto"/>
              </w:rPr>
              <w:t>(US$)</w:t>
            </w:r>
          </w:p>
        </w:tc>
        <w:tc>
          <w:tcPr>
            <w:tcW w:w="480" w:type="dxa"/>
            <w:vAlign w:val="bottom"/>
          </w:tcPr>
          <w:p>
            <w:pPr>
              <w:spacing w:after="0"/>
              <w:rPr>
                <w:sz w:val="8"/>
                <w:szCs w:val="8"/>
                <w:color w:val="auto"/>
              </w:rPr>
            </w:pPr>
          </w:p>
        </w:tc>
        <w:tc>
          <w:tcPr>
            <w:tcW w:w="760" w:type="dxa"/>
            <w:vAlign w:val="bottom"/>
            <w:tcBorders>
              <w:top w:val="single" w:sz="8" w:color="auto"/>
            </w:tcBorders>
          </w:tcPr>
          <w:p>
            <w:pPr>
              <w:jc w:val="right"/>
              <w:ind w:right="202"/>
              <w:spacing w:after="0" w:line="97" w:lineRule="exact"/>
              <w:rPr>
                <w:sz w:val="20"/>
                <w:szCs w:val="20"/>
                <w:color w:val="auto"/>
              </w:rPr>
            </w:pPr>
            <w:r>
              <w:rPr>
                <w:rFonts w:ascii="Times New Roman" w:cs="Times New Roman" w:eastAsia="Times New Roman" w:hAnsi="Times New Roman"/>
                <w:sz w:val="10"/>
                <w:szCs w:val="10"/>
                <w:color w:val="auto"/>
              </w:rPr>
              <w:t>(US$)</w:t>
            </w:r>
          </w:p>
        </w:tc>
        <w:tc>
          <w:tcPr>
            <w:tcW w:w="40" w:type="dxa"/>
            <w:vAlign w:val="bottom"/>
          </w:tcPr>
          <w:p>
            <w:pPr>
              <w:spacing w:after="0"/>
              <w:rPr>
                <w:sz w:val="8"/>
                <w:szCs w:val="8"/>
                <w:color w:val="auto"/>
              </w:rPr>
            </w:pPr>
          </w:p>
        </w:tc>
      </w:tr>
      <w:tr>
        <w:trPr>
          <w:trHeight w:val="15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Outstanding as of January 1 and December 31, 2021</w:t>
            </w:r>
          </w:p>
        </w:tc>
        <w:tc>
          <w:tcPr>
            <w:tcW w:w="12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53,737</w:t>
            </w:r>
          </w:p>
        </w:tc>
        <w:tc>
          <w:tcPr>
            <w:tcW w:w="13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2.2624</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5.8853</w:t>
            </w:r>
          </w:p>
        </w:tc>
      </w:tr>
      <w:tr>
        <w:trPr>
          <w:trHeight w:val="155"/>
        </w:trPr>
        <w:tc>
          <w:tcPr>
            <w:tcW w:w="3340" w:type="dxa"/>
            <w:vAlign w:val="bottom"/>
          </w:tcPr>
          <w:p>
            <w:pPr>
              <w:spacing w:after="0"/>
              <w:rPr>
                <w:sz w:val="20"/>
                <w:szCs w:val="20"/>
                <w:color w:val="auto"/>
              </w:rPr>
            </w:pPr>
            <w:r>
              <w:rPr>
                <w:rFonts w:ascii="Times New Roman" w:cs="Times New Roman" w:eastAsia="Times New Roman" w:hAnsi="Times New Roman"/>
                <w:sz w:val="13"/>
                <w:szCs w:val="13"/>
                <w:color w:val="auto"/>
              </w:rPr>
              <w:t>Vested and expected to vest as of December 31, 2021</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53,737</w:t>
            </w:r>
          </w:p>
        </w:tc>
        <w:tc>
          <w:tcPr>
            <w:tcW w:w="500" w:type="dxa"/>
            <w:vAlign w:val="bottom"/>
          </w:tcPr>
          <w:p>
            <w:pPr>
              <w:spacing w:after="0"/>
              <w:rPr>
                <w:sz w:val="13"/>
                <w:szCs w:val="13"/>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color w:val="auto"/>
              </w:rPr>
              <w:t>2.2624</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5.8853</w:t>
            </w:r>
          </w:p>
        </w:tc>
      </w:tr>
      <w:tr>
        <w:trPr>
          <w:trHeight w:val="164"/>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Exercisable as of December 31, 2021</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53,737</w:t>
            </w:r>
          </w:p>
        </w:tc>
        <w:tc>
          <w:tcPr>
            <w:tcW w:w="50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2.2624</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5.8853</w:t>
            </w:r>
          </w:p>
        </w:tc>
      </w:tr>
    </w:tbl>
    <w:p>
      <w:pPr>
        <w:spacing w:after="0" w:line="153" w:lineRule="exact"/>
        <w:rPr>
          <w:sz w:val="20"/>
          <w:szCs w:val="20"/>
          <w:color w:val="auto"/>
        </w:rPr>
      </w:pPr>
    </w:p>
    <w:p>
      <w:pPr>
        <w:ind w:left="2000" w:right="559"/>
        <w:spacing w:after="0" w:line="322" w:lineRule="auto"/>
        <w:rPr>
          <w:sz w:val="20"/>
          <w:szCs w:val="20"/>
          <w:color w:val="auto"/>
        </w:rPr>
      </w:pPr>
      <w:r>
        <w:rPr>
          <w:rFonts w:ascii="Times New Roman" w:cs="Times New Roman" w:eastAsia="Times New Roman" w:hAnsi="Times New Roman"/>
          <w:sz w:val="12"/>
          <w:szCs w:val="12"/>
          <w:color w:val="auto"/>
        </w:rPr>
        <w:t>The share-based compensation expense relating to the share options recognized were nil, RMB 821 and nil for the year ended December 31, 2019, 2020 and 2021. There was no unrecognized share-based compensation relating to the shares options as of December 31, 2019, 2020 and 2021.</w:t>
      </w:r>
    </w:p>
    <w:p>
      <w:pPr>
        <w:spacing w:after="0" w:line="4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color w:val="auto"/>
        </w:rPr>
        <w:t>F- 46</w:t>
      </w:r>
    </w:p>
    <w:p>
      <w:pPr>
        <w:sectPr>
          <w:pgSz w:w="11900" w:h="16838" w:orient="portrait"/>
          <w:cols w:equalWidth="0" w:num="1">
            <w:col w:w="10159"/>
          </w:cols>
          <w:pgMar w:left="300" w:top="388" w:right="1440"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9">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 (CONTINUED)</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0">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7" w:lineRule="exact"/>
        <w:rPr>
          <w:sz w:val="20"/>
          <w:szCs w:val="20"/>
          <w:color w:val="auto"/>
        </w:rPr>
      </w:pPr>
    </w:p>
    <w:p>
      <w:pPr>
        <w:ind w:left="1980" w:hanging="304"/>
        <w:spacing w:after="0"/>
        <w:tabs>
          <w:tab w:leader="none" w:pos="1980" w:val="left"/>
        </w:tabs>
        <w:numPr>
          <w:ilvl w:val="0"/>
          <w:numId w:val="13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Share-based Compensation (Continued)</w:t>
      </w:r>
    </w:p>
    <w:p>
      <w:pPr>
        <w:spacing w:after="0" w:line="115" w:lineRule="exact"/>
        <w:rPr>
          <w:rFonts w:ascii="Times New Roman" w:cs="Times New Roman" w:eastAsia="Times New Roman" w:hAnsi="Times New Roman"/>
          <w:sz w:val="13"/>
          <w:szCs w:val="13"/>
          <w:b w:val="1"/>
          <w:bCs w:val="1"/>
          <w:color w:val="auto"/>
        </w:rPr>
      </w:pPr>
    </w:p>
    <w:p>
      <w:pPr>
        <w:jc w:val="both"/>
        <w:ind w:left="2000" w:right="619"/>
        <w:spacing w:after="0" w:line="264"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Group calculated the estimated fair value of the share options under the 2015 Share Incentive Plan on the grant date using the Black-Scholes valuation model. Assumptions used to determine the fair value of the share options granted under the 2015 Share Incentive Plan is summarized in the following table:</w:t>
      </w:r>
    </w:p>
    <w:p>
      <w:pPr>
        <w:spacing w:after="0" w:line="137" w:lineRule="exact"/>
        <w:rPr>
          <w:sz w:val="20"/>
          <w:szCs w:val="20"/>
          <w:color w:val="auto"/>
        </w:rPr>
      </w:pPr>
    </w:p>
    <w:tbl>
      <w:tblPr>
        <w:tblLayout w:type="fixed"/>
        <w:tblInd w:w="294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gridSpan w:val="2"/>
          </w:tcPr>
          <w:p>
            <w:pPr>
              <w:jc w:val="center"/>
              <w:ind w:right="480"/>
              <w:spacing w:after="0"/>
              <w:rPr>
                <w:sz w:val="20"/>
                <w:szCs w:val="20"/>
                <w:color w:val="auto"/>
              </w:rPr>
            </w:pPr>
            <w:r>
              <w:rPr>
                <w:rFonts w:ascii="Times New Roman" w:cs="Times New Roman" w:eastAsia="Times New Roman" w:hAnsi="Times New Roman"/>
                <w:sz w:val="10"/>
                <w:szCs w:val="10"/>
                <w:b w:val="1"/>
                <w:bCs w:val="1"/>
                <w:color w:val="auto"/>
              </w:rPr>
              <w:t>For the</w:t>
            </w:r>
          </w:p>
        </w:tc>
      </w:tr>
      <w:tr>
        <w:trPr>
          <w:trHeight w:val="107"/>
        </w:trPr>
        <w:tc>
          <w:tcPr>
            <w:tcW w:w="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gridSpan w:val="2"/>
          </w:tcPr>
          <w:p>
            <w:pPr>
              <w:jc w:val="center"/>
              <w:ind w:right="440"/>
              <w:spacing w:after="0" w:line="107" w:lineRule="exact"/>
              <w:rPr>
                <w:sz w:val="20"/>
                <w:szCs w:val="20"/>
                <w:color w:val="auto"/>
              </w:rPr>
            </w:pPr>
            <w:r>
              <w:rPr>
                <w:rFonts w:ascii="Times New Roman" w:cs="Times New Roman" w:eastAsia="Times New Roman" w:hAnsi="Times New Roman"/>
                <w:sz w:val="10"/>
                <w:szCs w:val="10"/>
                <w:b w:val="1"/>
                <w:bCs w:val="1"/>
                <w:color w:val="auto"/>
              </w:rPr>
              <w:t>years ended</w:t>
            </w:r>
          </w:p>
        </w:tc>
      </w:tr>
      <w:tr>
        <w:trPr>
          <w:trHeight w:val="124"/>
        </w:trPr>
        <w:tc>
          <w:tcPr>
            <w:tcW w:w="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660" w:type="dxa"/>
            <w:vAlign w:val="bottom"/>
            <w:gridSpan w:val="4"/>
          </w:tcPr>
          <w:p>
            <w:pPr>
              <w:jc w:val="center"/>
              <w:ind w:left="1042"/>
              <w:spacing w:after="0"/>
              <w:rPr>
                <w:sz w:val="20"/>
                <w:szCs w:val="20"/>
                <w:color w:val="auto"/>
              </w:rPr>
            </w:pPr>
            <w:r>
              <w:rPr>
                <w:rFonts w:ascii="Times New Roman" w:cs="Times New Roman" w:eastAsia="Times New Roman" w:hAnsi="Times New Roman"/>
                <w:sz w:val="10"/>
                <w:szCs w:val="10"/>
                <w:b w:val="1"/>
                <w:bCs w:val="1"/>
                <w:color w:val="auto"/>
              </w:rPr>
              <w:t>December 31, 2020 and 2021</w:t>
            </w:r>
          </w:p>
        </w:tc>
      </w:tr>
      <w:tr>
        <w:trPr>
          <w:trHeight w:val="145"/>
        </w:trPr>
        <w:tc>
          <w:tcPr>
            <w:tcW w:w="20" w:type="dxa"/>
            <w:vAlign w:val="bottom"/>
          </w:tcPr>
          <w:p>
            <w:pPr>
              <w:spacing w:after="0"/>
              <w:rPr>
                <w:sz w:val="12"/>
                <w:szCs w:val="12"/>
                <w:color w:val="auto"/>
              </w:rPr>
            </w:pPr>
          </w:p>
        </w:tc>
        <w:tc>
          <w:tcPr>
            <w:tcW w:w="272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Term in years</w:t>
            </w:r>
          </w:p>
        </w:tc>
        <w:tc>
          <w:tcPr>
            <w:tcW w:w="126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5</w:t>
            </w:r>
          </w:p>
        </w:tc>
        <w:tc>
          <w:tcPr>
            <w:tcW w:w="14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3"/>
                <w:szCs w:val="13"/>
                <w:color w:val="auto"/>
              </w:rPr>
              <w:t>Volatility</w:t>
            </w:r>
          </w:p>
        </w:tc>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53.73%</w:t>
            </w:r>
          </w:p>
        </w:tc>
      </w:tr>
      <w:tr>
        <w:trPr>
          <w:trHeight w:val="156"/>
        </w:trPr>
        <w:tc>
          <w:tcPr>
            <w:tcW w:w="20" w:type="dxa"/>
            <w:vAlign w:val="bottom"/>
          </w:tcPr>
          <w:p>
            <w:pPr>
              <w:spacing w:after="0"/>
              <w:rPr>
                <w:sz w:val="13"/>
                <w:szCs w:val="13"/>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Discount rate</w:t>
            </w:r>
          </w:p>
        </w:tc>
        <w:tc>
          <w:tcPr>
            <w:tcW w:w="1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0.85%</w:t>
            </w:r>
          </w:p>
        </w:tc>
      </w:tr>
      <w:tr>
        <w:trPr>
          <w:trHeight w:val="168"/>
        </w:trPr>
        <w:tc>
          <w:tcPr>
            <w:tcW w:w="20" w:type="dxa"/>
            <w:vAlign w:val="bottom"/>
          </w:tcPr>
          <w:p>
            <w:pPr>
              <w:spacing w:after="0"/>
              <w:rPr>
                <w:sz w:val="14"/>
                <w:szCs w:val="14"/>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3"/>
                <w:szCs w:val="13"/>
                <w:color w:val="auto"/>
              </w:rPr>
              <w:t>Fair value per ordinary share</w:t>
            </w: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3"/>
                <w:szCs w:val="13"/>
                <w:color w:val="auto"/>
              </w:rPr>
              <w:t>US$</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w:t>
            </w:r>
          </w:p>
        </w:tc>
        <w:tc>
          <w:tcPr>
            <w:tcW w:w="140" w:type="dxa"/>
            <w:vAlign w:val="bottom"/>
          </w:tcPr>
          <w:p>
            <w:pPr>
              <w:spacing w:after="0"/>
              <w:rPr>
                <w:sz w:val="14"/>
                <w:szCs w:val="14"/>
                <w:color w:val="auto"/>
              </w:rPr>
            </w:pPr>
          </w:p>
        </w:tc>
      </w:tr>
    </w:tbl>
    <w:p>
      <w:pPr>
        <w:spacing w:after="0" w:line="131" w:lineRule="exact"/>
        <w:rPr>
          <w:sz w:val="20"/>
          <w:szCs w:val="20"/>
          <w:color w:val="auto"/>
        </w:rPr>
      </w:pPr>
    </w:p>
    <w:p>
      <w:pPr>
        <w:ind w:left="2000" w:right="619"/>
        <w:spacing w:after="0" w:line="278" w:lineRule="auto"/>
        <w:rPr>
          <w:sz w:val="20"/>
          <w:szCs w:val="20"/>
          <w:color w:val="auto"/>
        </w:rPr>
      </w:pPr>
      <w:r>
        <w:rPr>
          <w:rFonts w:ascii="Times New Roman" w:cs="Times New Roman" w:eastAsia="Times New Roman" w:hAnsi="Times New Roman"/>
          <w:sz w:val="13"/>
          <w:szCs w:val="13"/>
          <w:color w:val="auto"/>
        </w:rPr>
        <w:t>Total share-based compensation expenses relating to RSUs and options granted to employees recognized for the years ended December 31, 2019, 2020 and 2021 were as follows:</w:t>
      </w:r>
    </w:p>
    <w:p>
      <w:pPr>
        <w:spacing w:after="0" w:line="136" w:lineRule="exact"/>
        <w:rPr>
          <w:sz w:val="20"/>
          <w:szCs w:val="20"/>
          <w:color w:val="auto"/>
        </w:rPr>
      </w:pPr>
    </w:p>
    <w:tbl>
      <w:tblPr>
        <w:tblLayout w:type="fixed"/>
        <w:tblInd w:w="2000" w:type="dxa"/>
        <w:tblCellMar>
          <w:top w:w="0" w:type="dxa"/>
          <w:left w:w="0" w:type="dxa"/>
          <w:bottom w:w="0" w:type="dxa"/>
          <w:right w:w="0" w:type="dxa"/>
        </w:tblCellMar>
      </w:tblPr>
      <w:tr>
        <w:trPr>
          <w:trHeight w:val="124"/>
        </w:trPr>
        <w:tc>
          <w:tcPr>
            <w:tcW w:w="5040" w:type="dxa"/>
            <w:vAlign w:val="bottom"/>
          </w:tcPr>
          <w:p>
            <w:pPr>
              <w:spacing w:after="0"/>
              <w:rPr>
                <w:sz w:val="10"/>
                <w:szCs w:val="10"/>
                <w:color w:val="auto"/>
              </w:rPr>
            </w:pPr>
          </w:p>
        </w:tc>
        <w:tc>
          <w:tcPr>
            <w:tcW w:w="1840" w:type="dxa"/>
            <w:vAlign w:val="bottom"/>
            <w:tcBorders>
              <w:bottom w:val="single" w:sz="8" w:color="auto"/>
            </w:tcBorders>
            <w:gridSpan w:val="7"/>
          </w:tcPr>
          <w:p>
            <w:pPr>
              <w:ind w:left="360"/>
              <w:spacing w:after="0"/>
              <w:rPr>
                <w:sz w:val="20"/>
                <w:szCs w:val="20"/>
                <w:color w:val="auto"/>
              </w:rPr>
            </w:pPr>
            <w:r>
              <w:rPr>
                <w:rFonts w:ascii="Times New Roman" w:cs="Times New Roman" w:eastAsia="Times New Roman" w:hAnsi="Times New Roman"/>
                <w:sz w:val="10"/>
                <w:szCs w:val="10"/>
                <w:b w:val="1"/>
                <w:bCs w:val="1"/>
                <w:color w:val="auto"/>
              </w:rPr>
              <w:t>For the year ended December 31,</w:t>
            </w:r>
          </w:p>
        </w:tc>
        <w:tc>
          <w:tcPr>
            <w:tcW w:w="3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7"/>
        </w:trPr>
        <w:tc>
          <w:tcPr>
            <w:tcW w:w="5040" w:type="dxa"/>
            <w:vAlign w:val="bottom"/>
          </w:tcPr>
          <w:p>
            <w:pPr>
              <w:spacing w:after="0"/>
              <w:rPr>
                <w:sz w:val="8"/>
                <w:szCs w:val="8"/>
                <w:color w:val="auto"/>
              </w:rPr>
            </w:pPr>
          </w:p>
        </w:tc>
        <w:tc>
          <w:tcPr>
            <w:tcW w:w="400" w:type="dxa"/>
            <w:vAlign w:val="bottom"/>
          </w:tcPr>
          <w:p>
            <w:pPr>
              <w:jc w:val="right"/>
              <w:ind w:right="40"/>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580" w:type="dxa"/>
            <w:vAlign w:val="bottom"/>
            <w:gridSpan w:val="2"/>
          </w:tcPr>
          <w:p>
            <w:pPr>
              <w:jc w:val="right"/>
              <w:ind w:right="40"/>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840" w:type="dxa"/>
            <w:vAlign w:val="bottom"/>
            <w:gridSpan w:val="3"/>
          </w:tcPr>
          <w:p>
            <w:pPr>
              <w:jc w:val="right"/>
              <w:ind w:right="20"/>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97"/>
        </w:trPr>
        <w:tc>
          <w:tcPr>
            <w:tcW w:w="5040" w:type="dxa"/>
            <w:vAlign w:val="bottom"/>
          </w:tcPr>
          <w:p>
            <w:pPr>
              <w:spacing w:after="0"/>
              <w:rPr>
                <w:sz w:val="8"/>
                <w:szCs w:val="8"/>
                <w:color w:val="auto"/>
              </w:rPr>
            </w:pPr>
          </w:p>
        </w:tc>
        <w:tc>
          <w:tcPr>
            <w:tcW w:w="400" w:type="dxa"/>
            <w:vAlign w:val="bottom"/>
            <w:tcBorders>
              <w:top w:val="single" w:sz="8" w:color="auto"/>
            </w:tcBorders>
          </w:tcPr>
          <w:p>
            <w:pPr>
              <w:jc w:val="right"/>
              <w:ind w:right="20"/>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180" w:type="dxa"/>
            <w:vAlign w:val="bottom"/>
          </w:tcPr>
          <w:p>
            <w:pPr>
              <w:spacing w:after="0"/>
              <w:rPr>
                <w:sz w:val="8"/>
                <w:szCs w:val="8"/>
                <w:color w:val="auto"/>
              </w:rPr>
            </w:pPr>
          </w:p>
        </w:tc>
        <w:tc>
          <w:tcPr>
            <w:tcW w:w="400" w:type="dxa"/>
            <w:vAlign w:val="bottom"/>
            <w:tcBorders>
              <w:top w:val="single" w:sz="8" w:color="auto"/>
            </w:tcBorders>
          </w:tcPr>
          <w:p>
            <w:pPr>
              <w:jc w:val="right"/>
              <w:ind w:right="20"/>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180" w:type="dxa"/>
            <w:vAlign w:val="bottom"/>
          </w:tcPr>
          <w:p>
            <w:pPr>
              <w:spacing w:after="0"/>
              <w:rPr>
                <w:sz w:val="8"/>
                <w:szCs w:val="8"/>
                <w:color w:val="auto"/>
              </w:rPr>
            </w:pPr>
          </w:p>
        </w:tc>
        <w:tc>
          <w:tcPr>
            <w:tcW w:w="680" w:type="dxa"/>
            <w:vAlign w:val="bottom"/>
            <w:tcBorders>
              <w:top w:val="single" w:sz="8" w:color="auto"/>
            </w:tcBorders>
            <w:gridSpan w:val="3"/>
          </w:tcPr>
          <w:p>
            <w:pPr>
              <w:ind w:left="120"/>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380" w:type="dxa"/>
            <w:vAlign w:val="bottom"/>
            <w:tcBorders>
              <w:top w:val="single" w:sz="8" w:color="auto"/>
            </w:tcBorders>
          </w:tcPr>
          <w:p>
            <w:pPr>
              <w:jc w:val="right"/>
              <w:ind w:right="57"/>
              <w:spacing w:after="0" w:line="97" w:lineRule="exact"/>
              <w:rPr>
                <w:sz w:val="20"/>
                <w:szCs w:val="20"/>
                <w:color w:val="auto"/>
              </w:rPr>
            </w:pPr>
            <w:r>
              <w:rPr>
                <w:rFonts w:ascii="Times New Roman" w:cs="Times New Roman" w:eastAsia="Times New Roman" w:hAnsi="Times New Roman"/>
                <w:sz w:val="10"/>
                <w:szCs w:val="10"/>
                <w:b w:val="1"/>
                <w:bCs w:val="1"/>
                <w:color w:val="auto"/>
              </w:rPr>
              <w:t>US$</w:t>
            </w:r>
          </w:p>
        </w:tc>
        <w:tc>
          <w:tcPr>
            <w:tcW w:w="40" w:type="dxa"/>
            <w:vAlign w:val="bottom"/>
          </w:tcPr>
          <w:p>
            <w:pPr>
              <w:spacing w:after="0"/>
              <w:rPr>
                <w:sz w:val="8"/>
                <w:szCs w:val="8"/>
                <w:color w:val="auto"/>
              </w:rPr>
            </w:pPr>
          </w:p>
        </w:tc>
      </w:tr>
      <w:tr>
        <w:trPr>
          <w:trHeight w:val="15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of revenues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2,443</w:t>
            </w:r>
          </w:p>
        </w:tc>
        <w:tc>
          <w:tcPr>
            <w:tcW w:w="1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Sales and marketing expenses</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743</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10,883</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18,327</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2,876</w:t>
            </w:r>
          </w:p>
        </w:tc>
        <w:tc>
          <w:tcPr>
            <w:tcW w:w="40" w:type="dxa"/>
            <w:vAlign w:val="bottom"/>
          </w:tcPr>
          <w:p>
            <w:pPr>
              <w:spacing w:after="0"/>
              <w:rPr>
                <w:sz w:val="13"/>
                <w:szCs w:val="13"/>
                <w:color w:val="auto"/>
              </w:rPr>
            </w:pPr>
          </w:p>
        </w:tc>
      </w:tr>
      <w:tr>
        <w:trPr>
          <w:trHeight w:val="15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8,520</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14,453</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71,147</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11,165</w:t>
            </w:r>
          </w:p>
        </w:tc>
        <w:tc>
          <w:tcPr>
            <w:tcW w:w="40" w:type="dxa"/>
            <w:vAlign w:val="bottom"/>
            <w:shd w:val="clear" w:color="auto" w:fill="CCEEFF"/>
          </w:tcPr>
          <w:p>
            <w:pPr>
              <w:spacing w:after="0"/>
              <w:rPr>
                <w:sz w:val="13"/>
                <w:szCs w:val="13"/>
                <w:color w:val="auto"/>
              </w:rPr>
            </w:pPr>
          </w:p>
        </w:tc>
      </w:tr>
      <w:tr>
        <w:trPr>
          <w:trHeight w:val="156"/>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Research and development expenses</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5,119</w:t>
            </w:r>
          </w:p>
        </w:tc>
        <w:tc>
          <w:tcPr>
            <w:tcW w:w="180" w:type="dxa"/>
            <w:vAlign w:val="bottom"/>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27,078</w:t>
            </w:r>
          </w:p>
        </w:tc>
        <w:tc>
          <w:tcPr>
            <w:tcW w:w="180" w:type="dxa"/>
            <w:vAlign w:val="bottom"/>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31,657</w:t>
            </w:r>
          </w:p>
        </w:tc>
        <w:tc>
          <w:tcPr>
            <w:tcW w:w="1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4,968</w:t>
            </w:r>
          </w:p>
        </w:tc>
        <w:tc>
          <w:tcPr>
            <w:tcW w:w="40" w:type="dxa"/>
            <w:vAlign w:val="bottom"/>
          </w:tcPr>
          <w:p>
            <w:pPr>
              <w:spacing w:after="0"/>
              <w:rPr>
                <w:sz w:val="13"/>
                <w:szCs w:val="13"/>
                <w:color w:val="auto"/>
              </w:rPr>
            </w:pPr>
          </w:p>
        </w:tc>
      </w:tr>
      <w:tr>
        <w:trPr>
          <w:trHeight w:val="164"/>
        </w:trPr>
        <w:tc>
          <w:tcPr>
            <w:tcW w:w="504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14,747</w:t>
            </w:r>
          </w:p>
        </w:tc>
        <w:tc>
          <w:tcPr>
            <w:tcW w:w="1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54,857</w:t>
            </w:r>
          </w:p>
        </w:tc>
        <w:tc>
          <w:tcPr>
            <w:tcW w:w="1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121,131</w:t>
            </w:r>
          </w:p>
        </w:tc>
        <w:tc>
          <w:tcPr>
            <w:tcW w:w="1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19,009</w:t>
            </w:r>
          </w:p>
        </w:tc>
        <w:tc>
          <w:tcPr>
            <w:tcW w:w="40" w:type="dxa"/>
            <w:vAlign w:val="bottom"/>
            <w:shd w:val="clear" w:color="auto" w:fill="CCEEFF"/>
          </w:tcPr>
          <w:p>
            <w:pPr>
              <w:spacing w:after="0"/>
              <w:rPr>
                <w:sz w:val="14"/>
                <w:szCs w:val="14"/>
                <w:color w:val="auto"/>
              </w:rPr>
            </w:pPr>
          </w:p>
        </w:tc>
      </w:tr>
    </w:tbl>
    <w:p>
      <w:pPr>
        <w:spacing w:after="0" w:line="258" w:lineRule="exact"/>
        <w:rPr>
          <w:sz w:val="20"/>
          <w:szCs w:val="20"/>
          <w:color w:val="auto"/>
        </w:rPr>
      </w:pPr>
    </w:p>
    <w:p>
      <w:pPr>
        <w:ind w:left="2000" w:right="7299" w:hanging="324"/>
        <w:spacing w:after="0" w:line="407" w:lineRule="auto"/>
        <w:tabs>
          <w:tab w:leader="none" w:pos="1994" w:val="left"/>
        </w:tabs>
        <w:numPr>
          <w:ilvl w:val="0"/>
          <w:numId w:val="13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Income Taxes </w:t>
      </w:r>
      <w:r>
        <w:rPr>
          <w:rFonts w:ascii="Times New Roman" w:cs="Times New Roman" w:eastAsia="Times New Roman" w:hAnsi="Times New Roman"/>
          <w:sz w:val="12"/>
          <w:szCs w:val="12"/>
          <w:b w:val="1"/>
          <w:bCs w:val="1"/>
          <w:i w:val="1"/>
          <w:iCs w:val="1"/>
          <w:color w:val="auto"/>
        </w:rPr>
        <w:t>Cayman Islands</w:t>
      </w:r>
    </w:p>
    <w:p>
      <w:pPr>
        <w:ind w:left="200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3"/>
          <w:szCs w:val="13"/>
          <w:color w:val="auto"/>
        </w:rPr>
        <w:t>Under the current laws of the Cayman Islands, the Company is not subject to tax on income or capital gain arising in Cayman Islands.</w:t>
      </w:r>
    </w:p>
    <w:p>
      <w:pPr>
        <w:spacing w:after="0" w:line="235" w:lineRule="exact"/>
        <w:rPr>
          <w:rFonts w:ascii="Times New Roman" w:cs="Times New Roman" w:eastAsia="Times New Roman" w:hAnsi="Times New Roman"/>
          <w:sz w:val="12"/>
          <w:szCs w:val="12"/>
          <w:b w:val="1"/>
          <w:bCs w:val="1"/>
          <w:color w:val="auto"/>
        </w:rPr>
      </w:pPr>
    </w:p>
    <w:p>
      <w:pPr>
        <w:ind w:left="200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3"/>
          <w:szCs w:val="13"/>
          <w:b w:val="1"/>
          <w:bCs w:val="1"/>
          <w:i w:val="1"/>
          <w:iCs w:val="1"/>
          <w:color w:val="auto"/>
        </w:rPr>
        <w:t>Austria</w:t>
      </w:r>
    </w:p>
    <w:p>
      <w:pPr>
        <w:spacing w:after="0" w:line="87" w:lineRule="exact"/>
        <w:rPr>
          <w:rFonts w:ascii="Times New Roman" w:cs="Times New Roman" w:eastAsia="Times New Roman" w:hAnsi="Times New Roman"/>
          <w:sz w:val="12"/>
          <w:szCs w:val="12"/>
          <w:b w:val="1"/>
          <w:bCs w:val="1"/>
          <w:color w:val="auto"/>
        </w:rPr>
      </w:pPr>
    </w:p>
    <w:p>
      <w:pPr>
        <w:ind w:left="200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3"/>
          <w:szCs w:val="13"/>
          <w:color w:val="auto"/>
        </w:rPr>
        <w:t>EHang GmbH is subject to Austria profits tax of 25% on its activities conducted in Austria.</w:t>
      </w:r>
    </w:p>
    <w:p>
      <w:pPr>
        <w:spacing w:after="0" w:line="235" w:lineRule="exact"/>
        <w:rPr>
          <w:rFonts w:ascii="Times New Roman" w:cs="Times New Roman" w:eastAsia="Times New Roman" w:hAnsi="Times New Roman"/>
          <w:sz w:val="12"/>
          <w:szCs w:val="12"/>
          <w:b w:val="1"/>
          <w:bCs w:val="1"/>
          <w:color w:val="auto"/>
        </w:rPr>
      </w:pPr>
    </w:p>
    <w:p>
      <w:pPr>
        <w:ind w:left="200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3"/>
          <w:szCs w:val="13"/>
          <w:b w:val="1"/>
          <w:bCs w:val="1"/>
          <w:i w:val="1"/>
          <w:iCs w:val="1"/>
          <w:color w:val="auto"/>
        </w:rPr>
        <w:t>France</w:t>
      </w:r>
    </w:p>
    <w:p>
      <w:pPr>
        <w:spacing w:after="0" w:line="87" w:lineRule="exact"/>
        <w:rPr>
          <w:rFonts w:ascii="Times New Roman" w:cs="Times New Roman" w:eastAsia="Times New Roman" w:hAnsi="Times New Roman"/>
          <w:sz w:val="12"/>
          <w:szCs w:val="12"/>
          <w:b w:val="1"/>
          <w:bCs w:val="1"/>
          <w:color w:val="auto"/>
        </w:rPr>
      </w:pPr>
    </w:p>
    <w:p>
      <w:pPr>
        <w:ind w:left="200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3"/>
          <w:szCs w:val="13"/>
          <w:color w:val="auto"/>
        </w:rPr>
        <w:t>EHang France is subject to France profits tax of 28% on its activities conducted in France.</w:t>
      </w:r>
    </w:p>
    <w:p>
      <w:pPr>
        <w:spacing w:after="0" w:line="235" w:lineRule="exact"/>
        <w:rPr>
          <w:rFonts w:ascii="Times New Roman" w:cs="Times New Roman" w:eastAsia="Times New Roman" w:hAnsi="Times New Roman"/>
          <w:sz w:val="12"/>
          <w:szCs w:val="12"/>
          <w:b w:val="1"/>
          <w:bCs w:val="1"/>
          <w:color w:val="auto"/>
        </w:rPr>
      </w:pPr>
    </w:p>
    <w:p>
      <w:pPr>
        <w:ind w:left="200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3"/>
          <w:szCs w:val="13"/>
          <w:b w:val="1"/>
          <w:bCs w:val="1"/>
          <w:i w:val="1"/>
          <w:iCs w:val="1"/>
          <w:color w:val="auto"/>
        </w:rPr>
        <w:t>Spain</w:t>
      </w:r>
    </w:p>
    <w:p>
      <w:pPr>
        <w:spacing w:after="0" w:line="87" w:lineRule="exact"/>
        <w:rPr>
          <w:rFonts w:ascii="Times New Roman" w:cs="Times New Roman" w:eastAsia="Times New Roman" w:hAnsi="Times New Roman"/>
          <w:sz w:val="12"/>
          <w:szCs w:val="12"/>
          <w:b w:val="1"/>
          <w:bCs w:val="1"/>
          <w:color w:val="auto"/>
        </w:rPr>
      </w:pPr>
    </w:p>
    <w:p>
      <w:pPr>
        <w:ind w:left="200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3"/>
          <w:szCs w:val="13"/>
          <w:color w:val="auto"/>
        </w:rPr>
        <w:t>EHang Spain is subject to Spain profits tax of 25% on its activities conducted in Spain.</w:t>
      </w:r>
    </w:p>
    <w:p>
      <w:pPr>
        <w:spacing w:after="0" w:line="235" w:lineRule="exact"/>
        <w:rPr>
          <w:rFonts w:ascii="Times New Roman" w:cs="Times New Roman" w:eastAsia="Times New Roman" w:hAnsi="Times New Roman"/>
          <w:sz w:val="12"/>
          <w:szCs w:val="12"/>
          <w:b w:val="1"/>
          <w:bCs w:val="1"/>
          <w:color w:val="auto"/>
        </w:rPr>
      </w:pPr>
    </w:p>
    <w:p>
      <w:pPr>
        <w:ind w:left="200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3"/>
          <w:szCs w:val="13"/>
          <w:b w:val="1"/>
          <w:bCs w:val="1"/>
          <w:i w:val="1"/>
          <w:iCs w:val="1"/>
          <w:color w:val="auto"/>
        </w:rPr>
        <w:t>Hong Kong</w:t>
      </w:r>
    </w:p>
    <w:p>
      <w:pPr>
        <w:spacing w:after="0" w:line="87" w:lineRule="exact"/>
        <w:rPr>
          <w:rFonts w:ascii="Times New Roman" w:cs="Times New Roman" w:eastAsia="Times New Roman" w:hAnsi="Times New Roman"/>
          <w:sz w:val="12"/>
          <w:szCs w:val="12"/>
          <w:b w:val="1"/>
          <w:bCs w:val="1"/>
          <w:color w:val="auto"/>
        </w:rPr>
      </w:pPr>
    </w:p>
    <w:p>
      <w:pPr>
        <w:ind w:left="2000" w:right="639"/>
        <w:spacing w:after="0" w:line="264"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3"/>
          <w:szCs w:val="13"/>
          <w:color w:val="auto"/>
        </w:rPr>
        <w:t>Ehfly and EHang HK are incorporated in Hong Kong and are subject to Hong Kong profits tax. Hong Kong profits tax for a corporation from the year of assessment 2018 and 2019 onwards is generally 8.25% on assessable profits up to HK$2.0 million; and 16.5% on any part of assessable profits over HK$2.0 million.</w:t>
      </w:r>
    </w:p>
    <w:p>
      <w:pPr>
        <w:spacing w:after="0" w:line="8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color w:val="auto"/>
        </w:rPr>
        <w:t>F- 47</w:t>
      </w:r>
    </w:p>
    <w:p>
      <w:pPr>
        <w:sectPr>
          <w:pgSz w:w="11900" w:h="16838" w:orient="portrait"/>
          <w:cols w:equalWidth="0" w:num="1">
            <w:col w:w="10159"/>
          </w:cols>
          <w:pgMar w:left="300" w:top="388" w:right="1440"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1">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 (CONTINUED)</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2">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7" w:lineRule="exact"/>
        <w:rPr>
          <w:sz w:val="20"/>
          <w:szCs w:val="20"/>
          <w:color w:val="auto"/>
        </w:rPr>
      </w:pPr>
    </w:p>
    <w:p>
      <w:pPr>
        <w:ind w:left="1980" w:hanging="304"/>
        <w:spacing w:after="0"/>
        <w:tabs>
          <w:tab w:leader="none" w:pos="1980" w:val="left"/>
        </w:tabs>
        <w:numPr>
          <w:ilvl w:val="0"/>
          <w:numId w:val="13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Income Taxes (Continued)</w:t>
      </w:r>
    </w:p>
    <w:p>
      <w:pPr>
        <w:spacing w:after="0" w:line="111" w:lineRule="exact"/>
        <w:rPr>
          <w:rFonts w:ascii="Times New Roman" w:cs="Times New Roman" w:eastAsia="Times New Roman" w:hAnsi="Times New Roman"/>
          <w:sz w:val="13"/>
          <w:szCs w:val="13"/>
          <w:b w:val="1"/>
          <w:bCs w:val="1"/>
          <w:color w:val="auto"/>
        </w:rPr>
      </w:pPr>
    </w:p>
    <w:p>
      <w:pPr>
        <w:ind w:left="2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i w:val="1"/>
          <w:iCs w:val="1"/>
          <w:color w:val="auto"/>
        </w:rPr>
        <w:t>PRC</w:t>
      </w:r>
    </w:p>
    <w:p>
      <w:pPr>
        <w:spacing w:after="0" w:line="87" w:lineRule="exact"/>
        <w:rPr>
          <w:rFonts w:ascii="Times New Roman" w:cs="Times New Roman" w:eastAsia="Times New Roman" w:hAnsi="Times New Roman"/>
          <w:sz w:val="13"/>
          <w:szCs w:val="13"/>
          <w:b w:val="1"/>
          <w:bCs w:val="1"/>
          <w:color w:val="auto"/>
        </w:rPr>
      </w:pPr>
    </w:p>
    <w:p>
      <w:pPr>
        <w:ind w:left="2000" w:right="619"/>
        <w:spacing w:after="0" w:line="264"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Company’s subsidiaries and VIEs and the subsidiaries of the VIEs in the PRC are subject to the statutory rate of 25%, in accordance with the Enterprise Income Tax law (the ‘‘EIT Law’’), which was effective since January 1, 2008 except for certain entities eligible for preferential tax rates.</w:t>
      </w:r>
    </w:p>
    <w:p>
      <w:pPr>
        <w:spacing w:after="0" w:line="51" w:lineRule="exact"/>
        <w:rPr>
          <w:rFonts w:ascii="Times New Roman" w:cs="Times New Roman" w:eastAsia="Times New Roman" w:hAnsi="Times New Roman"/>
          <w:sz w:val="13"/>
          <w:szCs w:val="13"/>
          <w:b w:val="1"/>
          <w:bCs w:val="1"/>
          <w:color w:val="auto"/>
        </w:rPr>
      </w:pPr>
    </w:p>
    <w:p>
      <w:pPr>
        <w:ind w:left="2000" w:right="719"/>
        <w:spacing w:after="0" w:line="255"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In accordance with the PRC Income Tax Laws, an enterprise awarded with the High and New Technology Enterprise (“HNTE”) certificate may enjoy a reduced EIT rate of 15%. EHang Intelligent was recognized as an HNTE in December 2017 and was eligible for a 15% preferential rate from 2017 to 2019. Reapplied its certificate in December 2020, EHang Intelligent is eligible for a 15% preferential rate from 2020 to 2022. EHang GZ was recognized as an HNTE in November 2016 and was eligible for a 15% preferential rate from 2016 to 2018. Reapplied its certificate in December 2019, EHang GZ is eligible for 15% preferential rate from 2019 to 2021. Guangdong EHang Egret Media Technology Co. Ltd. (“EHang Egret GD”) qualified as an HNTE from 2018 to 2020.</w:t>
      </w:r>
    </w:p>
    <w:p>
      <w:pPr>
        <w:spacing w:after="0" w:line="58" w:lineRule="exact"/>
        <w:rPr>
          <w:rFonts w:ascii="Times New Roman" w:cs="Times New Roman" w:eastAsia="Times New Roman" w:hAnsi="Times New Roman"/>
          <w:sz w:val="13"/>
          <w:szCs w:val="13"/>
          <w:b w:val="1"/>
          <w:bCs w:val="1"/>
          <w:color w:val="auto"/>
        </w:rPr>
      </w:pPr>
    </w:p>
    <w:p>
      <w:pPr>
        <w:ind w:left="2000" w:right="559"/>
        <w:spacing w:after="0" w:line="255"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From January 1, 2010 to December 31, 2020, the newly established enterprises in Xinjiang Kashgar and Khorgos, which are two special economic development zones belong to the Xinjiang Difficult Areas Key Encouraged Development Industry Enterprise Income Tax Preferential Catalogue (the ‘‘Catalogue’’), shall be exempted from corporate income tax for five years from the tax year in which the first operating income is obtained. Kashi EHang Egret Media Technology Co., Ltd. (“EHang Egret KS”) established in 2017, engaged in industries that belong to Software Development and Business Service Industry in the catalogue. As the first operating income generated in 2018, EHang Egret KS may enjoy a reduced EIT rate of 0%.</w:t>
      </w:r>
    </w:p>
    <w:p>
      <w:pPr>
        <w:spacing w:after="0" w:line="58" w:lineRule="exact"/>
        <w:rPr>
          <w:rFonts w:ascii="Times New Roman" w:cs="Times New Roman" w:eastAsia="Times New Roman" w:hAnsi="Times New Roman"/>
          <w:sz w:val="13"/>
          <w:szCs w:val="13"/>
          <w:b w:val="1"/>
          <w:bCs w:val="1"/>
          <w:color w:val="auto"/>
        </w:rPr>
      </w:pPr>
    </w:p>
    <w:p>
      <w:pPr>
        <w:ind w:left="2000" w:right="599"/>
        <w:spacing w:after="0" w:line="253"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According to a policy promulgated by the State Tax Bureau of the PRC and effective from 2008 onwards, enterprises engaged in R&amp;D activities are entitled to claim an additional tax deduction amounting to 50% of the qualified R&amp;D expenses incurred in determining its tax assessable profits for that year. The additional tax deduction amount of the qualified R&amp;D expenses has been increased from 50% to 75%, effective from 2018 to 2020, according to a new tax incentives policy promulgated by the State Tax Bureau of the PRC in September 2018 (“Super Deduction”). According to Announcement of the Ministry of Finance and the State Taxation Administration [2021] No.13 (“Circular 13”), manufacturing enterprise with qualified R&amp;D expenses could enjoy R&amp;D Super Deduction, i.e. to claim additional 100% R&amp;D expenses on top of those actually incurred. EHang Intelligent and Yunfu EHang were subject to 100% super deduction while R&amp;D expenses for other entities within the group remain deducted additionally at 75%.</w:t>
      </w:r>
    </w:p>
    <w:p>
      <w:pPr>
        <w:spacing w:after="0" w:line="62" w:lineRule="exact"/>
        <w:rPr>
          <w:rFonts w:ascii="Times New Roman" w:cs="Times New Roman" w:eastAsia="Times New Roman" w:hAnsi="Times New Roman"/>
          <w:sz w:val="13"/>
          <w:szCs w:val="13"/>
          <w:b w:val="1"/>
          <w:bCs w:val="1"/>
          <w:color w:val="auto"/>
        </w:rPr>
      </w:pPr>
    </w:p>
    <w:p>
      <w:pPr>
        <w:ind w:left="2000" w:right="679"/>
        <w:spacing w:after="0" w:line="259"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Dividends, interests, rent or royalties payable by the Company’s PRC subsidiaries, to non-PRC resident enterprises, and proceeds from any such non-resident enterprise investor’s disposition of assets (after deducting the net value of such assets) shall be subject to 10% withholding tax, unless the respective non-PRC resident enterprise’s jurisdiction of incorporation has a tax treaty or arrangements with China that provides for a reduced withholding tax rate or an exemption from withholding tax.</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color w:val="auto"/>
        </w:rPr>
        <w:t>F- 48</w:t>
      </w:r>
    </w:p>
    <w:p>
      <w:pPr>
        <w:sectPr>
          <w:pgSz w:w="11900" w:h="16838" w:orient="portrait"/>
          <w:cols w:equalWidth="0" w:num="1">
            <w:col w:w="10159"/>
          </w:cols>
          <w:pgMar w:left="300" w:top="388" w:right="1440"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3">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 (CONTINUED)</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4">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7" w:lineRule="exact"/>
        <w:rPr>
          <w:sz w:val="20"/>
          <w:szCs w:val="20"/>
          <w:color w:val="auto"/>
        </w:rPr>
      </w:pPr>
    </w:p>
    <w:p>
      <w:pPr>
        <w:ind w:left="1680"/>
        <w:spacing w:after="0"/>
        <w:tabs>
          <w:tab w:leader="none" w:pos="1960" w:val="left"/>
        </w:tabs>
        <w:rPr>
          <w:sz w:val="20"/>
          <w:szCs w:val="20"/>
          <w:color w:val="auto"/>
        </w:rPr>
      </w:pPr>
      <w:r>
        <w:rPr>
          <w:rFonts w:ascii="Times New Roman" w:cs="Times New Roman" w:eastAsia="Times New Roman" w:hAnsi="Times New Roman"/>
          <w:sz w:val="13"/>
          <w:szCs w:val="13"/>
          <w:b w:val="1"/>
          <w:bCs w:val="1"/>
          <w:color w:val="auto"/>
        </w:rPr>
        <w:t>16.</w:t>
        <w:tab/>
        <w:t>Income Taxes (Continued)</w:t>
      </w:r>
    </w:p>
    <w:p>
      <w:pPr>
        <w:spacing w:after="0" w:line="11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PRC (Continued)</w:t>
      </w:r>
    </w:p>
    <w:p>
      <w:pPr>
        <w:spacing w:after="0" w:line="11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Group’s loss before income taxes consisted of:</w:t>
      </w:r>
    </w:p>
    <w:p>
      <w:pPr>
        <w:spacing w:after="0" w:line="177" w:lineRule="exact"/>
        <w:rPr>
          <w:sz w:val="20"/>
          <w:szCs w:val="20"/>
          <w:color w:val="auto"/>
        </w:rPr>
      </w:pPr>
    </w:p>
    <w:tbl>
      <w:tblPr>
        <w:tblLayout w:type="fixed"/>
        <w:tblInd w:w="2000" w:type="dxa"/>
        <w:tblCellMar>
          <w:top w:w="0" w:type="dxa"/>
          <w:left w:w="0" w:type="dxa"/>
          <w:bottom w:w="0" w:type="dxa"/>
          <w:right w:w="0" w:type="dxa"/>
        </w:tblCellMar>
      </w:tblPr>
      <w:tr>
        <w:trPr>
          <w:trHeight w:val="124"/>
        </w:trPr>
        <w:tc>
          <w:tcPr>
            <w:tcW w:w="3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gridSpan w:val="7"/>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For the year ended December 31,</w:t>
            </w:r>
          </w:p>
        </w:tc>
        <w:tc>
          <w:tcPr>
            <w:tcW w:w="4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7"/>
        </w:trPr>
        <w:tc>
          <w:tcPr>
            <w:tcW w:w="3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ind w:left="200"/>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80" w:type="dxa"/>
            <w:vAlign w:val="bottom"/>
          </w:tcPr>
          <w:p>
            <w:pPr>
              <w:spacing w:after="0"/>
              <w:rPr>
                <w:sz w:val="8"/>
                <w:szCs w:val="8"/>
                <w:color w:val="auto"/>
              </w:rPr>
            </w:pPr>
          </w:p>
        </w:tc>
        <w:tc>
          <w:tcPr>
            <w:tcW w:w="820" w:type="dxa"/>
            <w:vAlign w:val="bottom"/>
            <w:gridSpan w:val="2"/>
          </w:tcPr>
          <w:p>
            <w:pPr>
              <w:ind w:left="400"/>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Pr>
          <w:p>
            <w:pPr>
              <w:spacing w:after="0"/>
              <w:rPr>
                <w:sz w:val="8"/>
                <w:szCs w:val="8"/>
                <w:color w:val="auto"/>
              </w:rPr>
            </w:pPr>
          </w:p>
        </w:tc>
        <w:tc>
          <w:tcPr>
            <w:tcW w:w="980" w:type="dxa"/>
            <w:vAlign w:val="bottom"/>
            <w:gridSpan w:val="4"/>
          </w:tcPr>
          <w:p>
            <w:pPr>
              <w:jc w:val="right"/>
              <w:ind w:right="80"/>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7"/>
        </w:trPr>
        <w:tc>
          <w:tcPr>
            <w:tcW w:w="3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Borders>
              <w:top w:val="single" w:sz="8" w:color="auto"/>
            </w:tcBorders>
          </w:tcPr>
          <w:p>
            <w:pPr>
              <w:ind w:left="180"/>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Borders>
              <w:top w:val="single" w:sz="8" w:color="auto"/>
            </w:tcBorders>
          </w:tcPr>
          <w:p>
            <w:pPr>
              <w:ind w:left="180"/>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Borders>
              <w:top w:val="single" w:sz="8" w:color="auto"/>
            </w:tcBorders>
            <w:gridSpan w:val="3"/>
          </w:tcPr>
          <w:p>
            <w:pPr>
              <w:jc w:val="right"/>
              <w:ind w:right="420"/>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440" w:type="dxa"/>
            <w:vAlign w:val="bottom"/>
            <w:tcBorders>
              <w:top w:val="single" w:sz="8" w:color="auto"/>
            </w:tcBorders>
          </w:tcPr>
          <w:p>
            <w:pPr>
              <w:jc w:val="right"/>
              <w:ind w:right="78"/>
              <w:spacing w:after="0" w:line="97" w:lineRule="exact"/>
              <w:rPr>
                <w:sz w:val="20"/>
                <w:szCs w:val="20"/>
                <w:color w:val="auto"/>
              </w:rPr>
            </w:pPr>
            <w:r>
              <w:rPr>
                <w:rFonts w:ascii="Times New Roman" w:cs="Times New Roman" w:eastAsia="Times New Roman" w:hAnsi="Times New Roman"/>
                <w:sz w:val="10"/>
                <w:szCs w:val="10"/>
                <w:b w:val="1"/>
                <w:bCs w:val="1"/>
                <w:color w:val="auto"/>
              </w:rPr>
              <w:t>US$</w:t>
            </w:r>
          </w:p>
        </w:tc>
        <w:tc>
          <w:tcPr>
            <w:tcW w:w="80" w:type="dxa"/>
            <w:vAlign w:val="bottom"/>
          </w:tcPr>
          <w:p>
            <w:pPr>
              <w:spacing w:after="0"/>
              <w:rPr>
                <w:sz w:val="8"/>
                <w:szCs w:val="8"/>
                <w:color w:val="auto"/>
              </w:rPr>
            </w:pPr>
          </w:p>
        </w:tc>
      </w:tr>
      <w:tr>
        <w:trPr>
          <w:trHeight w:val="15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PRC</w:t>
            </w:r>
          </w:p>
        </w:tc>
        <w:tc>
          <w:tcPr>
            <w:tcW w:w="9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(28,946)</w:t>
            </w:r>
          </w:p>
        </w:tc>
        <w:tc>
          <w:tcPr>
            <w:tcW w:w="9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(30,412)</w:t>
            </w:r>
          </w:p>
        </w:tc>
        <w:tc>
          <w:tcPr>
            <w:tcW w:w="78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(185,000)</w:t>
            </w:r>
          </w:p>
        </w:tc>
        <w:tc>
          <w:tcPr>
            <w:tcW w:w="2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(29,030)</w:t>
            </w:r>
          </w:p>
        </w:tc>
      </w:tr>
      <w:tr>
        <w:trPr>
          <w:trHeight w:val="156"/>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Non-PRC</w:t>
            </w:r>
          </w:p>
        </w:tc>
        <w:tc>
          <w:tcPr>
            <w:tcW w:w="260" w:type="dxa"/>
            <w:vAlign w:val="bottom"/>
          </w:tcPr>
          <w:p>
            <w:pPr>
              <w:spacing w:after="0"/>
              <w:rPr>
                <w:sz w:val="13"/>
                <w:szCs w:val="13"/>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(18,294)</w:t>
            </w:r>
          </w:p>
        </w:tc>
        <w:tc>
          <w:tcPr>
            <w:tcW w:w="900" w:type="dxa"/>
            <w:vAlign w:val="bottom"/>
            <w:gridSpan w:val="3"/>
          </w:tcPr>
          <w:p>
            <w:pPr>
              <w:ind w:left="420"/>
              <w:spacing w:after="0"/>
              <w:rPr>
                <w:sz w:val="20"/>
                <w:szCs w:val="20"/>
                <w:color w:val="auto"/>
              </w:rPr>
            </w:pPr>
            <w:r>
              <w:rPr>
                <w:rFonts w:ascii="Times New Roman" w:cs="Times New Roman" w:eastAsia="Times New Roman" w:hAnsi="Times New Roman"/>
                <w:sz w:val="13"/>
                <w:szCs w:val="13"/>
                <w:color w:val="auto"/>
              </w:rPr>
              <w:t>(61,423)</w:t>
            </w:r>
          </w:p>
        </w:tc>
        <w:tc>
          <w:tcPr>
            <w:tcW w:w="780" w:type="dxa"/>
            <w:vAlign w:val="bottom"/>
            <w:gridSpan w:val="3"/>
          </w:tcPr>
          <w:p>
            <w:pPr>
              <w:jc w:val="right"/>
              <w:ind w:right="2"/>
              <w:spacing w:after="0"/>
              <w:rPr>
                <w:sz w:val="20"/>
                <w:szCs w:val="20"/>
                <w:color w:val="auto"/>
              </w:rPr>
            </w:pPr>
            <w:r>
              <w:rPr>
                <w:rFonts w:ascii="Times New Roman" w:cs="Times New Roman" w:eastAsia="Times New Roman" w:hAnsi="Times New Roman"/>
                <w:sz w:val="13"/>
                <w:szCs w:val="13"/>
                <w:color w:val="auto"/>
              </w:rPr>
              <w:t>(128,762)</w:t>
            </w:r>
          </w:p>
        </w:tc>
        <w:tc>
          <w:tcPr>
            <w:tcW w:w="200" w:type="dxa"/>
            <w:vAlign w:val="bottom"/>
          </w:tcPr>
          <w:p>
            <w:pPr>
              <w:spacing w:after="0"/>
              <w:rPr>
                <w:sz w:val="13"/>
                <w:szCs w:val="13"/>
                <w:color w:val="auto"/>
              </w:rPr>
            </w:pPr>
          </w:p>
        </w:tc>
        <w:tc>
          <w:tcPr>
            <w:tcW w:w="52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rPr>
              <w:t>(20,206)</w:t>
            </w:r>
          </w:p>
        </w:tc>
      </w:tr>
      <w:tr>
        <w:trPr>
          <w:trHeight w:val="164"/>
        </w:trPr>
        <w:tc>
          <w:tcPr>
            <w:tcW w:w="39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3"/>
                <w:szCs w:val="13"/>
                <w:b w:val="1"/>
                <w:bCs w:val="1"/>
                <w:color w:val="auto"/>
                <w:w w:val="85"/>
              </w:rPr>
              <w:t>(47,240)</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3"/>
                <w:szCs w:val="13"/>
                <w:b w:val="1"/>
                <w:bCs w:val="1"/>
                <w:color w:val="auto"/>
                <w:w w:val="85"/>
              </w:rPr>
              <w:t>(91,835)</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shd w:val="clear" w:color="auto" w:fill="CCEEFF"/>
              </w:rPr>
              <w:t>(313,762</w:t>
            </w:r>
          </w:p>
        </w:tc>
        <w:tc>
          <w:tcPr>
            <w:tcW w:w="80" w:type="dxa"/>
            <w:vAlign w:val="bottom"/>
            <w:tcBorders>
              <w:top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8"/>
                <w:szCs w:val="8"/>
                <w:b w:val="1"/>
                <w:bCs w:val="1"/>
                <w:color w:val="auto"/>
                <w:w w:val="73"/>
                <w:shd w:val="clear" w:color="auto" w:fill="CCEEFF"/>
              </w:rPr>
              <w:t>)</w:t>
            </w:r>
          </w:p>
        </w:tc>
        <w:tc>
          <w:tcPr>
            <w:tcW w:w="2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shd w:val="clear" w:color="auto" w:fill="CCEEFF"/>
              </w:rPr>
              <w:t>(49,236</w:t>
            </w:r>
          </w:p>
        </w:tc>
        <w:tc>
          <w:tcPr>
            <w:tcW w:w="80" w:type="dxa"/>
            <w:vAlign w:val="bottom"/>
            <w:tcBorders>
              <w:top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8"/>
                <w:szCs w:val="8"/>
                <w:b w:val="1"/>
                <w:bCs w:val="1"/>
                <w:color w:val="auto"/>
                <w:w w:val="73"/>
                <w:shd w:val="clear" w:color="auto" w:fill="CCEEFF"/>
              </w:rPr>
              <w:t>)</w:t>
            </w:r>
          </w:p>
        </w:tc>
      </w:tr>
    </w:tbl>
    <w:p>
      <w:pPr>
        <w:spacing w:after="0" w:line="15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Income tax expense (benefit) comprises of:</w:t>
      </w:r>
    </w:p>
    <w:p>
      <w:pPr>
        <w:spacing w:after="0" w:line="177" w:lineRule="exact"/>
        <w:rPr>
          <w:sz w:val="20"/>
          <w:szCs w:val="20"/>
          <w:color w:val="auto"/>
        </w:rPr>
      </w:pPr>
    </w:p>
    <w:tbl>
      <w:tblPr>
        <w:tblLayout w:type="fixed"/>
        <w:tblInd w:w="2000" w:type="dxa"/>
        <w:tblCellMar>
          <w:top w:w="0" w:type="dxa"/>
          <w:left w:w="0" w:type="dxa"/>
          <w:bottom w:w="0" w:type="dxa"/>
          <w:right w:w="0" w:type="dxa"/>
        </w:tblCellMar>
      </w:tblPr>
      <w:tr>
        <w:trPr>
          <w:trHeight w:val="124"/>
        </w:trPr>
        <w:tc>
          <w:tcPr>
            <w:tcW w:w="44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6"/>
          </w:tcPr>
          <w:p>
            <w:pPr>
              <w:jc w:val="right"/>
              <w:ind w:right="2"/>
              <w:spacing w:after="0"/>
              <w:rPr>
                <w:sz w:val="20"/>
                <w:szCs w:val="20"/>
                <w:color w:val="auto"/>
              </w:rPr>
            </w:pPr>
            <w:r>
              <w:rPr>
                <w:rFonts w:ascii="Times New Roman" w:cs="Times New Roman" w:eastAsia="Times New Roman" w:hAnsi="Times New Roman"/>
                <w:sz w:val="10"/>
                <w:szCs w:val="10"/>
                <w:b w:val="1"/>
                <w:bCs w:val="1"/>
                <w:color w:val="auto"/>
              </w:rPr>
              <w:t>For the year ended December 31,</w:t>
            </w:r>
          </w:p>
        </w:tc>
        <w:tc>
          <w:tcPr>
            <w:tcW w:w="3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7"/>
        </w:trPr>
        <w:tc>
          <w:tcPr>
            <w:tcW w:w="4460" w:type="dxa"/>
            <w:vAlign w:val="bottom"/>
          </w:tcPr>
          <w:p>
            <w:pPr>
              <w:spacing w:after="0"/>
              <w:rPr>
                <w:sz w:val="8"/>
                <w:szCs w:val="8"/>
                <w:color w:val="auto"/>
              </w:rPr>
            </w:pPr>
          </w:p>
        </w:tc>
        <w:tc>
          <w:tcPr>
            <w:tcW w:w="620" w:type="dxa"/>
            <w:vAlign w:val="bottom"/>
            <w:tcBorders>
              <w:bottom w:val="single" w:sz="8" w:color="auto"/>
            </w:tcBorders>
            <w:gridSpan w:val="2"/>
          </w:tcPr>
          <w:p>
            <w:pPr>
              <w:jc w:val="right"/>
              <w:ind w:right="148"/>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340" w:type="dxa"/>
            <w:vAlign w:val="bottom"/>
          </w:tcPr>
          <w:p>
            <w:pPr>
              <w:spacing w:after="0"/>
              <w:rPr>
                <w:sz w:val="8"/>
                <w:szCs w:val="8"/>
                <w:color w:val="auto"/>
              </w:rPr>
            </w:pPr>
          </w:p>
        </w:tc>
        <w:tc>
          <w:tcPr>
            <w:tcW w:w="620" w:type="dxa"/>
            <w:vAlign w:val="bottom"/>
            <w:tcBorders>
              <w:bottom w:val="single" w:sz="8" w:color="auto"/>
            </w:tcBorders>
            <w:gridSpan w:val="2"/>
          </w:tcPr>
          <w:p>
            <w:pPr>
              <w:jc w:val="right"/>
              <w:ind w:right="168"/>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36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25"/>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r>
      <w:tr>
        <w:trPr>
          <w:trHeight w:val="97"/>
        </w:trPr>
        <w:tc>
          <w:tcPr>
            <w:tcW w:w="4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jc w:val="right"/>
              <w:ind w:right="128"/>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jc w:val="right"/>
              <w:ind w:right="148"/>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360" w:type="dxa"/>
            <w:vAlign w:val="bottom"/>
          </w:tcPr>
          <w:p>
            <w:pPr>
              <w:spacing w:after="0"/>
              <w:rPr>
                <w:sz w:val="8"/>
                <w:szCs w:val="8"/>
                <w:color w:val="auto"/>
              </w:rPr>
            </w:pPr>
          </w:p>
        </w:tc>
        <w:tc>
          <w:tcPr>
            <w:tcW w:w="240" w:type="dxa"/>
            <w:vAlign w:val="bottom"/>
            <w:gridSpan w:val="2"/>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w w:val="85"/>
              </w:rPr>
              <w:t>RMB</w:t>
            </w:r>
          </w:p>
        </w:tc>
        <w:tc>
          <w:tcPr>
            <w:tcW w:w="340" w:type="dxa"/>
            <w:vAlign w:val="bottom"/>
          </w:tcPr>
          <w:p>
            <w:pPr>
              <w:spacing w:after="0"/>
              <w:rPr>
                <w:sz w:val="8"/>
                <w:szCs w:val="8"/>
                <w:color w:val="auto"/>
              </w:rPr>
            </w:pPr>
          </w:p>
        </w:tc>
        <w:tc>
          <w:tcPr>
            <w:tcW w:w="280" w:type="dxa"/>
            <w:vAlign w:val="bottom"/>
            <w:gridSpan w:val="3"/>
          </w:tcPr>
          <w:p>
            <w:pPr>
              <w:ind w:left="20"/>
              <w:spacing w:after="0" w:line="97" w:lineRule="exact"/>
              <w:rPr>
                <w:sz w:val="20"/>
                <w:szCs w:val="20"/>
                <w:color w:val="auto"/>
              </w:rPr>
            </w:pPr>
            <w:r>
              <w:rPr>
                <w:rFonts w:ascii="Times New Roman" w:cs="Times New Roman" w:eastAsia="Times New Roman" w:hAnsi="Times New Roman"/>
                <w:sz w:val="10"/>
                <w:szCs w:val="10"/>
                <w:b w:val="1"/>
                <w:bCs w:val="1"/>
                <w:color w:val="auto"/>
              </w:rPr>
              <w:t>US$</w:t>
            </w:r>
          </w:p>
        </w:tc>
        <w:tc>
          <w:tcPr>
            <w:tcW w:w="40" w:type="dxa"/>
            <w:vAlign w:val="bottom"/>
          </w:tcPr>
          <w:p>
            <w:pPr>
              <w:spacing w:after="0"/>
              <w:rPr>
                <w:sz w:val="8"/>
                <w:szCs w:val="8"/>
                <w:color w:val="auto"/>
              </w:rPr>
            </w:pPr>
          </w:p>
        </w:tc>
      </w:tr>
      <w:tr>
        <w:trPr>
          <w:trHeight w:val="15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Income tax expenses (benefits) applicable to PRC operations</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6"/>
        </w:trPr>
        <w:tc>
          <w:tcPr>
            <w:tcW w:w="4460" w:type="dxa"/>
            <w:vAlign w:val="bottom"/>
          </w:tcPr>
          <w:p>
            <w:pPr>
              <w:spacing w:after="0"/>
              <w:rPr>
                <w:sz w:val="20"/>
                <w:szCs w:val="20"/>
                <w:color w:val="auto"/>
              </w:rPr>
            </w:pPr>
            <w:r>
              <w:rPr>
                <w:rFonts w:ascii="Times New Roman" w:cs="Times New Roman" w:eastAsia="Times New Roman" w:hAnsi="Times New Roman"/>
                <w:sz w:val="13"/>
                <w:szCs w:val="13"/>
                <w:color w:val="auto"/>
              </w:rPr>
              <w:t>Current income tax expenses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803</w:t>
            </w:r>
          </w:p>
        </w:tc>
        <w:tc>
          <w:tcPr>
            <w:tcW w:w="34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income tax (benefits) expenses</w:t>
            </w:r>
          </w:p>
        </w:tc>
        <w:tc>
          <w:tcPr>
            <w:tcW w:w="960" w:type="dxa"/>
            <w:vAlign w:val="bottom"/>
            <w:gridSpan w:val="3"/>
            <w:shd w:val="clear" w:color="auto" w:fill="CCEEFF"/>
          </w:tcPr>
          <w:p>
            <w:pPr>
              <w:jc w:val="right"/>
              <w:ind w:right="248"/>
              <w:spacing w:after="0"/>
              <w:rPr>
                <w:sz w:val="20"/>
                <w:szCs w:val="20"/>
                <w:color w:val="auto"/>
              </w:rPr>
            </w:pPr>
            <w:r>
              <w:rPr>
                <w:rFonts w:ascii="Times New Roman" w:cs="Times New Roman" w:eastAsia="Times New Roman" w:hAnsi="Times New Roman"/>
                <w:sz w:val="13"/>
                <w:szCs w:val="13"/>
                <w:color w:val="auto"/>
              </w:rPr>
              <w:t>(49)</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3"/>
                <w:szCs w:val="13"/>
                <w:color w:val="auto"/>
                <w:w w:val="76"/>
              </w:rPr>
              <w:t>—</w:t>
            </w:r>
          </w:p>
        </w:tc>
        <w:tc>
          <w:tcPr>
            <w:tcW w:w="340" w:type="dxa"/>
            <w:vAlign w:val="bottom"/>
            <w:shd w:val="clear" w:color="auto" w:fill="CCEEFF"/>
          </w:tcPr>
          <w:p>
            <w:pPr>
              <w:spacing w:after="0"/>
              <w:rPr>
                <w:sz w:val="13"/>
                <w:szCs w:val="13"/>
                <w:color w:val="auto"/>
              </w:rPr>
            </w:pPr>
          </w:p>
        </w:tc>
        <w:tc>
          <w:tcPr>
            <w:tcW w:w="3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4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Subtotal income tax expenses applicable to PRC operations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754</w:t>
            </w:r>
          </w:p>
        </w:tc>
        <w:tc>
          <w:tcPr>
            <w:tcW w:w="34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206</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113</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18</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Income tax expenses applicable to Non-PRC operations</w:t>
            </w: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6"/>
        </w:trPr>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Current income tax expenses</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Borders>
              <w:bottom w:val="single" w:sz="8" w:color="CCEEFF"/>
            </w:tcBorders>
            <w:gridSpan w:val="2"/>
          </w:tcPr>
          <w:p>
            <w:pPr>
              <w:spacing w:after="0"/>
              <w:rPr>
                <w:sz w:val="13"/>
                <w:szCs w:val="13"/>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w:t>
            </w:r>
          </w:p>
        </w:tc>
        <w:tc>
          <w:tcPr>
            <w:tcW w:w="380" w:type="dxa"/>
            <w:vAlign w:val="bottom"/>
            <w:tcBorders>
              <w:bottom w:val="single" w:sz="8" w:color="CCEEFF"/>
            </w:tcBorders>
            <w:gridSpan w:val="2"/>
          </w:tcPr>
          <w:p>
            <w:pPr>
              <w:spacing w:after="0"/>
              <w:rPr>
                <w:sz w:val="13"/>
                <w:szCs w:val="13"/>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r>
      <w:tr>
        <w:trPr>
          <w:trHeight w:val="136"/>
        </w:trPr>
        <w:tc>
          <w:tcPr>
            <w:tcW w:w="446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Subtotal income tax expenses applicable to Non-PRC operations</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64"/>
        </w:trPr>
        <w:tc>
          <w:tcPr>
            <w:tcW w:w="4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income tax expenses</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754</w:t>
            </w:r>
          </w:p>
        </w:tc>
        <w:tc>
          <w:tcPr>
            <w:tcW w:w="340" w:type="dxa"/>
            <w:vAlign w:val="bottom"/>
          </w:tcPr>
          <w:p>
            <w:pPr>
              <w:spacing w:after="0"/>
              <w:rPr>
                <w:sz w:val="14"/>
                <w:szCs w:val="14"/>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206</w:t>
            </w:r>
          </w:p>
        </w:tc>
        <w:tc>
          <w:tcPr>
            <w:tcW w:w="360" w:type="dxa"/>
            <w:vAlign w:val="bottom"/>
          </w:tcPr>
          <w:p>
            <w:pPr>
              <w:spacing w:after="0"/>
              <w:rPr>
                <w:sz w:val="14"/>
                <w:szCs w:val="14"/>
                <w:color w:val="auto"/>
              </w:rPr>
            </w:pPr>
          </w:p>
        </w:tc>
        <w:tc>
          <w:tcPr>
            <w:tcW w:w="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134</w:t>
            </w:r>
          </w:p>
        </w:tc>
        <w:tc>
          <w:tcPr>
            <w:tcW w:w="340" w:type="dxa"/>
            <w:vAlign w:val="bottom"/>
          </w:tcPr>
          <w:p>
            <w:pPr>
              <w:spacing w:after="0"/>
              <w:rPr>
                <w:sz w:val="14"/>
                <w:szCs w:val="14"/>
                <w:color w:val="auto"/>
              </w:rPr>
            </w:pPr>
          </w:p>
        </w:tc>
        <w:tc>
          <w:tcPr>
            <w:tcW w:w="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15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color w:val="auto"/>
        </w:rPr>
        <w:t>The reconciliations of the income tax expenses for the years ended December 31, 2019, 2020 and 2021 were as follows:</w:t>
      </w:r>
    </w:p>
    <w:p>
      <w:pPr>
        <w:spacing w:after="0" w:line="177" w:lineRule="exact"/>
        <w:rPr>
          <w:sz w:val="20"/>
          <w:szCs w:val="20"/>
          <w:color w:val="auto"/>
        </w:rPr>
      </w:pPr>
    </w:p>
    <w:tbl>
      <w:tblPr>
        <w:tblLayout w:type="fixed"/>
        <w:tblInd w:w="2000" w:type="dxa"/>
        <w:tblCellMar>
          <w:top w:w="0" w:type="dxa"/>
          <w:left w:w="0" w:type="dxa"/>
          <w:bottom w:w="0" w:type="dxa"/>
          <w:right w:w="0" w:type="dxa"/>
        </w:tblCellMar>
      </w:tblPr>
      <w:tr>
        <w:trPr>
          <w:trHeight w:val="124"/>
        </w:trPr>
        <w:tc>
          <w:tcPr>
            <w:tcW w:w="432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gridSpan w:val="5"/>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For the year ended December 31,</w:t>
            </w:r>
          </w:p>
        </w:tc>
        <w:tc>
          <w:tcPr>
            <w:tcW w:w="4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97"/>
        </w:trPr>
        <w:tc>
          <w:tcPr>
            <w:tcW w:w="4320" w:type="dxa"/>
            <w:vAlign w:val="bottom"/>
          </w:tcPr>
          <w:p>
            <w:pPr>
              <w:spacing w:after="0"/>
              <w:rPr>
                <w:sz w:val="8"/>
                <w:szCs w:val="8"/>
                <w:color w:val="auto"/>
              </w:rPr>
            </w:pPr>
          </w:p>
        </w:tc>
        <w:tc>
          <w:tcPr>
            <w:tcW w:w="440" w:type="dxa"/>
            <w:vAlign w:val="bottom"/>
          </w:tcPr>
          <w:p>
            <w:pPr>
              <w:jc w:val="right"/>
              <w:ind w:right="57"/>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60" w:type="dxa"/>
            <w:vAlign w:val="bottom"/>
          </w:tcPr>
          <w:p>
            <w:pPr>
              <w:spacing w:after="0"/>
              <w:rPr>
                <w:sz w:val="8"/>
                <w:szCs w:val="8"/>
                <w:color w:val="auto"/>
              </w:rPr>
            </w:pPr>
          </w:p>
        </w:tc>
        <w:tc>
          <w:tcPr>
            <w:tcW w:w="620" w:type="dxa"/>
            <w:vAlign w:val="bottom"/>
            <w:gridSpan w:val="2"/>
          </w:tcPr>
          <w:p>
            <w:pPr>
              <w:jc w:val="right"/>
              <w:ind w:right="60"/>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320" w:type="dxa"/>
            <w:vAlign w:val="bottom"/>
          </w:tcPr>
          <w:p>
            <w:pPr>
              <w:spacing w:after="0"/>
              <w:rPr>
                <w:sz w:val="8"/>
                <w:szCs w:val="8"/>
                <w:color w:val="auto"/>
              </w:rPr>
            </w:pPr>
          </w:p>
        </w:tc>
        <w:tc>
          <w:tcPr>
            <w:tcW w:w="840" w:type="dxa"/>
            <w:vAlign w:val="bottom"/>
            <w:gridSpan w:val="2"/>
          </w:tcPr>
          <w:p>
            <w:pPr>
              <w:jc w:val="right"/>
              <w:ind w:right="100"/>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97"/>
        </w:trPr>
        <w:tc>
          <w:tcPr>
            <w:tcW w:w="4320" w:type="dxa"/>
            <w:vAlign w:val="bottom"/>
          </w:tcPr>
          <w:p>
            <w:pPr>
              <w:spacing w:after="0"/>
              <w:rPr>
                <w:sz w:val="8"/>
                <w:szCs w:val="8"/>
                <w:color w:val="auto"/>
              </w:rPr>
            </w:pPr>
          </w:p>
        </w:tc>
        <w:tc>
          <w:tcPr>
            <w:tcW w:w="440" w:type="dxa"/>
            <w:vAlign w:val="bottom"/>
            <w:tcBorders>
              <w:top w:val="single" w:sz="8" w:color="auto"/>
            </w:tcBorders>
          </w:tcPr>
          <w:p>
            <w:pPr>
              <w:jc w:val="right"/>
              <w:ind w:right="37"/>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Borders>
              <w:top w:val="single" w:sz="8" w:color="auto"/>
            </w:tcBorders>
          </w:tcPr>
          <w:p>
            <w:pPr>
              <w:jc w:val="right"/>
              <w:ind w:right="60"/>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320" w:type="dxa"/>
            <w:vAlign w:val="bottom"/>
          </w:tcPr>
          <w:p>
            <w:pPr>
              <w:spacing w:after="0"/>
              <w:rPr>
                <w:sz w:val="8"/>
                <w:szCs w:val="8"/>
                <w:color w:val="auto"/>
              </w:rPr>
            </w:pPr>
          </w:p>
        </w:tc>
        <w:tc>
          <w:tcPr>
            <w:tcW w:w="840" w:type="dxa"/>
            <w:vAlign w:val="bottom"/>
            <w:tcBorders>
              <w:top w:val="single" w:sz="8" w:color="auto"/>
            </w:tcBorders>
            <w:gridSpan w:val="2"/>
          </w:tcPr>
          <w:p>
            <w:pPr>
              <w:jc w:val="right"/>
              <w:ind w:right="460"/>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460" w:type="dxa"/>
            <w:vAlign w:val="bottom"/>
            <w:tcBorders>
              <w:top w:val="single" w:sz="8" w:color="auto"/>
            </w:tcBorders>
          </w:tcPr>
          <w:p>
            <w:pPr>
              <w:jc w:val="right"/>
              <w:ind w:right="76"/>
              <w:spacing w:after="0" w:line="97" w:lineRule="exact"/>
              <w:rPr>
                <w:sz w:val="20"/>
                <w:szCs w:val="20"/>
                <w:color w:val="auto"/>
              </w:rPr>
            </w:pPr>
            <w:r>
              <w:rPr>
                <w:rFonts w:ascii="Times New Roman" w:cs="Times New Roman" w:eastAsia="Times New Roman" w:hAnsi="Times New Roman"/>
                <w:sz w:val="10"/>
                <w:szCs w:val="10"/>
                <w:b w:val="1"/>
                <w:bCs w:val="1"/>
                <w:color w:val="auto"/>
              </w:rPr>
              <w:t>US$</w:t>
            </w:r>
          </w:p>
        </w:tc>
        <w:tc>
          <w:tcPr>
            <w:tcW w:w="140" w:type="dxa"/>
            <w:vAlign w:val="bottom"/>
          </w:tcPr>
          <w:p>
            <w:pPr>
              <w:spacing w:after="0"/>
              <w:rPr>
                <w:sz w:val="8"/>
                <w:szCs w:val="8"/>
                <w:color w:val="auto"/>
              </w:rPr>
            </w:pPr>
          </w:p>
        </w:tc>
      </w:tr>
      <w:tr>
        <w:trPr>
          <w:trHeight w:val="15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 before income tax expense</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(47,240)</w:t>
            </w:r>
          </w:p>
        </w:tc>
        <w:tc>
          <w:tcPr>
            <w:tcW w:w="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(91,835)</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(313,762)</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(49,236)</w:t>
            </w:r>
          </w:p>
        </w:tc>
      </w:tr>
      <w:tr>
        <w:trPr>
          <w:trHeight w:val="156"/>
        </w:trPr>
        <w:tc>
          <w:tcPr>
            <w:tcW w:w="4320" w:type="dxa"/>
            <w:vAlign w:val="bottom"/>
          </w:tcPr>
          <w:p>
            <w:pPr>
              <w:spacing w:after="0"/>
              <w:rPr>
                <w:sz w:val="20"/>
                <w:szCs w:val="20"/>
                <w:color w:val="auto"/>
              </w:rPr>
            </w:pPr>
            <w:r>
              <w:rPr>
                <w:rFonts w:ascii="Times New Roman" w:cs="Times New Roman" w:eastAsia="Times New Roman" w:hAnsi="Times New Roman"/>
                <w:sz w:val="13"/>
                <w:szCs w:val="13"/>
                <w:color w:val="auto"/>
              </w:rPr>
              <w:t>PRC statutory tax rate</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25%</w:t>
            </w: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25%</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25%</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25%</w:t>
            </w:r>
          </w:p>
        </w:tc>
      </w:tr>
      <w:tr>
        <w:trPr>
          <w:trHeight w:val="15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 benefits at PRC statutory tax rate of 25%</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(11,810)</w:t>
            </w:r>
          </w:p>
        </w:tc>
        <w:tc>
          <w:tcPr>
            <w:tcW w:w="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(22,959)</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(78,440)</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(12,309)</w:t>
            </w:r>
          </w:p>
        </w:tc>
      </w:tr>
      <w:tr>
        <w:trPr>
          <w:trHeight w:val="156"/>
        </w:trPr>
        <w:tc>
          <w:tcPr>
            <w:tcW w:w="4320" w:type="dxa"/>
            <w:vAlign w:val="bottom"/>
          </w:tcPr>
          <w:p>
            <w:pPr>
              <w:spacing w:after="0"/>
              <w:rPr>
                <w:sz w:val="20"/>
                <w:szCs w:val="20"/>
                <w:color w:val="auto"/>
              </w:rPr>
            </w:pPr>
            <w:r>
              <w:rPr>
                <w:rFonts w:ascii="Times New Roman" w:cs="Times New Roman" w:eastAsia="Times New Roman" w:hAnsi="Times New Roman"/>
                <w:sz w:val="13"/>
                <w:szCs w:val="13"/>
                <w:color w:val="auto"/>
              </w:rPr>
              <w:t>Effect of different tax rates in different jurisdictions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4,430</w:t>
            </w:r>
          </w:p>
        </w:tc>
        <w:tc>
          <w:tcPr>
            <w:tcW w:w="16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14,347</w:t>
            </w:r>
          </w:p>
        </w:tc>
        <w:tc>
          <w:tcPr>
            <w:tcW w:w="3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31,370</w:t>
            </w:r>
          </w:p>
        </w:tc>
        <w:tc>
          <w:tcPr>
            <w:tcW w:w="3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4,923</w:t>
            </w:r>
          </w:p>
        </w:tc>
        <w:tc>
          <w:tcPr>
            <w:tcW w:w="140" w:type="dxa"/>
            <w:vAlign w:val="bottom"/>
          </w:tcPr>
          <w:p>
            <w:pPr>
              <w:spacing w:after="0"/>
              <w:rPr>
                <w:sz w:val="13"/>
                <w:szCs w:val="13"/>
                <w:color w:val="auto"/>
              </w:rPr>
            </w:pPr>
          </w:p>
        </w:tc>
      </w:tr>
      <w:tr>
        <w:trPr>
          <w:trHeight w:val="15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Non-deductible expenses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736</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1,195</w:t>
            </w:r>
          </w:p>
        </w:tc>
        <w:tc>
          <w:tcPr>
            <w:tcW w:w="3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5,455</w:t>
            </w:r>
          </w:p>
        </w:tc>
        <w:tc>
          <w:tcPr>
            <w:tcW w:w="3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856</w:t>
            </w:r>
          </w:p>
        </w:tc>
        <w:tc>
          <w:tcPr>
            <w:tcW w:w="140" w:type="dxa"/>
            <w:vAlign w:val="bottom"/>
            <w:shd w:val="clear" w:color="auto" w:fill="CCEEFF"/>
          </w:tcPr>
          <w:p>
            <w:pPr>
              <w:spacing w:after="0"/>
              <w:rPr>
                <w:sz w:val="13"/>
                <w:szCs w:val="13"/>
                <w:color w:val="auto"/>
              </w:rPr>
            </w:pPr>
          </w:p>
        </w:tc>
      </w:tr>
      <w:tr>
        <w:trPr>
          <w:trHeight w:val="156"/>
        </w:trPr>
        <w:tc>
          <w:tcPr>
            <w:tcW w:w="4320" w:type="dxa"/>
            <w:vAlign w:val="bottom"/>
          </w:tcPr>
          <w:p>
            <w:pPr>
              <w:spacing w:after="0"/>
              <w:rPr>
                <w:sz w:val="20"/>
                <w:szCs w:val="20"/>
                <w:color w:val="auto"/>
              </w:rPr>
            </w:pPr>
            <w:r>
              <w:rPr>
                <w:rFonts w:ascii="Times New Roman" w:cs="Times New Roman" w:eastAsia="Times New Roman" w:hAnsi="Times New Roman"/>
                <w:sz w:val="13"/>
                <w:szCs w:val="13"/>
                <w:color w:val="auto"/>
              </w:rPr>
              <w:t>Additional deduction for qualified R&amp;D expenses</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(9,317)</w:t>
            </w:r>
          </w:p>
        </w:tc>
        <w:tc>
          <w:tcPr>
            <w:tcW w:w="94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(13,646)</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(24,197)</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(3,797)</w:t>
            </w:r>
          </w:p>
        </w:tc>
      </w:tr>
      <w:tr>
        <w:trPr>
          <w:trHeight w:val="15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Effect on adoption of preferential tax rate</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(541)</w:t>
            </w:r>
          </w:p>
        </w:tc>
        <w:tc>
          <w:tcPr>
            <w:tcW w:w="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3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CEEFF"/>
          </w:tcPr>
          <w:p>
            <w:pPr>
              <w:spacing w:after="0"/>
              <w:rPr>
                <w:sz w:val="13"/>
                <w:szCs w:val="13"/>
                <w:color w:val="auto"/>
              </w:rPr>
            </w:pPr>
          </w:p>
        </w:tc>
      </w:tr>
      <w:tr>
        <w:trPr>
          <w:trHeight w:val="156"/>
        </w:trPr>
        <w:tc>
          <w:tcPr>
            <w:tcW w:w="4320" w:type="dxa"/>
            <w:vAlign w:val="bottom"/>
          </w:tcPr>
          <w:p>
            <w:pPr>
              <w:spacing w:after="0"/>
              <w:rPr>
                <w:sz w:val="20"/>
                <w:szCs w:val="20"/>
                <w:color w:val="auto"/>
              </w:rPr>
            </w:pPr>
            <w:r>
              <w:rPr>
                <w:rFonts w:ascii="Times New Roman" w:cs="Times New Roman" w:eastAsia="Times New Roman" w:hAnsi="Times New Roman"/>
                <w:sz w:val="13"/>
                <w:szCs w:val="13"/>
                <w:color w:val="auto"/>
              </w:rPr>
              <w:t>Changes in tax rate in measurement of deferred tax</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3,345</w:t>
            </w:r>
          </w:p>
        </w:tc>
        <w:tc>
          <w:tcPr>
            <w:tcW w:w="32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Statutory expense</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(4,545)</w:t>
            </w:r>
          </w:p>
        </w:tc>
        <w:tc>
          <w:tcPr>
            <w:tcW w:w="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(1,855)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2,636</w:t>
            </w:r>
          </w:p>
        </w:tc>
        <w:tc>
          <w:tcPr>
            <w:tcW w:w="3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w:t>
            </w:r>
          </w:p>
        </w:tc>
        <w:tc>
          <w:tcPr>
            <w:tcW w:w="140" w:type="dxa"/>
            <w:vAlign w:val="bottom"/>
            <w:shd w:val="clear" w:color="auto" w:fill="CCEEFF"/>
          </w:tcPr>
          <w:p>
            <w:pPr>
              <w:spacing w:after="0"/>
              <w:rPr>
                <w:sz w:val="13"/>
                <w:szCs w:val="13"/>
                <w:color w:val="auto"/>
              </w:rPr>
            </w:pPr>
          </w:p>
        </w:tc>
      </w:tr>
      <w:tr>
        <w:trPr>
          <w:trHeight w:val="156"/>
        </w:trPr>
        <w:tc>
          <w:tcPr>
            <w:tcW w:w="4320" w:type="dxa"/>
            <w:vAlign w:val="bottom"/>
          </w:tcPr>
          <w:p>
            <w:pPr>
              <w:spacing w:after="0"/>
              <w:rPr>
                <w:sz w:val="20"/>
                <w:szCs w:val="20"/>
                <w:color w:val="auto"/>
              </w:rPr>
            </w:pPr>
            <w:r>
              <w:rPr>
                <w:rFonts w:ascii="Times New Roman" w:cs="Times New Roman" w:eastAsia="Times New Roman" w:hAnsi="Times New Roman"/>
                <w:sz w:val="13"/>
                <w:szCs w:val="13"/>
                <w:color w:val="auto"/>
              </w:rPr>
              <w:t>Others</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(36)</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3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3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40" w:type="dxa"/>
            <w:vAlign w:val="bottom"/>
          </w:tcPr>
          <w:p>
            <w:pPr>
              <w:spacing w:after="0"/>
              <w:rPr>
                <w:sz w:val="13"/>
                <w:szCs w:val="13"/>
                <w:color w:val="auto"/>
              </w:rPr>
            </w:pPr>
          </w:p>
        </w:tc>
      </w:tr>
      <w:tr>
        <w:trPr>
          <w:trHeight w:val="15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valuation allowance</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21,837</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19,658</w:t>
            </w:r>
          </w:p>
        </w:tc>
        <w:tc>
          <w:tcPr>
            <w:tcW w:w="3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63,154</w:t>
            </w:r>
          </w:p>
        </w:tc>
        <w:tc>
          <w:tcPr>
            <w:tcW w:w="3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9,910</w:t>
            </w:r>
          </w:p>
        </w:tc>
        <w:tc>
          <w:tcPr>
            <w:tcW w:w="140" w:type="dxa"/>
            <w:vAlign w:val="bottom"/>
            <w:shd w:val="clear" w:color="auto" w:fill="CCEEFF"/>
          </w:tcPr>
          <w:p>
            <w:pPr>
              <w:spacing w:after="0"/>
              <w:rPr>
                <w:sz w:val="13"/>
                <w:szCs w:val="13"/>
                <w:color w:val="auto"/>
              </w:rPr>
            </w:pPr>
          </w:p>
        </w:tc>
      </w:tr>
      <w:tr>
        <w:trPr>
          <w:trHeight w:val="164"/>
        </w:trPr>
        <w:tc>
          <w:tcPr>
            <w:tcW w:w="4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Income tax expenses</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754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206</w:t>
            </w:r>
          </w:p>
        </w:tc>
        <w:tc>
          <w:tcPr>
            <w:tcW w:w="32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134</w:t>
            </w:r>
          </w:p>
        </w:tc>
        <w:tc>
          <w:tcPr>
            <w:tcW w:w="32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w:t>
            </w:r>
          </w:p>
        </w:tc>
        <w:tc>
          <w:tcPr>
            <w:tcW w:w="140" w:type="dxa"/>
            <w:vAlign w:val="bottom"/>
          </w:tcPr>
          <w:p>
            <w:pPr>
              <w:spacing w:after="0"/>
              <w:rPr>
                <w:sz w:val="14"/>
                <w:szCs w:val="14"/>
                <w:color w:val="auto"/>
              </w:rPr>
            </w:pPr>
          </w:p>
        </w:tc>
      </w:tr>
      <w:tr>
        <w:trPr>
          <w:trHeight w:val="151"/>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Effect of preferential tax rate inside the PRC on basic and dilutive loss</w:t>
            </w: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0"/>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r>
      <w:tr>
        <w:trPr>
          <w:trHeight w:val="271"/>
        </w:trPr>
        <w:tc>
          <w:tcPr>
            <w:tcW w:w="4320" w:type="dxa"/>
            <w:vAlign w:val="bottom"/>
          </w:tcPr>
          <w:p>
            <w:pPr>
              <w:ind w:left="3500"/>
              <w:spacing w:after="0"/>
              <w:rPr>
                <w:sz w:val="20"/>
                <w:szCs w:val="20"/>
                <w:color w:val="auto"/>
              </w:rPr>
            </w:pPr>
            <w:r>
              <w:rPr>
                <w:rFonts w:ascii="Times New Roman" w:cs="Times New Roman" w:eastAsia="Times New Roman" w:hAnsi="Times New Roman"/>
                <w:sz w:val="13"/>
                <w:szCs w:val="13"/>
                <w:color w:val="auto"/>
              </w:rPr>
              <w:t>F- 49</w:t>
            </w:r>
          </w:p>
        </w:tc>
        <w:tc>
          <w:tcPr>
            <w:tcW w:w="44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r>
    </w:tbl>
    <w:p>
      <w:pPr>
        <w:sectPr>
          <w:pgSz w:w="11900" w:h="16838" w:orient="portrait"/>
          <w:cols w:equalWidth="0" w:num="1">
            <w:col w:w="10159"/>
          </w:cols>
          <w:pgMar w:left="300" w:top="388" w:right="1440"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5">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 (CONTINUED)</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6">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7" w:lineRule="exact"/>
        <w:rPr>
          <w:sz w:val="20"/>
          <w:szCs w:val="20"/>
          <w:color w:val="auto"/>
        </w:rPr>
      </w:pPr>
    </w:p>
    <w:p>
      <w:pPr>
        <w:ind w:left="2000" w:right="6719" w:hanging="324"/>
        <w:spacing w:after="0" w:line="458" w:lineRule="auto"/>
        <w:tabs>
          <w:tab w:leader="none" w:pos="1994" w:val="left"/>
        </w:tabs>
        <w:numPr>
          <w:ilvl w:val="0"/>
          <w:numId w:val="13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Income Taxes (Continued) </w:t>
      </w:r>
      <w:r>
        <w:rPr>
          <w:rFonts w:ascii="Times New Roman" w:cs="Times New Roman" w:eastAsia="Times New Roman" w:hAnsi="Times New Roman"/>
          <w:sz w:val="12"/>
          <w:szCs w:val="12"/>
          <w:b w:val="1"/>
          <w:bCs w:val="1"/>
          <w:i w:val="1"/>
          <w:iCs w:val="1"/>
          <w:color w:val="auto"/>
        </w:rPr>
        <w:t>PRC (Continued)</w:t>
      </w:r>
    </w:p>
    <w:p>
      <w:pPr>
        <w:ind w:left="200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3"/>
          <w:szCs w:val="13"/>
          <w:color w:val="auto"/>
        </w:rPr>
        <w:t>The significant components of the Group’s deferred tax assets were as follows:</w:t>
      </w:r>
    </w:p>
    <w:p>
      <w:pPr>
        <w:spacing w:after="0" w:line="177" w:lineRule="exact"/>
        <w:rPr>
          <w:sz w:val="20"/>
          <w:szCs w:val="20"/>
          <w:color w:val="auto"/>
        </w:rPr>
      </w:pPr>
    </w:p>
    <w:tbl>
      <w:tblPr>
        <w:tblLayout w:type="fixed"/>
        <w:tblInd w:w="2320" w:type="dxa"/>
        <w:tblCellMar>
          <w:top w:w="0" w:type="dxa"/>
          <w:left w:w="0" w:type="dxa"/>
          <w:bottom w:w="0" w:type="dxa"/>
          <w:right w:w="0" w:type="dxa"/>
        </w:tblCellMar>
      </w:tblPr>
      <w:tr>
        <w:trPr>
          <w:trHeight w:val="124"/>
        </w:trPr>
        <w:tc>
          <w:tcPr>
            <w:tcW w:w="4820" w:type="dxa"/>
            <w:vAlign w:val="bottom"/>
          </w:tcPr>
          <w:p>
            <w:pPr>
              <w:spacing w:after="0"/>
              <w:rPr>
                <w:sz w:val="10"/>
                <w:szCs w:val="10"/>
                <w:color w:val="auto"/>
              </w:rPr>
            </w:pPr>
          </w:p>
        </w:tc>
        <w:tc>
          <w:tcPr>
            <w:tcW w:w="13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As of December 31,</w:t>
            </w:r>
          </w:p>
        </w:tc>
        <w:tc>
          <w:tcPr>
            <w:tcW w:w="4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7"/>
        </w:trPr>
        <w:tc>
          <w:tcPr>
            <w:tcW w:w="4820" w:type="dxa"/>
            <w:vAlign w:val="bottom"/>
          </w:tcPr>
          <w:p>
            <w:pPr>
              <w:spacing w:after="0"/>
              <w:rPr>
                <w:sz w:val="8"/>
                <w:szCs w:val="8"/>
                <w:color w:val="auto"/>
              </w:rPr>
            </w:pPr>
          </w:p>
        </w:tc>
        <w:tc>
          <w:tcPr>
            <w:tcW w:w="520" w:type="dxa"/>
            <w:vAlign w:val="bottom"/>
            <w:tcBorders>
              <w:bottom w:val="single" w:sz="8" w:color="auto"/>
            </w:tcBorders>
          </w:tcPr>
          <w:p>
            <w:pPr>
              <w:jc w:val="right"/>
              <w:ind w:right="98"/>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140" w:type="dxa"/>
            <w:vAlign w:val="bottom"/>
          </w:tcPr>
          <w:p>
            <w:pPr>
              <w:spacing w:after="0"/>
              <w:rPr>
                <w:sz w:val="8"/>
                <w:szCs w:val="8"/>
                <w:color w:val="auto"/>
              </w:rPr>
            </w:pPr>
          </w:p>
        </w:tc>
        <w:tc>
          <w:tcPr>
            <w:tcW w:w="680" w:type="dxa"/>
            <w:vAlign w:val="bottom"/>
            <w:tcBorders>
              <w:bottom w:val="single" w:sz="8" w:color="auto"/>
            </w:tcBorders>
            <w:gridSpan w:val="2"/>
          </w:tcPr>
          <w:p>
            <w:pPr>
              <w:jc w:val="right"/>
              <w:ind w:right="20"/>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4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97"/>
        </w:trPr>
        <w:tc>
          <w:tcPr>
            <w:tcW w:w="4820" w:type="dxa"/>
            <w:vAlign w:val="bottom"/>
          </w:tcPr>
          <w:p>
            <w:pPr>
              <w:spacing w:after="0"/>
              <w:rPr>
                <w:sz w:val="8"/>
                <w:szCs w:val="8"/>
                <w:color w:val="auto"/>
              </w:rPr>
            </w:pPr>
          </w:p>
        </w:tc>
        <w:tc>
          <w:tcPr>
            <w:tcW w:w="520" w:type="dxa"/>
            <w:vAlign w:val="bottom"/>
          </w:tcPr>
          <w:p>
            <w:pPr>
              <w:jc w:val="right"/>
              <w:ind w:right="78"/>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140" w:type="dxa"/>
            <w:vAlign w:val="bottom"/>
          </w:tcPr>
          <w:p>
            <w:pPr>
              <w:spacing w:after="0"/>
              <w:rPr>
                <w:sz w:val="8"/>
                <w:szCs w:val="8"/>
                <w:color w:val="auto"/>
              </w:rPr>
            </w:pPr>
          </w:p>
        </w:tc>
        <w:tc>
          <w:tcPr>
            <w:tcW w:w="680" w:type="dxa"/>
            <w:vAlign w:val="bottom"/>
            <w:gridSpan w:val="2"/>
          </w:tcPr>
          <w:p>
            <w:pPr>
              <w:jc w:val="right"/>
              <w:ind w:right="300"/>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420" w:type="dxa"/>
            <w:vAlign w:val="bottom"/>
          </w:tcPr>
          <w:p>
            <w:pPr>
              <w:jc w:val="right"/>
              <w:ind w:right="76"/>
              <w:spacing w:after="0" w:line="97" w:lineRule="exact"/>
              <w:rPr>
                <w:sz w:val="20"/>
                <w:szCs w:val="20"/>
                <w:color w:val="auto"/>
              </w:rPr>
            </w:pPr>
            <w:r>
              <w:rPr>
                <w:rFonts w:ascii="Times New Roman" w:cs="Times New Roman" w:eastAsia="Times New Roman" w:hAnsi="Times New Roman"/>
                <w:sz w:val="10"/>
                <w:szCs w:val="10"/>
                <w:b w:val="1"/>
                <w:bCs w:val="1"/>
                <w:color w:val="auto"/>
              </w:rPr>
              <w:t>US$</w:t>
            </w:r>
          </w:p>
        </w:tc>
        <w:tc>
          <w:tcPr>
            <w:tcW w:w="80" w:type="dxa"/>
            <w:vAlign w:val="bottom"/>
          </w:tcPr>
          <w:p>
            <w:pPr>
              <w:spacing w:after="0"/>
              <w:rPr>
                <w:sz w:val="8"/>
                <w:szCs w:val="8"/>
                <w:color w:val="auto"/>
              </w:rPr>
            </w:pPr>
          </w:p>
        </w:tc>
      </w:tr>
      <w:tr>
        <w:trPr>
          <w:trHeight w:val="15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Non-current deferred tax assets</w:t>
            </w: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Inventory provision</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7,360</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7,172</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1,125</w:t>
            </w:r>
          </w:p>
        </w:tc>
      </w:tr>
      <w:tr>
        <w:trPr>
          <w:trHeight w:val="15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Welfare payables</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4,308</w:t>
            </w:r>
          </w:p>
        </w:tc>
        <w:tc>
          <w:tcPr>
            <w:tcW w:w="6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5,807</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911</w:t>
            </w:r>
          </w:p>
        </w:tc>
      </w:tr>
      <w:tr>
        <w:trPr>
          <w:trHeight w:val="156"/>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1,354</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1,329</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209</w:t>
            </w:r>
          </w:p>
        </w:tc>
      </w:tr>
      <w:tr>
        <w:trPr>
          <w:trHeight w:val="15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Allowance for doubtful accounts</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3,047</w:t>
            </w:r>
          </w:p>
        </w:tc>
        <w:tc>
          <w:tcPr>
            <w:tcW w:w="6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17,376</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2,727</w:t>
            </w:r>
          </w:p>
        </w:tc>
      </w:tr>
      <w:tr>
        <w:trPr>
          <w:trHeight w:val="156"/>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Deferred government subsidies</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35</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15</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w:t>
            </w:r>
          </w:p>
        </w:tc>
      </w:tr>
      <w:tr>
        <w:trPr>
          <w:trHeight w:val="15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Intangible assets</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43</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w:t>
            </w:r>
          </w:p>
        </w:tc>
      </w:tr>
      <w:tr>
        <w:trPr>
          <w:trHeight w:val="156"/>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Unrealized loss on long-term investment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69</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w:t>
            </w:r>
          </w:p>
        </w:tc>
      </w:tr>
      <w:tr>
        <w:trPr>
          <w:trHeight w:val="15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Unrealized profit arising from elimination of inter-company transactions</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466</w:t>
            </w:r>
          </w:p>
        </w:tc>
        <w:tc>
          <w:tcPr>
            <w:tcW w:w="6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474</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shd w:val="clear" w:color="auto" w:fill="CCEEFF"/>
          </w:tcPr>
          <w:p>
            <w:pPr>
              <w:spacing w:after="0"/>
              <w:rPr>
                <w:sz w:val="13"/>
                <w:szCs w:val="13"/>
                <w:color w:val="auto"/>
              </w:rPr>
            </w:pPr>
          </w:p>
        </w:tc>
      </w:tr>
      <w:tr>
        <w:trPr>
          <w:trHeight w:val="156"/>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Tax losses</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103,721</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151,160</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23,720</w:t>
            </w:r>
          </w:p>
        </w:tc>
      </w:tr>
      <w:tr>
        <w:trPr>
          <w:trHeight w:val="15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Less: valuation allowance</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(120,291)</w:t>
            </w: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(183,445)</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8"/>
              </w:rPr>
              <w:t>(28,786)</w:t>
            </w:r>
          </w:p>
        </w:tc>
      </w:tr>
      <w:tr>
        <w:trPr>
          <w:trHeight w:val="164"/>
        </w:trPr>
        <w:tc>
          <w:tcPr>
            <w:tcW w:w="48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Deferred tax assets, net</w:t>
            </w:r>
          </w:p>
        </w:tc>
        <w:tc>
          <w:tcPr>
            <w:tcW w:w="52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r>
      <w:tr>
        <w:trPr>
          <w:trHeight w:val="165"/>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Non-current deferred tax liabilities</w:t>
            </w: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56"/>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Unrealized gain on long-term investment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14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292</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tcPr>
          <w:p>
            <w:pPr>
              <w:spacing w:after="0"/>
              <w:rPr>
                <w:sz w:val="13"/>
                <w:szCs w:val="13"/>
                <w:color w:val="auto"/>
              </w:rPr>
            </w:pPr>
          </w:p>
        </w:tc>
      </w:tr>
      <w:tr>
        <w:trPr>
          <w:trHeight w:val="20"/>
        </w:trPr>
        <w:tc>
          <w:tcPr>
            <w:tcW w:w="48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5"/>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Deferred tax liabilities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292</w:t>
            </w:r>
          </w:p>
        </w:tc>
        <w:tc>
          <w:tcPr>
            <w:tcW w:w="140" w:type="dxa"/>
            <w:vAlign w:val="bottom"/>
            <w:shd w:val="clear" w:color="auto" w:fill="CCEEFF"/>
          </w:tcPr>
          <w:p>
            <w:pPr>
              <w:spacing w:after="0"/>
              <w:rPr>
                <w:sz w:val="13"/>
                <w:szCs w:val="13"/>
                <w:color w:val="auto"/>
              </w:rPr>
            </w:pPr>
          </w:p>
        </w:tc>
        <w:tc>
          <w:tcPr>
            <w:tcW w:w="6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292</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w:t>
            </w:r>
          </w:p>
        </w:tc>
        <w:tc>
          <w:tcPr>
            <w:tcW w:w="80" w:type="dxa"/>
            <w:vAlign w:val="bottom"/>
            <w:shd w:val="clear" w:color="auto" w:fill="CCEEFF"/>
          </w:tcPr>
          <w:p>
            <w:pPr>
              <w:spacing w:after="0"/>
              <w:rPr>
                <w:sz w:val="13"/>
                <w:szCs w:val="13"/>
                <w:color w:val="auto"/>
              </w:rPr>
            </w:pPr>
          </w:p>
        </w:tc>
      </w:tr>
      <w:tr>
        <w:trPr>
          <w:trHeight w:val="29"/>
        </w:trPr>
        <w:tc>
          <w:tcPr>
            <w:tcW w:w="48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53" w:lineRule="exact"/>
        <w:rPr>
          <w:sz w:val="20"/>
          <w:szCs w:val="20"/>
          <w:color w:val="auto"/>
        </w:rPr>
      </w:pPr>
    </w:p>
    <w:p>
      <w:pPr>
        <w:ind w:left="2000" w:right="939"/>
        <w:spacing w:after="0" w:line="278" w:lineRule="auto"/>
        <w:rPr>
          <w:sz w:val="20"/>
          <w:szCs w:val="20"/>
          <w:color w:val="auto"/>
        </w:rPr>
      </w:pPr>
      <w:r>
        <w:rPr>
          <w:rFonts w:ascii="Times New Roman" w:cs="Times New Roman" w:eastAsia="Times New Roman" w:hAnsi="Times New Roman"/>
          <w:sz w:val="13"/>
          <w:szCs w:val="13"/>
          <w:color w:val="auto"/>
        </w:rPr>
        <w:t>The Group operates through several subsidiaries, the VIE and the subsidiaries of the VIE. Valuation allowance is considered for each of the entities on an individual basis.</w:t>
      </w:r>
    </w:p>
    <w:p>
      <w:pPr>
        <w:spacing w:after="0" w:line="43" w:lineRule="exact"/>
        <w:rPr>
          <w:sz w:val="20"/>
          <w:szCs w:val="20"/>
          <w:color w:val="auto"/>
        </w:rPr>
      </w:pPr>
    </w:p>
    <w:p>
      <w:pPr>
        <w:ind w:left="2000" w:right="559"/>
        <w:spacing w:after="0" w:line="259" w:lineRule="auto"/>
        <w:rPr>
          <w:sz w:val="20"/>
          <w:szCs w:val="20"/>
          <w:color w:val="auto"/>
        </w:rPr>
      </w:pPr>
      <w:r>
        <w:rPr>
          <w:rFonts w:ascii="Times New Roman" w:cs="Times New Roman" w:eastAsia="Times New Roman" w:hAnsi="Times New Roman"/>
          <w:sz w:val="13"/>
          <w:szCs w:val="13"/>
          <w:color w:val="auto"/>
        </w:rPr>
        <w:t>Realization of the net deferred tax assets is dependent on factors including future reversals of existing taxable temporary differences and adequate future taxable income, exclusive of reversing deductible temporary differences and tax loss or credit carry forwards. As of December 31, 2020 and 2021, valuation allowances were provided against deferred tax assets in entities which were in a three-year cumulative loss position and not forecasting profits in the near future.</w:t>
      </w:r>
    </w:p>
    <w:p>
      <w:pPr>
        <w:spacing w:after="0" w:line="55" w:lineRule="exact"/>
        <w:rPr>
          <w:sz w:val="20"/>
          <w:szCs w:val="20"/>
          <w:color w:val="auto"/>
        </w:rPr>
      </w:pPr>
    </w:p>
    <w:p>
      <w:pPr>
        <w:ind w:left="2000" w:right="619"/>
        <w:spacing w:after="0" w:line="259" w:lineRule="auto"/>
        <w:rPr>
          <w:sz w:val="20"/>
          <w:szCs w:val="20"/>
          <w:color w:val="auto"/>
        </w:rPr>
      </w:pPr>
      <w:r>
        <w:rPr>
          <w:rFonts w:ascii="Times New Roman" w:cs="Times New Roman" w:eastAsia="Times New Roman" w:hAnsi="Times New Roman"/>
          <w:sz w:val="13"/>
          <w:szCs w:val="13"/>
          <w:color w:val="auto"/>
        </w:rPr>
        <w:t>As of December 31, 2020 and 2021, the Group had deductible tax losses of RMB427,674 and RMB584,961 (US$91,793) derived from entities in the PRC. The tax losses in PRC can be carried forward for five years to offset future taxable profit, and the period was extended to 10 years for entities qualified as HNTE in 2018 and thereafter. The tax losses of entities in the PRC began to expire from December 31, 2022 to 2031 if not utilized.</w:t>
      </w:r>
    </w:p>
    <w:p>
      <w:pPr>
        <w:spacing w:after="0" w:line="55" w:lineRule="exact"/>
        <w:rPr>
          <w:sz w:val="20"/>
          <w:szCs w:val="20"/>
          <w:color w:val="auto"/>
        </w:rPr>
      </w:pPr>
    </w:p>
    <w:p>
      <w:pPr>
        <w:ind w:left="2000" w:right="559"/>
        <w:spacing w:after="0" w:line="278" w:lineRule="auto"/>
        <w:rPr>
          <w:sz w:val="20"/>
          <w:szCs w:val="20"/>
          <w:color w:val="auto"/>
        </w:rPr>
      </w:pPr>
      <w:r>
        <w:rPr>
          <w:rFonts w:ascii="Times New Roman" w:cs="Times New Roman" w:eastAsia="Times New Roman" w:hAnsi="Times New Roman"/>
          <w:sz w:val="13"/>
          <w:szCs w:val="13"/>
          <w:color w:val="auto"/>
        </w:rPr>
        <w:t>As of December 31, 2020 and 2021, the Group had deductible tax losses of RMB3,244 and RMB31,434 (US$4,933) derived from entities in Hong Kong that will not expire if not utilized.</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color w:val="auto"/>
        </w:rPr>
        <w:t>F- 50</w:t>
      </w:r>
    </w:p>
    <w:p>
      <w:pPr>
        <w:sectPr>
          <w:pgSz w:w="11900" w:h="16838" w:orient="portrait"/>
          <w:cols w:equalWidth="0" w:num="1">
            <w:col w:w="10159"/>
          </w:cols>
          <w:pgMar w:left="300" w:top="388" w:right="1440"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7">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 (CONTINUED)</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8">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7" w:lineRule="exact"/>
        <w:rPr>
          <w:sz w:val="20"/>
          <w:szCs w:val="20"/>
          <w:color w:val="auto"/>
        </w:rPr>
      </w:pPr>
    </w:p>
    <w:p>
      <w:pPr>
        <w:ind w:left="2000" w:right="6719" w:hanging="324"/>
        <w:spacing w:after="0" w:line="433" w:lineRule="auto"/>
        <w:tabs>
          <w:tab w:leader="none" w:pos="1994" w:val="left"/>
        </w:tabs>
        <w:numPr>
          <w:ilvl w:val="0"/>
          <w:numId w:val="13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Income Taxes (Continued) </w:t>
      </w:r>
      <w:r>
        <w:rPr>
          <w:rFonts w:ascii="Times New Roman" w:cs="Times New Roman" w:eastAsia="Times New Roman" w:hAnsi="Times New Roman"/>
          <w:sz w:val="12"/>
          <w:szCs w:val="12"/>
          <w:b w:val="1"/>
          <w:bCs w:val="1"/>
          <w:i w:val="1"/>
          <w:iCs w:val="1"/>
          <w:color w:val="auto"/>
        </w:rPr>
        <w:t>Unrecognized Tax Benefit</w:t>
      </w:r>
    </w:p>
    <w:p>
      <w:pPr>
        <w:ind w:left="2000" w:right="639"/>
        <w:spacing w:after="0" w:line="25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3"/>
          <w:szCs w:val="13"/>
          <w:color w:val="auto"/>
        </w:rPr>
        <w:t>As of December 31, 2020 and 2021, the Group had unrecognized tax benefit of RMB12,987 and RMB5,480 (US$860), respectively. The unrecognized tax benefit was mainly related to the withholding tax accrued for the facilitating service in the acquisition of land use right from Guangzhou government by EHang HK on behalf of a third-party buyer in 2017 (Note 10) and under-reported statutory profits before tax. The Group does not anticipate that the amount of existing unrecognized tax benefits will significantly change within the next 12 months; however, an estimate of the range of the possible change cannot be made at this moment. As of December 31, 2020 and 2021, unrecognized tax benefits of RMB5,480 and RMB5,480 (US$860), respectively, if ultimately recognized, will impact the effective tax rate.</w:t>
      </w:r>
    </w:p>
    <w:p>
      <w:pPr>
        <w:spacing w:after="0" w:line="58" w:lineRule="exact"/>
        <w:rPr>
          <w:rFonts w:ascii="Times New Roman" w:cs="Times New Roman" w:eastAsia="Times New Roman" w:hAnsi="Times New Roman"/>
          <w:sz w:val="12"/>
          <w:szCs w:val="12"/>
          <w:b w:val="1"/>
          <w:bCs w:val="1"/>
          <w:color w:val="auto"/>
        </w:rPr>
      </w:pPr>
    </w:p>
    <w:p>
      <w:pPr>
        <w:ind w:left="200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3"/>
          <w:szCs w:val="13"/>
          <w:color w:val="auto"/>
        </w:rPr>
        <w:t>A reconciliation of the beginning and ending amount of unrecognized tax benefit was as follows:</w:t>
      </w:r>
    </w:p>
    <w:p>
      <w:pPr>
        <w:spacing w:after="0" w:line="177" w:lineRule="exact"/>
        <w:rPr>
          <w:sz w:val="20"/>
          <w:szCs w:val="20"/>
          <w:color w:val="auto"/>
        </w:rPr>
      </w:pPr>
    </w:p>
    <w:tbl>
      <w:tblPr>
        <w:tblLayout w:type="fixed"/>
        <w:tblInd w:w="2320" w:type="dxa"/>
        <w:tblCellMar>
          <w:top w:w="0" w:type="dxa"/>
          <w:left w:w="0" w:type="dxa"/>
          <w:bottom w:w="0" w:type="dxa"/>
          <w:right w:w="0" w:type="dxa"/>
        </w:tblCellMar>
      </w:tblPr>
      <w:tr>
        <w:trPr>
          <w:trHeight w:val="124"/>
        </w:trPr>
        <w:tc>
          <w:tcPr>
            <w:tcW w:w="4480" w:type="dxa"/>
            <w:vAlign w:val="bottom"/>
          </w:tcPr>
          <w:p>
            <w:pPr>
              <w:spacing w:after="0"/>
              <w:rPr>
                <w:sz w:val="10"/>
                <w:szCs w:val="10"/>
                <w:color w:val="auto"/>
              </w:rPr>
            </w:pPr>
          </w:p>
        </w:tc>
        <w:tc>
          <w:tcPr>
            <w:tcW w:w="2180" w:type="dxa"/>
            <w:vAlign w:val="bottom"/>
            <w:gridSpan w:val="8"/>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rPr>
              <w:t>For the year ended December 31,</w:t>
            </w:r>
          </w:p>
        </w:tc>
      </w:tr>
      <w:tr>
        <w:trPr>
          <w:trHeight w:val="97"/>
        </w:trPr>
        <w:tc>
          <w:tcPr>
            <w:tcW w:w="4480" w:type="dxa"/>
            <w:vAlign w:val="bottom"/>
          </w:tcPr>
          <w:p>
            <w:pPr>
              <w:spacing w:after="0"/>
              <w:rPr>
                <w:sz w:val="8"/>
                <w:szCs w:val="8"/>
                <w:color w:val="auto"/>
              </w:rPr>
            </w:pPr>
          </w:p>
        </w:tc>
        <w:tc>
          <w:tcPr>
            <w:tcW w:w="380" w:type="dxa"/>
            <w:vAlign w:val="bottom"/>
            <w:tcBorders>
              <w:top w:val="single" w:sz="8" w:color="auto"/>
              <w:bottom w:val="single" w:sz="8" w:color="auto"/>
            </w:tcBorders>
          </w:tcPr>
          <w:p>
            <w:pPr>
              <w:jc w:val="right"/>
              <w:ind w:right="21"/>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60" w:type="dxa"/>
            <w:vAlign w:val="bottom"/>
            <w:tcBorders>
              <w:top w:val="single" w:sz="8" w:color="auto"/>
            </w:tcBorders>
          </w:tcPr>
          <w:p>
            <w:pPr>
              <w:spacing w:after="0"/>
              <w:rPr>
                <w:sz w:val="8"/>
                <w:szCs w:val="8"/>
                <w:color w:val="auto"/>
              </w:rPr>
            </w:pPr>
          </w:p>
        </w:tc>
        <w:tc>
          <w:tcPr>
            <w:tcW w:w="440" w:type="dxa"/>
            <w:vAlign w:val="bottom"/>
            <w:tcBorders>
              <w:top w:val="single" w:sz="8" w:color="auto"/>
              <w:bottom w:val="single" w:sz="8" w:color="auto"/>
            </w:tcBorders>
          </w:tcPr>
          <w:p>
            <w:pPr>
              <w:jc w:val="right"/>
              <w:ind w:right="60"/>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140" w:type="dxa"/>
            <w:vAlign w:val="bottom"/>
            <w:tcBorders>
              <w:top w:val="single" w:sz="8" w:color="auto"/>
            </w:tcBorders>
          </w:tcPr>
          <w:p>
            <w:pPr>
              <w:spacing w:after="0"/>
              <w:rPr>
                <w:sz w:val="8"/>
                <w:szCs w:val="8"/>
                <w:color w:val="auto"/>
              </w:rPr>
            </w:pPr>
          </w:p>
        </w:tc>
        <w:tc>
          <w:tcPr>
            <w:tcW w:w="600" w:type="dxa"/>
            <w:vAlign w:val="bottom"/>
            <w:tcBorders>
              <w:top w:val="single" w:sz="8" w:color="auto"/>
              <w:bottom w:val="single" w:sz="8" w:color="auto"/>
            </w:tcBorders>
            <w:gridSpan w:val="2"/>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380" w:type="dxa"/>
            <w:vAlign w:val="bottom"/>
            <w:tcBorders>
              <w:top w:val="single" w:sz="8" w:color="auto"/>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97"/>
        </w:trPr>
        <w:tc>
          <w:tcPr>
            <w:tcW w:w="4480" w:type="dxa"/>
            <w:vAlign w:val="bottom"/>
          </w:tcPr>
          <w:p>
            <w:pPr>
              <w:spacing w:after="0"/>
              <w:rPr>
                <w:sz w:val="8"/>
                <w:szCs w:val="8"/>
                <w:color w:val="auto"/>
              </w:rPr>
            </w:pPr>
          </w:p>
        </w:tc>
        <w:tc>
          <w:tcPr>
            <w:tcW w:w="380" w:type="dxa"/>
            <w:vAlign w:val="bottom"/>
          </w:tcPr>
          <w:p>
            <w:pPr>
              <w:jc w:val="right"/>
              <w:ind w:right="1"/>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160" w:type="dxa"/>
            <w:vAlign w:val="bottom"/>
          </w:tcPr>
          <w:p>
            <w:pPr>
              <w:spacing w:after="0"/>
              <w:rPr>
                <w:sz w:val="8"/>
                <w:szCs w:val="8"/>
                <w:color w:val="auto"/>
              </w:rPr>
            </w:pPr>
          </w:p>
        </w:tc>
        <w:tc>
          <w:tcPr>
            <w:tcW w:w="440" w:type="dxa"/>
            <w:vAlign w:val="bottom"/>
          </w:tcPr>
          <w:p>
            <w:pPr>
              <w:jc w:val="right"/>
              <w:ind w:right="40"/>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140" w:type="dxa"/>
            <w:vAlign w:val="bottom"/>
          </w:tcPr>
          <w:p>
            <w:pPr>
              <w:spacing w:after="0"/>
              <w:rPr>
                <w:sz w:val="8"/>
                <w:szCs w:val="8"/>
                <w:color w:val="auto"/>
              </w:rPr>
            </w:pPr>
          </w:p>
        </w:tc>
        <w:tc>
          <w:tcPr>
            <w:tcW w:w="600" w:type="dxa"/>
            <w:vAlign w:val="bottom"/>
            <w:gridSpan w:val="2"/>
          </w:tcPr>
          <w:p>
            <w:pPr>
              <w:jc w:val="right"/>
              <w:ind w:right="260"/>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380" w:type="dxa"/>
            <w:vAlign w:val="bottom"/>
          </w:tcPr>
          <w:p>
            <w:pPr>
              <w:jc w:val="right"/>
              <w:ind w:right="38"/>
              <w:spacing w:after="0" w:line="97" w:lineRule="exact"/>
              <w:rPr>
                <w:sz w:val="20"/>
                <w:szCs w:val="20"/>
                <w:color w:val="auto"/>
              </w:rPr>
            </w:pPr>
            <w:r>
              <w:rPr>
                <w:rFonts w:ascii="Times New Roman" w:cs="Times New Roman" w:eastAsia="Times New Roman" w:hAnsi="Times New Roman"/>
                <w:sz w:val="10"/>
                <w:szCs w:val="10"/>
                <w:b w:val="1"/>
                <w:bCs w:val="1"/>
                <w:color w:val="auto"/>
              </w:rPr>
              <w:t>US$</w:t>
            </w:r>
          </w:p>
        </w:tc>
        <w:tc>
          <w:tcPr>
            <w:tcW w:w="80" w:type="dxa"/>
            <w:vAlign w:val="bottom"/>
          </w:tcPr>
          <w:p>
            <w:pPr>
              <w:spacing w:after="0"/>
              <w:rPr>
                <w:sz w:val="8"/>
                <w:szCs w:val="8"/>
                <w:color w:val="auto"/>
              </w:rPr>
            </w:pPr>
          </w:p>
        </w:tc>
      </w:tr>
      <w:tr>
        <w:trPr>
          <w:trHeight w:val="15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at the beginning of the year</w:t>
            </w:r>
          </w:p>
        </w:tc>
        <w:tc>
          <w:tcPr>
            <w:tcW w:w="54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3"/>
                <w:szCs w:val="13"/>
                <w:color w:val="auto"/>
              </w:rPr>
              <w:t>(4,892)</w:t>
            </w:r>
          </w:p>
        </w:tc>
        <w:tc>
          <w:tcPr>
            <w:tcW w:w="5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3"/>
                <w:szCs w:val="13"/>
                <w:color w:val="auto"/>
              </w:rPr>
              <w:t>(5,494)</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(12,987)</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(2,038)</w:t>
            </w:r>
          </w:p>
        </w:tc>
      </w:tr>
      <w:tr>
        <w:trPr>
          <w:trHeight w:val="156"/>
        </w:trPr>
        <w:tc>
          <w:tcPr>
            <w:tcW w:w="4480" w:type="dxa"/>
            <w:vAlign w:val="bottom"/>
          </w:tcPr>
          <w:p>
            <w:pPr>
              <w:spacing w:after="0"/>
              <w:rPr>
                <w:sz w:val="20"/>
                <w:szCs w:val="20"/>
                <w:color w:val="auto"/>
              </w:rPr>
            </w:pPr>
            <w:r>
              <w:rPr>
                <w:rFonts w:ascii="Times New Roman" w:cs="Times New Roman" w:eastAsia="Times New Roman" w:hAnsi="Times New Roman"/>
                <w:sz w:val="13"/>
                <w:szCs w:val="13"/>
                <w:color w:val="auto"/>
              </w:rPr>
              <w:t>Additions based on tax positions related to the current year</w:t>
            </w:r>
          </w:p>
        </w:tc>
        <w:tc>
          <w:tcPr>
            <w:tcW w:w="54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color w:val="auto"/>
              </w:rPr>
              <w:t>(602)</w:t>
            </w:r>
          </w:p>
        </w:tc>
        <w:tc>
          <w:tcPr>
            <w:tcW w:w="580" w:type="dxa"/>
            <w:vAlign w:val="bottom"/>
            <w:gridSpan w:val="2"/>
          </w:tcPr>
          <w:p>
            <w:pPr>
              <w:jc w:val="right"/>
              <w:ind w:right="62"/>
              <w:spacing w:after="0"/>
              <w:rPr>
                <w:sz w:val="20"/>
                <w:szCs w:val="20"/>
                <w:color w:val="auto"/>
              </w:rPr>
            </w:pPr>
            <w:r>
              <w:rPr>
                <w:rFonts w:ascii="Times New Roman" w:cs="Times New Roman" w:eastAsia="Times New Roman" w:hAnsi="Times New Roman"/>
                <w:sz w:val="13"/>
                <w:szCs w:val="13"/>
                <w:color w:val="auto"/>
              </w:rPr>
              <w:t>(7,673)</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Reductions for tax positions of prior years</w:t>
            </w:r>
          </w:p>
        </w:tc>
        <w:tc>
          <w:tcPr>
            <w:tcW w:w="54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3"/>
                <w:szCs w:val="13"/>
                <w:color w:val="auto"/>
              </w:rPr>
              <w:t>180</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7,507</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1,178</w:t>
            </w:r>
          </w:p>
        </w:tc>
      </w:tr>
      <w:tr>
        <w:trPr>
          <w:trHeight w:val="164"/>
        </w:trPr>
        <w:tc>
          <w:tcPr>
            <w:tcW w:w="4480" w:type="dxa"/>
            <w:vAlign w:val="bottom"/>
          </w:tcPr>
          <w:p>
            <w:pPr>
              <w:spacing w:after="0"/>
              <w:rPr>
                <w:sz w:val="20"/>
                <w:szCs w:val="20"/>
                <w:color w:val="auto"/>
              </w:rPr>
            </w:pPr>
            <w:r>
              <w:rPr>
                <w:rFonts w:ascii="Times New Roman" w:cs="Times New Roman" w:eastAsia="Times New Roman" w:hAnsi="Times New Roman"/>
                <w:sz w:val="13"/>
                <w:szCs w:val="13"/>
                <w:color w:val="auto"/>
              </w:rPr>
              <w:t>Balance at the end of the year</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(5,494</w:t>
            </w:r>
          </w:p>
        </w:tc>
        <w:tc>
          <w:tcPr>
            <w:tcW w:w="160" w:type="dxa"/>
            <w:vAlign w:val="bottom"/>
          </w:tcPr>
          <w:p>
            <w:pPr>
              <w:jc w:val="right"/>
              <w:ind w:right="8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(12,987</w:t>
            </w:r>
          </w:p>
        </w:tc>
        <w:tc>
          <w:tcPr>
            <w:tcW w:w="140" w:type="dxa"/>
            <w:vAlign w:val="bottom"/>
          </w:tcPr>
          <w:p>
            <w:pPr>
              <w:jc w:val="right"/>
              <w:ind w:right="6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(5,480)</w:t>
            </w:r>
          </w:p>
        </w:tc>
        <w:tc>
          <w:tcPr>
            <w:tcW w:w="14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(860)</w:t>
            </w:r>
          </w:p>
        </w:tc>
        <w:tc>
          <w:tcPr>
            <w:tcW w:w="80" w:type="dxa"/>
            <w:vAlign w:val="bottom"/>
          </w:tcPr>
          <w:p>
            <w:pPr>
              <w:spacing w:after="0"/>
              <w:rPr>
                <w:sz w:val="14"/>
                <w:szCs w:val="14"/>
                <w:color w:val="auto"/>
              </w:rPr>
            </w:pPr>
          </w:p>
        </w:tc>
      </w:tr>
    </w:tbl>
    <w:p>
      <w:pPr>
        <w:spacing w:after="0" w:line="75" w:lineRule="exact"/>
        <w:rPr>
          <w:sz w:val="20"/>
          <w:szCs w:val="20"/>
          <w:color w:val="auto"/>
        </w:rPr>
      </w:pPr>
    </w:p>
    <w:p>
      <w:pPr>
        <w:ind w:left="2000" w:right="699"/>
        <w:spacing w:after="0" w:line="278" w:lineRule="auto"/>
        <w:rPr>
          <w:sz w:val="20"/>
          <w:szCs w:val="20"/>
          <w:color w:val="auto"/>
        </w:rPr>
      </w:pPr>
      <w:r>
        <w:rPr>
          <w:rFonts w:ascii="Times New Roman" w:cs="Times New Roman" w:eastAsia="Times New Roman" w:hAnsi="Times New Roman"/>
          <w:sz w:val="13"/>
          <w:szCs w:val="13"/>
          <w:color w:val="auto"/>
        </w:rPr>
        <w:t>The Group did not record any significant interest and penalties related to an uncertain tax position for the years ended December 31, 2019, 2020 and 2021.</w:t>
      </w:r>
    </w:p>
    <w:p>
      <w:pPr>
        <w:spacing w:after="0" w:line="43" w:lineRule="exact"/>
        <w:rPr>
          <w:sz w:val="20"/>
          <w:szCs w:val="20"/>
          <w:color w:val="auto"/>
        </w:rPr>
      </w:pPr>
    </w:p>
    <w:p>
      <w:pPr>
        <w:jc w:val="both"/>
        <w:ind w:left="2000" w:right="559"/>
        <w:spacing w:after="0" w:line="264" w:lineRule="auto"/>
        <w:rPr>
          <w:sz w:val="20"/>
          <w:szCs w:val="20"/>
          <w:color w:val="auto"/>
        </w:rPr>
      </w:pPr>
      <w:r>
        <w:rPr>
          <w:rFonts w:ascii="Times New Roman" w:cs="Times New Roman" w:eastAsia="Times New Roman" w:hAnsi="Times New Roman"/>
          <w:sz w:val="13"/>
          <w:szCs w:val="13"/>
          <w:color w:val="auto"/>
        </w:rPr>
        <w:t>The material jurisdictions in which the Group is subject to potential examination is China. In general, the PRC tax authorities have up to five years to review a company’s tax filings. As of December 31, 2021, the tax years ended December 31, 2016 through year ended as of the reporting dates for WFOE, the VIE and the subsidiaries of the VIE remain open to examination by the PRC tax authorities.</w:t>
      </w:r>
    </w:p>
    <w:p>
      <w:pPr>
        <w:spacing w:after="0" w:line="8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color w:val="auto"/>
        </w:rPr>
        <w:t>F- 51</w:t>
      </w:r>
    </w:p>
    <w:p>
      <w:pPr>
        <w:sectPr>
          <w:pgSz w:w="11900" w:h="16838" w:orient="portrait"/>
          <w:cols w:equalWidth="0" w:num="1">
            <w:col w:w="10159"/>
          </w:cols>
          <w:pgMar w:left="300" w:top="388" w:right="1440"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9">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 (CONTINUED)</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0">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7" w:lineRule="exact"/>
        <w:rPr>
          <w:sz w:val="20"/>
          <w:szCs w:val="20"/>
          <w:color w:val="auto"/>
        </w:rPr>
      </w:pPr>
    </w:p>
    <w:p>
      <w:pPr>
        <w:ind w:left="1980" w:hanging="304"/>
        <w:spacing w:after="0"/>
        <w:tabs>
          <w:tab w:leader="none" w:pos="1980" w:val="left"/>
        </w:tabs>
        <w:numPr>
          <w:ilvl w:val="0"/>
          <w:numId w:val="13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Related Party Transactions</w:t>
      </w:r>
    </w:p>
    <w:p>
      <w:pPr>
        <w:spacing w:after="0" w:line="85" w:lineRule="exact"/>
        <w:rPr>
          <w:rFonts w:ascii="Times New Roman" w:cs="Times New Roman" w:eastAsia="Times New Roman" w:hAnsi="Times New Roman"/>
          <w:sz w:val="13"/>
          <w:szCs w:val="13"/>
          <w:b w:val="1"/>
          <w:bCs w:val="1"/>
          <w:color w:val="auto"/>
        </w:rPr>
      </w:pPr>
    </w:p>
    <w:p>
      <w:pPr>
        <w:ind w:left="2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principal related parties with which the Group had transactions during the year presented are as follows:</w:t>
      </w:r>
    </w:p>
    <w:p>
      <w:pPr>
        <w:spacing w:after="0" w:line="177" w:lineRule="exact"/>
        <w:rPr>
          <w:sz w:val="20"/>
          <w:szCs w:val="20"/>
          <w:color w:val="auto"/>
        </w:rPr>
      </w:pPr>
    </w:p>
    <w:tbl>
      <w:tblPr>
        <w:tblLayout w:type="fixed"/>
        <w:tblInd w:w="2000" w:type="dxa"/>
        <w:tblCellMar>
          <w:top w:w="0" w:type="dxa"/>
          <w:left w:w="0" w:type="dxa"/>
          <w:bottom w:w="0" w:type="dxa"/>
          <w:right w:w="0" w:type="dxa"/>
        </w:tblCellMar>
      </w:tblPr>
      <w:tr>
        <w:trPr>
          <w:trHeight w:val="144"/>
        </w:trPr>
        <w:tc>
          <w:tcPr>
            <w:tcW w:w="31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Name of Entity or Individual</w:t>
            </w:r>
          </w:p>
        </w:tc>
        <w:tc>
          <w:tcPr>
            <w:tcW w:w="560" w:type="dxa"/>
            <w:vAlign w:val="bottom"/>
          </w:tcPr>
          <w:p>
            <w:pPr>
              <w:spacing w:after="0"/>
              <w:rPr>
                <w:sz w:val="12"/>
                <w:szCs w:val="12"/>
                <w:color w:val="auto"/>
              </w:rPr>
            </w:pPr>
          </w:p>
        </w:tc>
        <w:tc>
          <w:tcPr>
            <w:tcW w:w="3580" w:type="dxa"/>
            <w:vAlign w:val="bottom"/>
          </w:tcPr>
          <w:p>
            <w:pPr>
              <w:ind w:left="1080"/>
              <w:spacing w:after="0"/>
              <w:rPr>
                <w:sz w:val="20"/>
                <w:szCs w:val="20"/>
                <w:color w:val="auto"/>
              </w:rPr>
            </w:pPr>
            <w:r>
              <w:rPr>
                <w:rFonts w:ascii="Times New Roman" w:cs="Times New Roman" w:eastAsia="Times New Roman" w:hAnsi="Times New Roman"/>
                <w:sz w:val="10"/>
                <w:szCs w:val="10"/>
                <w:b w:val="1"/>
                <w:bCs w:val="1"/>
                <w:color w:val="auto"/>
              </w:rPr>
              <w:t>Relationship with the Company</w:t>
            </w:r>
          </w:p>
        </w:tc>
      </w:tr>
      <w:tr>
        <w:trPr>
          <w:trHeight w:val="122"/>
        </w:trPr>
        <w:tc>
          <w:tcPr>
            <w:tcW w:w="1300" w:type="dxa"/>
            <w:vAlign w:val="bottom"/>
            <w:tcBorders>
              <w:top w:val="single" w:sz="8" w:color="auto"/>
            </w:tcBorders>
          </w:tcPr>
          <w:p>
            <w:pPr>
              <w:spacing w:after="0" w:line="123" w:lineRule="exact"/>
              <w:rPr>
                <w:sz w:val="20"/>
                <w:szCs w:val="20"/>
                <w:color w:val="auto"/>
              </w:rPr>
            </w:pPr>
            <w:r>
              <w:rPr>
                <w:rFonts w:ascii="Times New Roman" w:cs="Times New Roman" w:eastAsia="Times New Roman" w:hAnsi="Times New Roman"/>
                <w:sz w:val="13"/>
                <w:szCs w:val="13"/>
                <w:color w:val="auto"/>
              </w:rPr>
              <w:t>Mr. Huazhi Hu</w:t>
            </w:r>
          </w:p>
        </w:tc>
        <w:tc>
          <w:tcPr>
            <w:tcW w:w="1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580" w:type="dxa"/>
            <w:vAlign w:val="bottom"/>
            <w:tcBorders>
              <w:top w:val="single" w:sz="8" w:color="auto"/>
            </w:tcBorders>
          </w:tcPr>
          <w:p>
            <w:pPr>
              <w:spacing w:after="0" w:line="123" w:lineRule="exact"/>
              <w:rPr>
                <w:sz w:val="20"/>
                <w:szCs w:val="20"/>
                <w:color w:val="auto"/>
              </w:rPr>
            </w:pPr>
            <w:r>
              <w:rPr>
                <w:rFonts w:ascii="Times New Roman" w:cs="Times New Roman" w:eastAsia="Times New Roman" w:hAnsi="Times New Roman"/>
                <w:sz w:val="13"/>
                <w:szCs w:val="13"/>
                <w:color w:val="auto"/>
              </w:rPr>
              <w:t>Principal Shareholder of the Company, Chairman of the Board and</w:t>
            </w:r>
          </w:p>
        </w:tc>
      </w:tr>
      <w:tr>
        <w:trPr>
          <w:trHeight w:val="156"/>
        </w:trPr>
        <w:tc>
          <w:tcPr>
            <w:tcW w:w="13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Chief Executive Officer</w:t>
            </w:r>
          </w:p>
        </w:tc>
      </w:tr>
      <w:tr>
        <w:trPr>
          <w:trHeight w:val="168"/>
        </w:trPr>
        <w:tc>
          <w:tcPr>
            <w:tcW w:w="3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Guangzhou Yitong Zhihang Technology Co., Ltd.</w:t>
            </w:r>
          </w:p>
        </w:tc>
        <w:tc>
          <w:tcPr>
            <w:tcW w:w="414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A company over which the Group has significant influence</w:t>
            </w:r>
          </w:p>
        </w:tc>
      </w:tr>
    </w:tbl>
    <w:p>
      <w:pPr>
        <w:spacing w:after="0" w:line="249" w:lineRule="exact"/>
        <w:rPr>
          <w:sz w:val="20"/>
          <w:szCs w:val="20"/>
          <w:color w:val="auto"/>
        </w:rPr>
      </w:pPr>
    </w:p>
    <w:p>
      <w:pPr>
        <w:ind w:left="2380" w:hanging="393"/>
        <w:spacing w:after="0"/>
        <w:tabs>
          <w:tab w:leader="none" w:pos="2380" w:val="left"/>
        </w:tabs>
        <w:numPr>
          <w:ilvl w:val="0"/>
          <w:numId w:val="14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Transaction with related parties:</w:t>
      </w:r>
    </w:p>
    <w:p>
      <w:pPr>
        <w:spacing w:after="0" w:line="86" w:lineRule="exact"/>
        <w:rPr>
          <w:sz w:val="20"/>
          <w:szCs w:val="20"/>
          <w:color w:val="auto"/>
        </w:rPr>
      </w:pPr>
    </w:p>
    <w:p>
      <w:pPr>
        <w:ind w:left="2000" w:right="639"/>
        <w:spacing w:after="0" w:line="264" w:lineRule="auto"/>
        <w:rPr>
          <w:sz w:val="20"/>
          <w:szCs w:val="20"/>
          <w:color w:val="auto"/>
        </w:rPr>
      </w:pPr>
      <w:r>
        <w:rPr>
          <w:rFonts w:ascii="Times New Roman" w:cs="Times New Roman" w:eastAsia="Times New Roman" w:hAnsi="Times New Roman"/>
          <w:sz w:val="13"/>
          <w:szCs w:val="13"/>
          <w:color w:val="auto"/>
        </w:rPr>
        <w:t>In April 2018, The Group entered into an interest-free short-term loan agreement with a company controlled by the Group’s founder and director, Mr. Huazhi Hu, with a principal amount of RMB425. The loan was recorded in prepayments and other current assets and was repaid in full in January 2019.</w:t>
      </w:r>
    </w:p>
    <w:p>
      <w:pPr>
        <w:spacing w:after="0" w:line="51" w:lineRule="exact"/>
        <w:rPr>
          <w:sz w:val="20"/>
          <w:szCs w:val="20"/>
          <w:color w:val="auto"/>
        </w:rPr>
      </w:pPr>
    </w:p>
    <w:p>
      <w:pPr>
        <w:ind w:left="2000" w:right="719"/>
        <w:spacing w:after="0" w:line="264" w:lineRule="auto"/>
        <w:rPr>
          <w:sz w:val="20"/>
          <w:szCs w:val="20"/>
          <w:color w:val="auto"/>
        </w:rPr>
      </w:pPr>
      <w:r>
        <w:rPr>
          <w:rFonts w:ascii="Times New Roman" w:cs="Times New Roman" w:eastAsia="Times New Roman" w:hAnsi="Times New Roman"/>
          <w:sz w:val="13"/>
          <w:szCs w:val="13"/>
          <w:color w:val="auto"/>
        </w:rPr>
        <w:t>In January 2019, the Group’s founder and director, Mr. Huazhi Hu, borrowed a loan from the Group with a principal amount of RMB425, recorded in prepayments and other current assets. This loan is repayable on demand and interest-free. The loan was repaid by Mr. Huazhi Hu in full on November 12, 2019.</w:t>
      </w:r>
    </w:p>
    <w:p>
      <w:pPr>
        <w:spacing w:after="0" w:line="51" w:lineRule="exact"/>
        <w:rPr>
          <w:sz w:val="20"/>
          <w:szCs w:val="20"/>
          <w:color w:val="auto"/>
        </w:rPr>
      </w:pPr>
    </w:p>
    <w:p>
      <w:pPr>
        <w:ind w:left="2000" w:right="1079"/>
        <w:spacing w:after="0" w:line="278" w:lineRule="auto"/>
        <w:rPr>
          <w:sz w:val="20"/>
          <w:szCs w:val="20"/>
          <w:color w:val="auto"/>
        </w:rPr>
      </w:pPr>
      <w:r>
        <w:rPr>
          <w:rFonts w:ascii="Times New Roman" w:cs="Times New Roman" w:eastAsia="Times New Roman" w:hAnsi="Times New Roman"/>
          <w:sz w:val="13"/>
          <w:szCs w:val="13"/>
          <w:color w:val="auto"/>
        </w:rPr>
        <w:t>For the year ended December 31, 2021, the revenue from an equity investee over which the Group has significant influence amounted to RMB1,504 (US$236).</w:t>
      </w:r>
    </w:p>
    <w:p>
      <w:pPr>
        <w:spacing w:after="0" w:line="226" w:lineRule="exact"/>
        <w:rPr>
          <w:sz w:val="20"/>
          <w:szCs w:val="20"/>
          <w:color w:val="auto"/>
        </w:rPr>
      </w:pPr>
    </w:p>
    <w:p>
      <w:pPr>
        <w:ind w:left="2380" w:hanging="393"/>
        <w:spacing w:after="0"/>
        <w:tabs>
          <w:tab w:leader="none" w:pos="2380" w:val="left"/>
        </w:tabs>
        <w:numPr>
          <w:ilvl w:val="0"/>
          <w:numId w:val="14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Amount due from a related party:</w:t>
      </w:r>
    </w:p>
    <w:p>
      <w:pPr>
        <w:spacing w:after="0" w:line="86" w:lineRule="exact"/>
        <w:rPr>
          <w:sz w:val="20"/>
          <w:szCs w:val="20"/>
          <w:color w:val="auto"/>
        </w:rPr>
      </w:pPr>
    </w:p>
    <w:p>
      <w:pPr>
        <w:ind w:left="2000" w:right="559"/>
        <w:spacing w:after="0" w:line="259" w:lineRule="auto"/>
        <w:rPr>
          <w:sz w:val="20"/>
          <w:szCs w:val="20"/>
          <w:color w:val="auto"/>
        </w:rPr>
      </w:pPr>
      <w:r>
        <w:rPr>
          <w:rFonts w:ascii="Times New Roman" w:cs="Times New Roman" w:eastAsia="Times New Roman" w:hAnsi="Times New Roman"/>
          <w:sz w:val="13"/>
          <w:szCs w:val="13"/>
          <w:color w:val="auto"/>
        </w:rPr>
        <w:t>Other than the arbitration mentioned in Note 1, the VIE paid a guarantee deposit of RMB2,639 to the People’s Court of Tianhe District in Guangzhou city to lift a judicial freeze on the VIE’s equity interest in October 2020. The judicial freeze was initially imposed by the court due to an arbitration filed by a third party who had a dispute with Mr. Huazhi Hu, the Group’s founder and director, regarding his personal loan with such third party. As of December 31, 2021, the aforementioned judicial freeze had been lifted and the Group has collected the deposit.</w:t>
      </w:r>
    </w:p>
    <w:p>
      <w:pPr>
        <w:spacing w:after="0" w:line="55" w:lineRule="exact"/>
        <w:rPr>
          <w:sz w:val="20"/>
          <w:szCs w:val="20"/>
          <w:color w:val="auto"/>
        </w:rPr>
      </w:pPr>
    </w:p>
    <w:p>
      <w:pPr>
        <w:ind w:left="2000" w:right="1059"/>
        <w:spacing w:after="0" w:line="278" w:lineRule="auto"/>
        <w:rPr>
          <w:sz w:val="20"/>
          <w:szCs w:val="20"/>
          <w:color w:val="auto"/>
        </w:rPr>
      </w:pPr>
      <w:r>
        <w:rPr>
          <w:rFonts w:ascii="Times New Roman" w:cs="Times New Roman" w:eastAsia="Times New Roman" w:hAnsi="Times New Roman"/>
          <w:sz w:val="13"/>
          <w:szCs w:val="13"/>
          <w:color w:val="auto"/>
        </w:rPr>
        <w:t>As of December 31, 2021, amount due from a related party amounting to RMB1,360 (US$213) represents the receivables for the sales of autonomous aerial vehicles provided to an equity investee over which the Group has significant influence.</w:t>
      </w:r>
    </w:p>
    <w:p>
      <w:pPr>
        <w:spacing w:after="0" w:line="226" w:lineRule="exact"/>
        <w:rPr>
          <w:sz w:val="20"/>
          <w:szCs w:val="20"/>
          <w:color w:val="auto"/>
        </w:rPr>
      </w:pPr>
    </w:p>
    <w:p>
      <w:pPr>
        <w:ind w:left="2380" w:hanging="393"/>
        <w:spacing w:after="0"/>
        <w:tabs>
          <w:tab w:leader="none" w:pos="2380" w:val="left"/>
        </w:tabs>
        <w:numPr>
          <w:ilvl w:val="0"/>
          <w:numId w:val="14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Guarantee received for borrowings:</w:t>
      </w:r>
    </w:p>
    <w:p>
      <w:pPr>
        <w:spacing w:after="0" w:line="86" w:lineRule="exact"/>
        <w:rPr>
          <w:sz w:val="20"/>
          <w:szCs w:val="20"/>
          <w:color w:val="auto"/>
        </w:rPr>
      </w:pPr>
    </w:p>
    <w:p>
      <w:pPr>
        <w:ind w:left="2000" w:right="1119"/>
        <w:spacing w:after="0" w:line="322" w:lineRule="auto"/>
        <w:rPr>
          <w:sz w:val="20"/>
          <w:szCs w:val="20"/>
          <w:color w:val="auto"/>
        </w:rPr>
      </w:pPr>
      <w:r>
        <w:rPr>
          <w:rFonts w:ascii="Times New Roman" w:cs="Times New Roman" w:eastAsia="Times New Roman" w:hAnsi="Times New Roman"/>
          <w:sz w:val="12"/>
          <w:szCs w:val="12"/>
          <w:color w:val="auto"/>
        </w:rPr>
        <w:t>As of December 31, 2020, RMB10,000 short-term bank loans were guaranteed by the Group’s founder and director, Mr. Huazhi Hu and RMB5,000 short-term bank loan was guaranteed by the Group’s founder and director, Mr. Huazhi Hu, and his spouse, respectively.</w:t>
      </w:r>
    </w:p>
    <w:p>
      <w:pPr>
        <w:spacing w:after="0" w:line="19" w:lineRule="exact"/>
        <w:rPr>
          <w:sz w:val="20"/>
          <w:szCs w:val="20"/>
          <w:color w:val="auto"/>
        </w:rPr>
      </w:pPr>
    </w:p>
    <w:p>
      <w:pPr>
        <w:ind w:left="2000" w:right="599"/>
        <w:spacing w:after="0" w:line="278" w:lineRule="auto"/>
        <w:rPr>
          <w:sz w:val="20"/>
          <w:szCs w:val="20"/>
          <w:color w:val="auto"/>
        </w:rPr>
      </w:pPr>
      <w:r>
        <w:rPr>
          <w:rFonts w:ascii="Times New Roman" w:cs="Times New Roman" w:eastAsia="Times New Roman" w:hAnsi="Times New Roman"/>
          <w:sz w:val="13"/>
          <w:szCs w:val="13"/>
          <w:color w:val="auto"/>
        </w:rPr>
        <w:t>As of December 31, 2021, RMB10,000 (US$1,569) short-term bank loans and RMB20,000 (US$3,138) long-term bank loans were guaranteed by the Group’s founder and director, Mr. Huazhi Hu</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color w:val="auto"/>
        </w:rPr>
        <w:t>F- 52</w:t>
      </w:r>
    </w:p>
    <w:p>
      <w:pPr>
        <w:sectPr>
          <w:pgSz w:w="11900" w:h="16838" w:orient="portrait"/>
          <w:cols w:equalWidth="0" w:num="1">
            <w:col w:w="10159"/>
          </w:cols>
          <w:pgMar w:left="300" w:top="388" w:right="1440"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1">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 (CONTINUED)</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2">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7" w:lineRule="exact"/>
        <w:rPr>
          <w:sz w:val="20"/>
          <w:szCs w:val="20"/>
          <w:color w:val="auto"/>
        </w:rPr>
      </w:pPr>
    </w:p>
    <w:p>
      <w:pPr>
        <w:ind w:left="1980" w:hanging="304"/>
        <w:spacing w:after="0"/>
        <w:tabs>
          <w:tab w:leader="none" w:pos="1980" w:val="left"/>
        </w:tabs>
        <w:numPr>
          <w:ilvl w:val="0"/>
          <w:numId w:val="14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Preferred Shares</w:t>
      </w:r>
    </w:p>
    <w:p>
      <w:pPr>
        <w:spacing w:after="0" w:line="85" w:lineRule="exact"/>
        <w:rPr>
          <w:rFonts w:ascii="Times New Roman" w:cs="Times New Roman" w:eastAsia="Times New Roman" w:hAnsi="Times New Roman"/>
          <w:sz w:val="13"/>
          <w:szCs w:val="13"/>
          <w:b w:val="1"/>
          <w:bCs w:val="1"/>
          <w:color w:val="auto"/>
        </w:rPr>
      </w:pPr>
    </w:p>
    <w:p>
      <w:pPr>
        <w:ind w:left="2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following table summarizes the issuances of the convertible and redeemable convertible preferred shares prior to the Company’s IPO:</w:t>
      </w:r>
    </w:p>
    <w:p>
      <w:pPr>
        <w:spacing w:after="0" w:line="169" w:lineRule="exact"/>
        <w:rPr>
          <w:sz w:val="20"/>
          <w:szCs w:val="20"/>
          <w:color w:val="auto"/>
        </w:rPr>
      </w:pPr>
    </w:p>
    <w:tbl>
      <w:tblPr>
        <w:tblLayout w:type="fixed"/>
        <w:tblInd w:w="2320" w:type="dxa"/>
        <w:tblCellMar>
          <w:top w:w="0" w:type="dxa"/>
          <w:left w:w="0" w:type="dxa"/>
          <w:bottom w:w="0" w:type="dxa"/>
          <w:right w:w="0" w:type="dxa"/>
        </w:tblCellMar>
      </w:tblPr>
      <w:tr>
        <w:trPr>
          <w:trHeight w:val="115"/>
        </w:trPr>
        <w:tc>
          <w:tcPr>
            <w:tcW w:w="2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5"/>
              </w:rPr>
              <w:t>Name</w:t>
            </w:r>
          </w:p>
        </w:tc>
        <w:tc>
          <w:tcPr>
            <w:tcW w:w="3360" w:type="dxa"/>
            <w:vAlign w:val="bottom"/>
            <w:vMerge w:val="restart"/>
          </w:tcPr>
          <w:p>
            <w:pPr>
              <w:spacing w:after="0"/>
              <w:rPr>
                <w:sz w:val="10"/>
                <w:szCs w:val="10"/>
                <w:color w:val="auto"/>
              </w:rPr>
            </w:pPr>
          </w:p>
        </w:tc>
        <w:tc>
          <w:tcPr>
            <w:tcW w:w="13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Issuance Date</w:t>
            </w:r>
          </w:p>
        </w:tc>
        <w:tc>
          <w:tcPr>
            <w:tcW w:w="108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Original Issuance</w:t>
            </w:r>
          </w:p>
        </w:tc>
        <w:tc>
          <w:tcPr>
            <w:tcW w:w="60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Number of</w:t>
            </w:r>
          </w:p>
        </w:tc>
        <w:tc>
          <w:tcPr>
            <w:tcW w:w="0" w:type="dxa"/>
            <w:vAlign w:val="bottom"/>
          </w:tcPr>
          <w:p>
            <w:pPr>
              <w:spacing w:after="0"/>
              <w:rPr>
                <w:sz w:val="1"/>
                <w:szCs w:val="1"/>
                <w:color w:val="auto"/>
              </w:rPr>
            </w:pPr>
          </w:p>
        </w:tc>
      </w:tr>
      <w:tr>
        <w:trPr>
          <w:trHeight w:val="134"/>
        </w:trPr>
        <w:tc>
          <w:tcPr>
            <w:tcW w:w="260" w:type="dxa"/>
            <w:vAlign w:val="bottom"/>
            <w:tcBorders>
              <w:bottom w:val="single" w:sz="8" w:color="auto"/>
            </w:tcBorders>
            <w:vMerge w:val="continue"/>
          </w:tcPr>
          <w:p>
            <w:pPr>
              <w:spacing w:after="0"/>
              <w:rPr>
                <w:sz w:val="11"/>
                <w:szCs w:val="11"/>
                <w:color w:val="auto"/>
              </w:rPr>
            </w:pPr>
          </w:p>
        </w:tc>
        <w:tc>
          <w:tcPr>
            <w:tcW w:w="3360" w:type="dxa"/>
            <w:vAlign w:val="bottom"/>
            <w:vMerge w:val="continue"/>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Price per Share</w:t>
            </w:r>
          </w:p>
        </w:tc>
        <w:tc>
          <w:tcPr>
            <w:tcW w:w="60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0" w:type="dxa"/>
            <w:vAlign w:val="bottom"/>
          </w:tcPr>
          <w:p>
            <w:pPr>
              <w:spacing w:after="0"/>
              <w:rPr>
                <w:sz w:val="1"/>
                <w:szCs w:val="1"/>
                <w:color w:val="auto"/>
              </w:rPr>
            </w:pPr>
          </w:p>
        </w:tc>
      </w:tr>
      <w:tr>
        <w:trPr>
          <w:trHeight w:val="135"/>
        </w:trPr>
        <w:tc>
          <w:tcPr>
            <w:tcW w:w="3620" w:type="dxa"/>
            <w:vAlign w:val="bottom"/>
            <w:tcBorders>
              <w:top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Series Seed 1 preferred shares</w:t>
            </w:r>
          </w:p>
        </w:tc>
        <w:tc>
          <w:tcPr>
            <w:tcW w:w="108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March 23, 2015</w:t>
            </w:r>
          </w:p>
        </w:tc>
        <w:tc>
          <w:tcPr>
            <w:tcW w:w="2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0.1670</w:t>
            </w:r>
          </w:p>
        </w:tc>
        <w:tc>
          <w:tcPr>
            <w:tcW w:w="2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7,281,000</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Series Seed 2 preferred shares</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March 23, 2015</w:t>
            </w:r>
          </w:p>
        </w:tc>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0.0560</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7,281,000</w:t>
            </w:r>
          </w:p>
        </w:tc>
        <w:tc>
          <w:tcPr>
            <w:tcW w:w="0" w:type="dxa"/>
            <w:vAlign w:val="bottom"/>
          </w:tcPr>
          <w:p>
            <w:pPr>
              <w:spacing w:after="0"/>
              <w:rPr>
                <w:sz w:val="1"/>
                <w:szCs w:val="1"/>
                <w:color w:val="auto"/>
              </w:rPr>
            </w:pPr>
          </w:p>
        </w:tc>
      </w:tr>
      <w:tr>
        <w:trPr>
          <w:trHeight w:val="15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Seed 3 preferred shares</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March 23, 2015</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0.2792</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1,456,200</w:t>
            </w:r>
          </w:p>
        </w:tc>
        <w:tc>
          <w:tcPr>
            <w:tcW w:w="0" w:type="dxa"/>
            <w:vAlign w:val="bottom"/>
          </w:tcPr>
          <w:p>
            <w:pPr>
              <w:spacing w:after="0"/>
              <w:rPr>
                <w:sz w:val="1"/>
                <w:szCs w:val="1"/>
                <w:color w:val="auto"/>
              </w:rPr>
            </w:pPr>
          </w:p>
        </w:tc>
      </w:tr>
      <w:tr>
        <w:trPr>
          <w:trHeight w:val="156"/>
        </w:trPr>
        <w:tc>
          <w:tcPr>
            <w:tcW w:w="3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Series A preferred shares</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March 23, 2015</w:t>
            </w:r>
          </w:p>
        </w:tc>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1.0038</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6,375,657</w:t>
            </w:r>
          </w:p>
        </w:tc>
        <w:tc>
          <w:tcPr>
            <w:tcW w:w="0" w:type="dxa"/>
            <w:vAlign w:val="bottom"/>
          </w:tcPr>
          <w:p>
            <w:pPr>
              <w:spacing w:after="0"/>
              <w:rPr>
                <w:sz w:val="1"/>
                <w:szCs w:val="1"/>
                <w:color w:val="auto"/>
              </w:rPr>
            </w:pPr>
          </w:p>
        </w:tc>
      </w:tr>
      <w:tr>
        <w:trPr>
          <w:trHeight w:val="15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A preferred shares</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August 19, 2015</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1.0038</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1,743,375</w:t>
            </w:r>
          </w:p>
        </w:tc>
        <w:tc>
          <w:tcPr>
            <w:tcW w:w="0" w:type="dxa"/>
            <w:vAlign w:val="bottom"/>
          </w:tcPr>
          <w:p>
            <w:pPr>
              <w:spacing w:after="0"/>
              <w:rPr>
                <w:sz w:val="1"/>
                <w:szCs w:val="1"/>
                <w:color w:val="auto"/>
              </w:rPr>
            </w:pPr>
          </w:p>
        </w:tc>
      </w:tr>
      <w:tr>
        <w:trPr>
          <w:trHeight w:val="156"/>
        </w:trPr>
        <w:tc>
          <w:tcPr>
            <w:tcW w:w="3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Series B preferred shares</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August 21, 2015</w:t>
            </w:r>
          </w:p>
        </w:tc>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3.6339</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9,218,756</w:t>
            </w:r>
          </w:p>
        </w:tc>
        <w:tc>
          <w:tcPr>
            <w:tcW w:w="0" w:type="dxa"/>
            <w:vAlign w:val="bottom"/>
          </w:tcPr>
          <w:p>
            <w:pPr>
              <w:spacing w:after="0"/>
              <w:rPr>
                <w:sz w:val="1"/>
                <w:szCs w:val="1"/>
                <w:color w:val="auto"/>
              </w:rPr>
            </w:pPr>
          </w:p>
        </w:tc>
      </w:tr>
      <w:tr>
        <w:trPr>
          <w:trHeight w:val="15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B preferred shares</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November 20, 2015</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3.6339</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1,651,121</w:t>
            </w:r>
          </w:p>
        </w:tc>
        <w:tc>
          <w:tcPr>
            <w:tcW w:w="0" w:type="dxa"/>
            <w:vAlign w:val="bottom"/>
          </w:tcPr>
          <w:p>
            <w:pPr>
              <w:spacing w:after="0"/>
              <w:rPr>
                <w:sz w:val="1"/>
                <w:szCs w:val="1"/>
                <w:color w:val="auto"/>
              </w:rPr>
            </w:pPr>
          </w:p>
        </w:tc>
      </w:tr>
      <w:tr>
        <w:trPr>
          <w:trHeight w:val="156"/>
        </w:trPr>
        <w:tc>
          <w:tcPr>
            <w:tcW w:w="3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Series B preferred shares</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February 23, 2016</w:t>
            </w:r>
          </w:p>
        </w:tc>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3.6339</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302,414</w:t>
            </w:r>
          </w:p>
        </w:tc>
        <w:tc>
          <w:tcPr>
            <w:tcW w:w="0" w:type="dxa"/>
            <w:vAlign w:val="bottom"/>
          </w:tcPr>
          <w:p>
            <w:pPr>
              <w:spacing w:after="0"/>
              <w:rPr>
                <w:sz w:val="1"/>
                <w:szCs w:val="1"/>
                <w:color w:val="auto"/>
              </w:rPr>
            </w:pPr>
          </w:p>
        </w:tc>
      </w:tr>
      <w:tr>
        <w:trPr>
          <w:trHeight w:val="15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C preferred shares</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December 27, 2016</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5.8853</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1,699,139</w:t>
            </w:r>
          </w:p>
        </w:tc>
        <w:tc>
          <w:tcPr>
            <w:tcW w:w="0" w:type="dxa"/>
            <w:vAlign w:val="bottom"/>
          </w:tcPr>
          <w:p>
            <w:pPr>
              <w:spacing w:after="0"/>
              <w:rPr>
                <w:sz w:val="1"/>
                <w:szCs w:val="1"/>
                <w:color w:val="auto"/>
              </w:rPr>
            </w:pPr>
          </w:p>
        </w:tc>
      </w:tr>
      <w:tr>
        <w:trPr>
          <w:trHeight w:val="156"/>
        </w:trPr>
        <w:tc>
          <w:tcPr>
            <w:tcW w:w="3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Series C preferred shares</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June 5, 2017</w:t>
            </w:r>
          </w:p>
        </w:tc>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5.8853</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517,691</w:t>
            </w:r>
          </w:p>
        </w:tc>
        <w:tc>
          <w:tcPr>
            <w:tcW w:w="0" w:type="dxa"/>
            <w:vAlign w:val="bottom"/>
          </w:tcPr>
          <w:p>
            <w:pPr>
              <w:spacing w:after="0"/>
              <w:rPr>
                <w:sz w:val="1"/>
                <w:szCs w:val="1"/>
                <w:color w:val="auto"/>
              </w:rPr>
            </w:pPr>
          </w:p>
        </w:tc>
      </w:tr>
      <w:tr>
        <w:trPr>
          <w:trHeight w:val="15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C preferred shares</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September 20, 2017</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5.8853</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342,351</w:t>
            </w:r>
          </w:p>
        </w:tc>
        <w:tc>
          <w:tcPr>
            <w:tcW w:w="0" w:type="dxa"/>
            <w:vAlign w:val="bottom"/>
          </w:tcPr>
          <w:p>
            <w:pPr>
              <w:spacing w:after="0"/>
              <w:rPr>
                <w:sz w:val="1"/>
                <w:szCs w:val="1"/>
                <w:color w:val="auto"/>
              </w:rPr>
            </w:pPr>
          </w:p>
        </w:tc>
      </w:tr>
      <w:tr>
        <w:trPr>
          <w:trHeight w:val="168"/>
        </w:trPr>
        <w:tc>
          <w:tcPr>
            <w:tcW w:w="3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Series C preferred shares</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February 11, 2019</w:t>
            </w:r>
          </w:p>
        </w:tc>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5.8853</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1,189,397</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Series Seed 1, Series Seed 2 and Series Seed 3 preferred shares are collectively referred to as the “Series Seed Convertible Preferred Shares”.</w:t>
      </w:r>
    </w:p>
    <w:p>
      <w:pPr>
        <w:spacing w:after="0" w:line="84" w:lineRule="exact"/>
        <w:rPr>
          <w:sz w:val="20"/>
          <w:szCs w:val="20"/>
          <w:color w:val="auto"/>
        </w:rPr>
      </w:pPr>
    </w:p>
    <w:p>
      <w:pPr>
        <w:ind w:left="2000" w:right="719"/>
        <w:spacing w:after="0" w:line="278" w:lineRule="auto"/>
        <w:rPr>
          <w:sz w:val="20"/>
          <w:szCs w:val="20"/>
          <w:color w:val="auto"/>
        </w:rPr>
      </w:pPr>
      <w:r>
        <w:rPr>
          <w:rFonts w:ascii="Times New Roman" w:cs="Times New Roman" w:eastAsia="Times New Roman" w:hAnsi="Times New Roman"/>
          <w:sz w:val="13"/>
          <w:szCs w:val="13"/>
          <w:color w:val="auto"/>
        </w:rPr>
        <w:t>Series A, Series B and Series C preferred shares are collectively referred to as the “Redeemable Convertible Preferred Shares”, and collectively with the Series Seed Convertible Preferred Shares, the “Preferred Shares”.</w:t>
      </w:r>
    </w:p>
    <w:p>
      <w:pPr>
        <w:spacing w:after="0" w:line="43" w:lineRule="exact"/>
        <w:rPr>
          <w:sz w:val="20"/>
          <w:szCs w:val="20"/>
          <w:color w:val="auto"/>
        </w:rPr>
      </w:pPr>
    </w:p>
    <w:p>
      <w:pPr>
        <w:ind w:left="2000" w:right="639"/>
        <w:spacing w:after="0" w:line="264" w:lineRule="auto"/>
        <w:rPr>
          <w:sz w:val="20"/>
          <w:szCs w:val="20"/>
          <w:color w:val="auto"/>
        </w:rPr>
      </w:pPr>
      <w:r>
        <w:rPr>
          <w:rFonts w:ascii="Times New Roman" w:cs="Times New Roman" w:eastAsia="Times New Roman" w:hAnsi="Times New Roman"/>
          <w:sz w:val="13"/>
          <w:szCs w:val="13"/>
          <w:color w:val="auto"/>
        </w:rPr>
        <w:t>On February 1, 2019, the Company entered into the Series C preferred share purchase agreement with an existing shareholder, to issue 1,189,397 convertible and redeemable Series C preferred shares for an aggregate cash consideration of US$7,000 (equivalent to RMB47,436). The cash proceeds received was US$7,000 (equivalent to RMB47,436), net of issuance costs of US$110 (equivalent to RMB743).</w:t>
      </w:r>
    </w:p>
    <w:p>
      <w:pPr>
        <w:spacing w:after="0" w:line="8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color w:val="auto"/>
        </w:rPr>
        <w:t>F- 53</w:t>
      </w:r>
    </w:p>
    <w:p>
      <w:pPr>
        <w:sectPr>
          <w:pgSz w:w="11900" w:h="16838" w:orient="portrait"/>
          <w:cols w:equalWidth="0" w:num="1">
            <w:col w:w="10159"/>
          </w:cols>
          <w:pgMar w:left="300" w:top="388" w:right="1440"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3">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 (CONTINUED)</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4">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7" w:lineRule="exact"/>
        <w:rPr>
          <w:sz w:val="20"/>
          <w:szCs w:val="20"/>
          <w:color w:val="auto"/>
        </w:rPr>
      </w:pPr>
    </w:p>
    <w:p>
      <w:pPr>
        <w:ind w:left="1980" w:hanging="304"/>
        <w:spacing w:after="0"/>
        <w:tabs>
          <w:tab w:leader="none" w:pos="1980" w:val="left"/>
        </w:tabs>
        <w:numPr>
          <w:ilvl w:val="0"/>
          <w:numId w:val="14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Preferred Shares (Continued)</w:t>
      </w:r>
    </w:p>
    <w:p>
      <w:pPr>
        <w:spacing w:after="0" w:line="115" w:lineRule="exact"/>
        <w:rPr>
          <w:rFonts w:ascii="Times New Roman" w:cs="Times New Roman" w:eastAsia="Times New Roman" w:hAnsi="Times New Roman"/>
          <w:sz w:val="13"/>
          <w:szCs w:val="13"/>
          <w:b w:val="1"/>
          <w:bCs w:val="1"/>
          <w:color w:val="auto"/>
        </w:rPr>
      </w:pPr>
    </w:p>
    <w:p>
      <w:pPr>
        <w:ind w:left="2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significant terms of the Preferred Shares are summarized as follows:</w:t>
      </w:r>
    </w:p>
    <w:p>
      <w:pPr>
        <w:spacing w:after="0" w:line="235" w:lineRule="exact"/>
        <w:rPr>
          <w:rFonts w:ascii="Times New Roman" w:cs="Times New Roman" w:eastAsia="Times New Roman" w:hAnsi="Times New Roman"/>
          <w:sz w:val="13"/>
          <w:szCs w:val="13"/>
          <w:b w:val="1"/>
          <w:bCs w:val="1"/>
          <w:color w:val="auto"/>
        </w:rPr>
      </w:pPr>
    </w:p>
    <w:p>
      <w:pPr>
        <w:ind w:left="2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i w:val="1"/>
          <w:iCs w:val="1"/>
          <w:color w:val="auto"/>
        </w:rPr>
        <w:t>Dividends</w:t>
      </w:r>
    </w:p>
    <w:p>
      <w:pPr>
        <w:spacing w:after="0" w:line="87" w:lineRule="exact"/>
        <w:rPr>
          <w:rFonts w:ascii="Times New Roman" w:cs="Times New Roman" w:eastAsia="Times New Roman" w:hAnsi="Times New Roman"/>
          <w:sz w:val="13"/>
          <w:szCs w:val="13"/>
          <w:b w:val="1"/>
          <w:bCs w:val="1"/>
          <w:color w:val="auto"/>
        </w:rPr>
      </w:pPr>
    </w:p>
    <w:p>
      <w:pPr>
        <w:ind w:left="2000" w:right="559"/>
        <w:spacing w:after="0" w:line="257"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Each holder of the Redeemable Convertible Preferred Shares shall be entitled to receive dividends at the rate of eight percent (8%) per annum as and if declared by the Board of Directors in preference and priority (“Preferential Dividends”) to the Series Seed Convertible Preferred Shares and ordinary shares. After payment of the Preferential Dividends, each shareholder of the Company shall be entitled to receive dividends payable in cash out of any remaining funds that are legally available therefore, on parity with each other on an as-converted basis, when, as and if declared by the Board of Directors.</w:t>
      </w:r>
    </w:p>
    <w:p>
      <w:pPr>
        <w:spacing w:after="0" w:line="55" w:lineRule="exact"/>
        <w:rPr>
          <w:rFonts w:ascii="Times New Roman" w:cs="Times New Roman" w:eastAsia="Times New Roman" w:hAnsi="Times New Roman"/>
          <w:sz w:val="13"/>
          <w:szCs w:val="13"/>
          <w:b w:val="1"/>
          <w:bCs w:val="1"/>
          <w:color w:val="auto"/>
        </w:rPr>
      </w:pPr>
    </w:p>
    <w:p>
      <w:pPr>
        <w:ind w:left="2000" w:right="579"/>
        <w:spacing w:after="0" w:line="278"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For the years ended December 31, 2018 and 2019, no dividends were declared by the Company’s Board of Directors on the Preferred Shares prior to the automatic conversion into ordinary shares upon the Company’s IPO.</w:t>
      </w:r>
    </w:p>
    <w:p>
      <w:pPr>
        <w:spacing w:after="0" w:line="194" w:lineRule="exact"/>
        <w:rPr>
          <w:rFonts w:ascii="Times New Roman" w:cs="Times New Roman" w:eastAsia="Times New Roman" w:hAnsi="Times New Roman"/>
          <w:sz w:val="13"/>
          <w:szCs w:val="13"/>
          <w:b w:val="1"/>
          <w:bCs w:val="1"/>
          <w:color w:val="auto"/>
        </w:rPr>
      </w:pPr>
    </w:p>
    <w:p>
      <w:pPr>
        <w:ind w:left="2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i w:val="1"/>
          <w:iCs w:val="1"/>
          <w:color w:val="auto"/>
        </w:rPr>
        <w:t>Conversion Rights</w:t>
      </w:r>
    </w:p>
    <w:p>
      <w:pPr>
        <w:spacing w:after="0" w:line="87" w:lineRule="exact"/>
        <w:rPr>
          <w:rFonts w:ascii="Times New Roman" w:cs="Times New Roman" w:eastAsia="Times New Roman" w:hAnsi="Times New Roman"/>
          <w:sz w:val="13"/>
          <w:szCs w:val="13"/>
          <w:b w:val="1"/>
          <w:bCs w:val="1"/>
          <w:color w:val="auto"/>
        </w:rPr>
      </w:pPr>
    </w:p>
    <w:p>
      <w:pPr>
        <w:ind w:left="2000" w:right="659"/>
        <w:spacing w:after="0" w:line="278"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Each holder of the Preferred Shares has the right, at each holder’s sole discretion, to convert at any time and from time to time, all or any portion of the Preferred Shares into ordinary shares.</w:t>
      </w:r>
    </w:p>
    <w:p>
      <w:pPr>
        <w:spacing w:after="0" w:line="42" w:lineRule="exact"/>
        <w:rPr>
          <w:rFonts w:ascii="Times New Roman" w:cs="Times New Roman" w:eastAsia="Times New Roman" w:hAnsi="Times New Roman"/>
          <w:sz w:val="13"/>
          <w:szCs w:val="13"/>
          <w:b w:val="1"/>
          <w:bCs w:val="1"/>
          <w:color w:val="auto"/>
        </w:rPr>
      </w:pPr>
    </w:p>
    <w:p>
      <w:pPr>
        <w:ind w:left="2000" w:right="619"/>
        <w:spacing w:after="0" w:line="259"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Preferred Shares are automatically convertible into ordinary shares upon the earlier of (1) closing of a Qualified IPO, based on the applicable then-effective conversion price or (2) election in writing by the approval of the holders of at least a majority of the then outstanding Preferred Shares, which shall include the majority of the then outstanding Series A preferred shares, the majority of the then outstanding Series B preferred shares and the majority of the then outstanding Series C preferred shares.</w:t>
      </w:r>
    </w:p>
    <w:p>
      <w:pPr>
        <w:spacing w:after="0" w:line="55" w:lineRule="exact"/>
        <w:rPr>
          <w:rFonts w:ascii="Times New Roman" w:cs="Times New Roman" w:eastAsia="Times New Roman" w:hAnsi="Times New Roman"/>
          <w:sz w:val="13"/>
          <w:szCs w:val="13"/>
          <w:b w:val="1"/>
          <w:bCs w:val="1"/>
          <w:color w:val="auto"/>
        </w:rPr>
      </w:pPr>
    </w:p>
    <w:p>
      <w:pPr>
        <w:ind w:left="2000" w:right="559"/>
        <w:spacing w:after="0" w:line="254"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initial conversion price is the stated issuance price of each series of the Preferred Shares, i.e., on a one-for-one basis. Such conversion prices are subject to adjustments in the event that the Company issues additional ordinary shares or additional deemed ordinary shares through options or convertible instruments for a consideration per share received by the Company less than the original respective conversion prices, as the case may be, in effect on the date of and immediately prior to such issue. In such event, the respective conversion price is reduced, concurrently with such issue, to a price as adjusted according to an agreed-upon formula. The above conversion prices are also subject to adjustments on a proportional basis upon other dilution events. Prior to the automatic conversion of the Preferred Shares into ordinary shares upon the Company’s IPO on December 12, 2019, no adjustment has been made to the conversion price of the Preferred shares.</w:t>
      </w:r>
    </w:p>
    <w:p>
      <w:pPr>
        <w:spacing w:after="0" w:line="211" w:lineRule="exact"/>
        <w:rPr>
          <w:rFonts w:ascii="Times New Roman" w:cs="Times New Roman" w:eastAsia="Times New Roman" w:hAnsi="Times New Roman"/>
          <w:sz w:val="13"/>
          <w:szCs w:val="13"/>
          <w:b w:val="1"/>
          <w:bCs w:val="1"/>
          <w:color w:val="auto"/>
        </w:rPr>
      </w:pPr>
    </w:p>
    <w:p>
      <w:pPr>
        <w:ind w:left="2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i w:val="1"/>
          <w:iCs w:val="1"/>
          <w:color w:val="auto"/>
        </w:rPr>
        <w:t>Voting Rights</w:t>
      </w:r>
    </w:p>
    <w:p>
      <w:pPr>
        <w:spacing w:after="0" w:line="87" w:lineRule="exact"/>
        <w:rPr>
          <w:rFonts w:ascii="Times New Roman" w:cs="Times New Roman" w:eastAsia="Times New Roman" w:hAnsi="Times New Roman"/>
          <w:sz w:val="13"/>
          <w:szCs w:val="13"/>
          <w:b w:val="1"/>
          <w:bCs w:val="1"/>
          <w:color w:val="auto"/>
        </w:rPr>
      </w:pPr>
    </w:p>
    <w:p>
      <w:pPr>
        <w:ind w:left="2000" w:right="539"/>
        <w:spacing w:after="0" w:line="259"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Each Preferred Share carries the number of votes equal to the number of ordinary shares into which such Preferred Share could be converted. Unless otherwise required by the Company’s Amended and Restated Memorandum and Articles of Association whereby the Preferred Shares shall vote as a separate class, the preferred shareholders shall vote together with ordinary shareholders as a single class on all matters subject to such votes.</w:t>
      </w:r>
    </w:p>
    <w:p>
      <w:pPr>
        <w:spacing w:after="0" w:line="206" w:lineRule="exact"/>
        <w:rPr>
          <w:rFonts w:ascii="Times New Roman" w:cs="Times New Roman" w:eastAsia="Times New Roman" w:hAnsi="Times New Roman"/>
          <w:sz w:val="13"/>
          <w:szCs w:val="13"/>
          <w:b w:val="1"/>
          <w:bCs w:val="1"/>
          <w:color w:val="auto"/>
        </w:rPr>
      </w:pPr>
    </w:p>
    <w:p>
      <w:pPr>
        <w:ind w:left="2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i w:val="1"/>
          <w:iCs w:val="1"/>
          <w:color w:val="auto"/>
        </w:rPr>
        <w:t>Redemption Rights</w:t>
      </w:r>
    </w:p>
    <w:p>
      <w:pPr>
        <w:spacing w:after="0" w:line="87" w:lineRule="exact"/>
        <w:rPr>
          <w:rFonts w:ascii="Times New Roman" w:cs="Times New Roman" w:eastAsia="Times New Roman" w:hAnsi="Times New Roman"/>
          <w:sz w:val="13"/>
          <w:szCs w:val="13"/>
          <w:b w:val="1"/>
          <w:bCs w:val="1"/>
          <w:color w:val="auto"/>
        </w:rPr>
      </w:pPr>
    </w:p>
    <w:p>
      <w:pPr>
        <w:ind w:left="2000" w:right="659"/>
        <w:spacing w:after="0" w:line="257"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If a Qualified IPO does not occur on or before July 30, 2019 (the “Redemption Start Date”), then subject to the exercise or waiver of redemption rights by all of the holders of Redeemable Convertible Preferred Shares, the Redeemable Convertible Preferred Shares at any time after the Redemption Start Date, shall be redeemable a price equal to (i) one hundred percent (100%) of the original issuance price, plus (ii) any declared but unpaid dividend, plus (iii) accrued interest at an interest rate of ten percent (10%) per annum compounded annually commencing from the original issuance date of each Redeemable Convertible Preferred Share.</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color w:val="auto"/>
        </w:rPr>
        <w:t>F- 54</w:t>
      </w:r>
    </w:p>
    <w:p>
      <w:pPr>
        <w:sectPr>
          <w:pgSz w:w="11900" w:h="16838" w:orient="portrait"/>
          <w:cols w:equalWidth="0" w:num="1">
            <w:col w:w="10159"/>
          </w:cols>
          <w:pgMar w:left="300" w:top="388" w:right="1440"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5">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 (CONTINUED)</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6">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7" w:lineRule="exact"/>
        <w:rPr>
          <w:sz w:val="20"/>
          <w:szCs w:val="20"/>
          <w:color w:val="auto"/>
        </w:rPr>
      </w:pPr>
    </w:p>
    <w:p>
      <w:pPr>
        <w:ind w:left="2000" w:right="6539" w:hanging="324"/>
        <w:spacing w:after="0" w:line="433" w:lineRule="auto"/>
        <w:tabs>
          <w:tab w:leader="none" w:pos="1994" w:val="left"/>
        </w:tabs>
        <w:numPr>
          <w:ilvl w:val="0"/>
          <w:numId w:val="14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Preferred Shares (Continued) </w:t>
      </w:r>
      <w:r>
        <w:rPr>
          <w:rFonts w:ascii="Times New Roman" w:cs="Times New Roman" w:eastAsia="Times New Roman" w:hAnsi="Times New Roman"/>
          <w:sz w:val="12"/>
          <w:szCs w:val="12"/>
          <w:b w:val="1"/>
          <w:bCs w:val="1"/>
          <w:i w:val="1"/>
          <w:iCs w:val="1"/>
          <w:color w:val="auto"/>
        </w:rPr>
        <w:t>Liquidation Preference</w:t>
      </w:r>
    </w:p>
    <w:p>
      <w:pPr>
        <w:ind w:left="2000" w:right="759"/>
        <w:spacing w:after="0" w:line="278"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3"/>
          <w:szCs w:val="13"/>
          <w:color w:val="auto"/>
        </w:rPr>
        <w:t>In the event of liquidation, dissolution or winding up of the Group or any deemed liquidation event as defined in the Company’s Amended and Restated Memorandum and Articles of Association, the assets of the Group available for distribution shall be made as follows:</w:t>
      </w:r>
    </w:p>
    <w:p>
      <w:pPr>
        <w:spacing w:after="0" w:line="52" w:lineRule="exact"/>
        <w:rPr>
          <w:rFonts w:ascii="Times New Roman" w:cs="Times New Roman" w:eastAsia="Times New Roman" w:hAnsi="Times New Roman"/>
          <w:sz w:val="12"/>
          <w:szCs w:val="12"/>
          <w:b w:val="1"/>
          <w:bCs w:val="1"/>
          <w:color w:val="auto"/>
        </w:rPr>
      </w:pPr>
    </w:p>
    <w:p>
      <w:pPr>
        <w:ind w:left="2380" w:right="579" w:hanging="393"/>
        <w:spacing w:after="0" w:line="264" w:lineRule="auto"/>
        <w:tabs>
          <w:tab w:leader="none" w:pos="2380" w:val="left"/>
        </w:tabs>
        <w:numPr>
          <w:ilvl w:val="1"/>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holders of Series C preferred shares are entitled to receive an amount equal to 150% of the original issuance price plus all declared but unpaid dividends and distributions (the “Series C Preferred Share Preference Amount”), in preference to all other classes or series of preferred shares and the ordinary shareholders of the Company;</w:t>
      </w:r>
    </w:p>
    <w:p>
      <w:pPr>
        <w:spacing w:after="0" w:line="61" w:lineRule="exact"/>
        <w:rPr>
          <w:rFonts w:ascii="Times New Roman" w:cs="Times New Roman" w:eastAsia="Times New Roman" w:hAnsi="Times New Roman"/>
          <w:sz w:val="13"/>
          <w:szCs w:val="13"/>
          <w:color w:val="auto"/>
        </w:rPr>
      </w:pPr>
    </w:p>
    <w:p>
      <w:pPr>
        <w:ind w:left="2380" w:right="679" w:hanging="393"/>
        <w:spacing w:after="0" w:line="259" w:lineRule="auto"/>
        <w:tabs>
          <w:tab w:leader="none" w:pos="2380" w:val="left"/>
        </w:tabs>
        <w:numPr>
          <w:ilvl w:val="1"/>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After the full Series C Preferred Share Preference Amount on all Series C preferred shares then outstanding has been paid, the holders of Series B preferred shares are entitled to receive an amount equal to 150% of the original issuance price plus all declared but unpaid dividends and distributions (the “Series B Preferred Share Preference Amount”), in preference to any distribution to the holders of the Series A preferred shares, Series Seed preferred shares and the ordinary shareholders of the Company;</w:t>
      </w:r>
    </w:p>
    <w:p>
      <w:pPr>
        <w:spacing w:after="0" w:line="64" w:lineRule="exact"/>
        <w:rPr>
          <w:rFonts w:ascii="Times New Roman" w:cs="Times New Roman" w:eastAsia="Times New Roman" w:hAnsi="Times New Roman"/>
          <w:sz w:val="13"/>
          <w:szCs w:val="13"/>
          <w:color w:val="auto"/>
        </w:rPr>
      </w:pPr>
    </w:p>
    <w:p>
      <w:pPr>
        <w:ind w:left="2380" w:right="679" w:hanging="393"/>
        <w:spacing w:after="0" w:line="259" w:lineRule="auto"/>
        <w:tabs>
          <w:tab w:leader="none" w:pos="2380" w:val="left"/>
        </w:tabs>
        <w:numPr>
          <w:ilvl w:val="1"/>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After the full Series B Preferred Share Preference Amount on all Series B preferred shares then outstanding has been paid, the holders of Series A preferred shares are entitled to receive an amount equal to 150% of the original issuance price plus all declared but unpaid dividends and distributions (the “Series A Preferred Share Preference Amount”, in preference to any distribution to the holders of the Series Seed preferred shares and the ordinary shareholders of the Company;</w:t>
      </w:r>
    </w:p>
    <w:p>
      <w:pPr>
        <w:spacing w:after="0" w:line="64" w:lineRule="exact"/>
        <w:rPr>
          <w:rFonts w:ascii="Times New Roman" w:cs="Times New Roman" w:eastAsia="Times New Roman" w:hAnsi="Times New Roman"/>
          <w:sz w:val="13"/>
          <w:szCs w:val="13"/>
          <w:color w:val="auto"/>
        </w:rPr>
      </w:pPr>
    </w:p>
    <w:p>
      <w:pPr>
        <w:ind w:left="2380" w:right="679" w:hanging="393"/>
        <w:spacing w:after="0" w:line="259" w:lineRule="auto"/>
        <w:tabs>
          <w:tab w:leader="none" w:pos="2380" w:val="left"/>
        </w:tabs>
        <w:numPr>
          <w:ilvl w:val="1"/>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After the full Series A Preferred Share Preference Amount on all Series A preferred shares then outstanding has been paid, the holders of Series Seed preferred shares are entitled to receive an amount equal to 100% of the original issuance price plus all declared but unpaid dividends and distributions (the “Series Seed Preferred Share Preference Amount”), in preference to any distribution to the holders of the ordinary shareholders of the Company; and</w:t>
      </w:r>
    </w:p>
    <w:p>
      <w:pPr>
        <w:spacing w:after="0" w:line="64" w:lineRule="exact"/>
        <w:rPr>
          <w:rFonts w:ascii="Times New Roman" w:cs="Times New Roman" w:eastAsia="Times New Roman" w:hAnsi="Times New Roman"/>
          <w:sz w:val="13"/>
          <w:szCs w:val="13"/>
          <w:color w:val="auto"/>
        </w:rPr>
      </w:pPr>
    </w:p>
    <w:p>
      <w:pPr>
        <w:ind w:left="2380" w:right="779" w:hanging="393"/>
        <w:spacing w:after="0" w:line="259" w:lineRule="auto"/>
        <w:tabs>
          <w:tab w:leader="none" w:pos="2380" w:val="left"/>
        </w:tabs>
        <w:numPr>
          <w:ilvl w:val="1"/>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After the full Series Seed Preferred Share Preference Amount on all Series Seed preferred shares then outstanding has been paid, any remaining funds or assets of the Company legally available for distribution to shareholders shall be distributed on a pro rata, pari passu basis among the holders of the then outstanding Redeemable Convertible Preferred Shares on an as-converted basis, together with the holders of the then outstanding ordinary shares.</w:t>
      </w:r>
    </w:p>
    <w:p>
      <w:pPr>
        <w:spacing w:after="0" w:line="55" w:lineRule="exact"/>
        <w:rPr>
          <w:sz w:val="20"/>
          <w:szCs w:val="20"/>
          <w:color w:val="auto"/>
        </w:rPr>
      </w:pPr>
    </w:p>
    <w:p>
      <w:pPr>
        <w:ind w:left="2000" w:right="819"/>
        <w:spacing w:after="0" w:line="264" w:lineRule="auto"/>
        <w:rPr>
          <w:sz w:val="20"/>
          <w:szCs w:val="20"/>
          <w:color w:val="auto"/>
        </w:rPr>
      </w:pPr>
      <w:r>
        <w:rPr>
          <w:rFonts w:ascii="Times New Roman" w:cs="Times New Roman" w:eastAsia="Times New Roman" w:hAnsi="Times New Roman"/>
          <w:sz w:val="13"/>
          <w:szCs w:val="13"/>
          <w:color w:val="auto"/>
        </w:rPr>
        <w:t>If, upon any such liquidation, the assets of the Group are insufficient to make payment of the liquidation preference related to any series of preferred shares, the remaining assets and funds of the Group available for distribution shall be distributed ratably amongst the holders of that series of preferred shares in proportion to the full amounts to which they would otherwise be entitled to.</w:t>
      </w:r>
    </w:p>
    <w:p>
      <w:pPr>
        <w:spacing w:after="0" w:line="20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Deemed Liquidation</w:t>
      </w:r>
    </w:p>
    <w:p>
      <w:pPr>
        <w:spacing w:after="0" w:line="88" w:lineRule="exact"/>
        <w:rPr>
          <w:sz w:val="20"/>
          <w:szCs w:val="20"/>
          <w:color w:val="auto"/>
        </w:rPr>
      </w:pPr>
    </w:p>
    <w:p>
      <w:pPr>
        <w:ind w:left="2000" w:right="579"/>
        <w:spacing w:after="0" w:line="255" w:lineRule="auto"/>
        <w:rPr>
          <w:sz w:val="20"/>
          <w:szCs w:val="20"/>
          <w:color w:val="auto"/>
        </w:rPr>
      </w:pPr>
      <w:r>
        <w:rPr>
          <w:rFonts w:ascii="Times New Roman" w:cs="Times New Roman" w:eastAsia="Times New Roman" w:hAnsi="Times New Roman"/>
          <w:sz w:val="13"/>
          <w:szCs w:val="13"/>
          <w:color w:val="auto"/>
        </w:rPr>
        <w:t>Any sale of shares, merger, consolidation or other similar transaction involving the Group in which its shareholders do not retain a majority of the voting power in the surviving or resulting entity, or a sale of all or substantially all the Company’s assets, shall be deemed a liquidation, dissolution or winding up of the Group (“Deemed Liquidation”), such that the liquidation preference shall apply as if all consideration received by the Company and its shareholders in connection with such event were being distributed in a liquidation of the Group. The Series Seed Convertible Preferred Shares are not redeemable except in the event of a Deemed Liquidation, which permits the holders to receive the Seed Preferred Share Preference Amount as defined above.</w:t>
      </w:r>
    </w:p>
    <w:p>
      <w:pPr>
        <w:spacing w:after="0" w:line="8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color w:val="auto"/>
        </w:rPr>
        <w:t>F- 55</w:t>
      </w:r>
    </w:p>
    <w:p>
      <w:pPr>
        <w:sectPr>
          <w:pgSz w:w="11900" w:h="16838" w:orient="portrait"/>
          <w:cols w:equalWidth="0" w:num="1">
            <w:col w:w="10159"/>
          </w:cols>
          <w:pgMar w:left="300" w:top="388" w:right="1440"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7">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 (CONTINUED)</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8">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7" w:lineRule="exact"/>
        <w:rPr>
          <w:sz w:val="20"/>
          <w:szCs w:val="20"/>
          <w:color w:val="auto"/>
        </w:rPr>
      </w:pPr>
    </w:p>
    <w:p>
      <w:pPr>
        <w:ind w:left="2000" w:right="6539" w:hanging="324"/>
        <w:spacing w:after="0" w:line="433" w:lineRule="auto"/>
        <w:tabs>
          <w:tab w:leader="none" w:pos="1994" w:val="left"/>
        </w:tabs>
        <w:numPr>
          <w:ilvl w:val="0"/>
          <w:numId w:val="14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Preferred Shares (Continued) </w:t>
      </w:r>
      <w:r>
        <w:rPr>
          <w:rFonts w:ascii="Times New Roman" w:cs="Times New Roman" w:eastAsia="Times New Roman" w:hAnsi="Times New Roman"/>
          <w:sz w:val="12"/>
          <w:szCs w:val="12"/>
          <w:b w:val="1"/>
          <w:bCs w:val="1"/>
          <w:i w:val="1"/>
          <w:iCs w:val="1"/>
          <w:color w:val="auto"/>
        </w:rPr>
        <w:t>Registration Rights</w:t>
      </w:r>
    </w:p>
    <w:p>
      <w:pPr>
        <w:ind w:left="2000" w:right="559"/>
        <w:spacing w:after="0" w:line="253"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3"/>
          <w:szCs w:val="13"/>
          <w:color w:val="auto"/>
        </w:rPr>
        <w:t>The Redeemable Convertible Preferred Shares also contain registration rights which: (1) allow the holders of such shares to demand the Company to file a registration statement covering the offer and sale of the ordinary shares issuable or issued upon conversion of the Redeemable Convertible Preferred Shares at any time or from time to time after the earlier of (i) the third anniversary after the closing of the Series C Preferred Shares and six months following the effectiveness of a registration statement for a Qualified IPO; (2) require the Company to offer the Redeemable Convertible Preferred Shareholders an opportunity to include in a registration statement if the Company proposes to file a registration statement for a public offering of securities of the Company; (3) allow the Redeemable Convertible Preferred Shareholders to request the Company to file a registration statement on Form F-3 when the Company is eligible to use Form F-3. The Company is required to use commercially reasonable efforts to affect the registration if requested by the Redeemable Convertible Preferred Shareholders, but the provisions of the registration rights do not stipulate the consequences of non-performance if the Company made commercially reasonable efforts to effect registration nor any requirement to pay any monetary or non-monetary consideration for non-performance.</w:t>
      </w:r>
    </w:p>
    <w:p>
      <w:pPr>
        <w:spacing w:after="0" w:line="58" w:lineRule="exact"/>
        <w:rPr>
          <w:rFonts w:ascii="Times New Roman" w:cs="Times New Roman" w:eastAsia="Times New Roman" w:hAnsi="Times New Roman"/>
          <w:sz w:val="12"/>
          <w:szCs w:val="12"/>
          <w:b w:val="1"/>
          <w:bCs w:val="1"/>
          <w:color w:val="auto"/>
        </w:rPr>
      </w:pPr>
    </w:p>
    <w:p>
      <w:pPr>
        <w:ind w:left="200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3"/>
          <w:szCs w:val="13"/>
          <w:color w:val="auto"/>
        </w:rPr>
        <w:t>Accounting for Preferred Shares</w:t>
      </w:r>
    </w:p>
    <w:p>
      <w:pPr>
        <w:spacing w:after="0" w:line="83" w:lineRule="exact"/>
        <w:rPr>
          <w:rFonts w:ascii="Times New Roman" w:cs="Times New Roman" w:eastAsia="Times New Roman" w:hAnsi="Times New Roman"/>
          <w:sz w:val="12"/>
          <w:szCs w:val="12"/>
          <w:b w:val="1"/>
          <w:bCs w:val="1"/>
          <w:color w:val="auto"/>
        </w:rPr>
      </w:pPr>
    </w:p>
    <w:p>
      <w:pPr>
        <w:jc w:val="both"/>
        <w:ind w:left="2000" w:right="619"/>
        <w:spacing w:after="0" w:line="264"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3"/>
          <w:szCs w:val="13"/>
          <w:color w:val="auto"/>
        </w:rPr>
        <w:t>The Redeemable Convertible Preferred Shares are classified as mezzanine equity as they may be redeemed at the option of the holders on or after an agreed upon date outside the sole control of the Company while the Series Seed Convertible Preferred Shares are also classified as mezzanine equity as they may be redeemed upon a deemed liquidation event.</w:t>
      </w:r>
    </w:p>
    <w:p>
      <w:pPr>
        <w:spacing w:after="0" w:line="51" w:lineRule="exact"/>
        <w:rPr>
          <w:rFonts w:ascii="Times New Roman" w:cs="Times New Roman" w:eastAsia="Times New Roman" w:hAnsi="Times New Roman"/>
          <w:sz w:val="12"/>
          <w:szCs w:val="12"/>
          <w:b w:val="1"/>
          <w:bCs w:val="1"/>
          <w:color w:val="auto"/>
        </w:rPr>
      </w:pPr>
    </w:p>
    <w:p>
      <w:pPr>
        <w:ind w:left="2000" w:right="559"/>
        <w:spacing w:after="0" w:line="254"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3"/>
          <w:szCs w:val="13"/>
          <w:color w:val="auto"/>
        </w:rPr>
        <w:t>The holders of the Preferred Shares have the ability to convert the instrument into the Company’s ordinary shares. The Group evaluated the embedded conversion options in the Preferred Shares to determine if there were any embedded derivatives requiring bifurcation and to determine if there were any beneficial conversion features. The conversion option of the Preferred Shares does not qualify for bifurcation accounting because the conversion option is clearly and closely related to the host equity instrument and the underlying ordinary shares are not publicly traded nor readily convertible into cash. The contingent redemption options and the contingent registration rights of the Redeemable Convertible Preferred Shares did not qualify for bifurcation accounting because the underlying ordinary shares were neither publicly traded nor readily convertible into cash. There are no embedded derivatives that are required to be bifurcated.</w:t>
      </w:r>
    </w:p>
    <w:p>
      <w:pPr>
        <w:spacing w:after="0" w:line="59" w:lineRule="exact"/>
        <w:rPr>
          <w:rFonts w:ascii="Times New Roman" w:cs="Times New Roman" w:eastAsia="Times New Roman" w:hAnsi="Times New Roman"/>
          <w:sz w:val="12"/>
          <w:szCs w:val="12"/>
          <w:b w:val="1"/>
          <w:bCs w:val="1"/>
          <w:color w:val="auto"/>
        </w:rPr>
      </w:pPr>
    </w:p>
    <w:p>
      <w:pPr>
        <w:ind w:left="200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3"/>
          <w:szCs w:val="13"/>
          <w:color w:val="auto"/>
        </w:rPr>
        <w:t>The initial carrying amounts of the Preferred Shares are the fair value at the time of closing, less issuance costs.</w:t>
      </w:r>
    </w:p>
    <w:p>
      <w:pPr>
        <w:spacing w:after="0" w:line="83" w:lineRule="exact"/>
        <w:rPr>
          <w:rFonts w:ascii="Times New Roman" w:cs="Times New Roman" w:eastAsia="Times New Roman" w:hAnsi="Times New Roman"/>
          <w:sz w:val="12"/>
          <w:szCs w:val="12"/>
          <w:b w:val="1"/>
          <w:bCs w:val="1"/>
          <w:color w:val="auto"/>
        </w:rPr>
      </w:pPr>
    </w:p>
    <w:p>
      <w:pPr>
        <w:ind w:left="2000" w:right="619"/>
        <w:spacing w:after="0" w:line="253"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3"/>
          <w:szCs w:val="13"/>
          <w:color w:val="auto"/>
        </w:rPr>
        <w:t>Beneficial conversion features (“BCF”) exist when the conversion price of the Preferred Shares is lower than the fair value of the ordinary shares at the commitment date, which is the issuance date of the respective series of Preferred Shares. The Group determined the fair value of ordinary shares with the assistance of an independent third-party valuation firm. When a BCF exists as of the commitment date, its intrinsic value is bifurcated from the carrying value of the Preferred Shares as a contribution to additional paid-in capital. The contingent conversion price adjustment is accounted for as a contingent BCF. In accordance with ASC paragraph 470-20-35-1, changes to the conversion terms that would be triggered by future events not controlled by the issuer are accounted for as contingent conversions, and the intrinsic value of such conversion options would not be recognized until and unless a triggering event occurred. No BCF or contingent BCF was recognized for any of the Preferred Shares issued during the years presented and prior to the automatic conversion of the Preferred Shares into ordinary shares upon the Company’s IPO on December 12, 2019.</w:t>
      </w:r>
    </w:p>
    <w:p>
      <w:pPr>
        <w:spacing w:after="0" w:line="60" w:lineRule="exact"/>
        <w:rPr>
          <w:rFonts w:ascii="Times New Roman" w:cs="Times New Roman" w:eastAsia="Times New Roman" w:hAnsi="Times New Roman"/>
          <w:sz w:val="12"/>
          <w:szCs w:val="12"/>
          <w:b w:val="1"/>
          <w:bCs w:val="1"/>
          <w:color w:val="auto"/>
        </w:rPr>
      </w:pPr>
    </w:p>
    <w:p>
      <w:pPr>
        <w:ind w:left="2000" w:right="539"/>
        <w:spacing w:after="0" w:line="257"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3"/>
          <w:szCs w:val="13"/>
          <w:color w:val="auto"/>
        </w:rPr>
        <w:t>Though not currently redeemable, the Redeemable Convertible Preferred Shares will become redeemable solely based on the passage of time should the contingent events not occur. Therefore, the Group elected to recognize changes in the redemption value immediately as they occur and adjust the carrying amount of such preferred shares to equal the redemption value at the end of each reporting period as if it were also the redemption date. The Group has not accreted the Series Seed Convertible Preferred Shares to liquidation value as a Deemed Liquidation event was not considered probable as of the end of each period presented.</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color w:val="auto"/>
        </w:rPr>
        <w:t>F- 56</w:t>
      </w:r>
    </w:p>
    <w:p>
      <w:pPr>
        <w:sectPr>
          <w:pgSz w:w="11900" w:h="16838" w:orient="portrait"/>
          <w:cols w:equalWidth="0" w:num="1">
            <w:col w:w="10159"/>
          </w:cols>
          <w:pgMar w:left="300" w:top="388" w:right="1440"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9">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 (CONTINUED)</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0">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7" w:lineRule="exact"/>
        <w:rPr>
          <w:sz w:val="20"/>
          <w:szCs w:val="20"/>
          <w:color w:val="auto"/>
        </w:rPr>
      </w:pPr>
    </w:p>
    <w:p>
      <w:pPr>
        <w:ind w:left="2000" w:right="5819" w:hanging="324"/>
        <w:spacing w:after="0" w:line="422" w:lineRule="auto"/>
        <w:tabs>
          <w:tab w:leader="none" w:pos="1994" w:val="left"/>
        </w:tabs>
        <w:numPr>
          <w:ilvl w:val="0"/>
          <w:numId w:val="14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Preferred Shares (Continued) </w:t>
      </w:r>
      <w:r>
        <w:rPr>
          <w:rFonts w:ascii="Times New Roman" w:cs="Times New Roman" w:eastAsia="Times New Roman" w:hAnsi="Times New Roman"/>
          <w:sz w:val="13"/>
          <w:szCs w:val="13"/>
          <w:b w:val="1"/>
          <w:bCs w:val="1"/>
          <w:i w:val="1"/>
          <w:iCs w:val="1"/>
          <w:color w:val="auto"/>
        </w:rPr>
        <w:t xml:space="preserve">Registration Rights (Continued) </w:t>
      </w:r>
      <w:r>
        <w:rPr>
          <w:rFonts w:ascii="Times New Roman" w:cs="Times New Roman" w:eastAsia="Times New Roman" w:hAnsi="Times New Roman"/>
          <w:sz w:val="13"/>
          <w:szCs w:val="13"/>
          <w:color w:val="auto"/>
        </w:rPr>
        <w:t>Accounting for Preferred Shares (Continued)</w:t>
      </w:r>
    </w:p>
    <w:p>
      <w:pPr>
        <w:spacing w:after="0" w:line="1" w:lineRule="exact"/>
        <w:rPr>
          <w:rFonts w:ascii="Times New Roman" w:cs="Times New Roman" w:eastAsia="Times New Roman" w:hAnsi="Times New Roman"/>
          <w:sz w:val="13"/>
          <w:szCs w:val="13"/>
          <w:b w:val="1"/>
          <w:bCs w:val="1"/>
          <w:color w:val="auto"/>
        </w:rPr>
      </w:pPr>
    </w:p>
    <w:p>
      <w:pPr>
        <w:ind w:left="2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movement in the carrying value of the Preferred Shares prior to the Company’s IPO is as follows:</w:t>
      </w:r>
    </w:p>
    <w:p>
      <w:pPr>
        <w:spacing w:after="0" w:line="169"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78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480" w:type="dxa"/>
            <w:vAlign w:val="bottom"/>
            <w:gridSpan w:val="3"/>
          </w:tcPr>
          <w:p>
            <w:pPr>
              <w:jc w:val="center"/>
              <w:ind w:left="600"/>
              <w:spacing w:after="0"/>
              <w:rPr>
                <w:sz w:val="20"/>
                <w:szCs w:val="20"/>
                <w:color w:val="auto"/>
              </w:rPr>
            </w:pPr>
            <w:r>
              <w:rPr>
                <w:rFonts w:ascii="Times New Roman" w:cs="Times New Roman" w:eastAsia="Times New Roman" w:hAnsi="Times New Roman"/>
                <w:sz w:val="10"/>
                <w:szCs w:val="10"/>
                <w:b w:val="1"/>
                <w:bCs w:val="1"/>
                <w:color w:val="auto"/>
              </w:rPr>
              <w:t>Series Seed</w:t>
            </w: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Series A</w:t>
            </w: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Series B</w:t>
            </w: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Series C</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94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Mezzanine equity</w:t>
            </w:r>
          </w:p>
        </w:tc>
        <w:tc>
          <w:tcPr>
            <w:tcW w:w="820" w:type="dxa"/>
            <w:vAlign w:val="bottom"/>
          </w:tcPr>
          <w:p>
            <w:pPr>
              <w:spacing w:after="0"/>
              <w:rPr>
                <w:sz w:val="9"/>
                <w:szCs w:val="9"/>
                <w:color w:val="auto"/>
              </w:rPr>
            </w:pPr>
          </w:p>
        </w:tc>
        <w:tc>
          <w:tcPr>
            <w:tcW w:w="660" w:type="dxa"/>
            <w:vAlign w:val="bottom"/>
            <w:gridSpan w:val="2"/>
          </w:tcPr>
          <w:p>
            <w:pPr>
              <w:jc w:val="center"/>
              <w:ind w:right="160"/>
              <w:spacing w:after="0" w:line="107" w:lineRule="exact"/>
              <w:rPr>
                <w:sz w:val="20"/>
                <w:szCs w:val="20"/>
                <w:color w:val="auto"/>
              </w:rPr>
            </w:pPr>
            <w:r>
              <w:rPr>
                <w:rFonts w:ascii="Times New Roman" w:cs="Times New Roman" w:eastAsia="Times New Roman" w:hAnsi="Times New Roman"/>
                <w:sz w:val="10"/>
                <w:szCs w:val="10"/>
                <w:b w:val="1"/>
                <w:bCs w:val="1"/>
                <w:color w:val="auto"/>
              </w:rPr>
              <w:t>preferred</w:t>
            </w:r>
          </w:p>
        </w:tc>
        <w:tc>
          <w:tcPr>
            <w:tcW w:w="620" w:type="dxa"/>
            <w:vAlign w:val="bottom"/>
            <w:gridSpan w:val="2"/>
          </w:tcPr>
          <w:p>
            <w:pPr>
              <w:jc w:val="center"/>
              <w:ind w:right="160"/>
              <w:spacing w:after="0" w:line="107" w:lineRule="exact"/>
              <w:rPr>
                <w:sz w:val="20"/>
                <w:szCs w:val="20"/>
                <w:color w:val="auto"/>
              </w:rPr>
            </w:pPr>
            <w:r>
              <w:rPr>
                <w:rFonts w:ascii="Times New Roman" w:cs="Times New Roman" w:eastAsia="Times New Roman" w:hAnsi="Times New Roman"/>
                <w:sz w:val="10"/>
                <w:szCs w:val="10"/>
                <w:b w:val="1"/>
                <w:bCs w:val="1"/>
                <w:color w:val="auto"/>
              </w:rPr>
              <w:t>preferred</w:t>
            </w:r>
          </w:p>
        </w:tc>
        <w:tc>
          <w:tcPr>
            <w:tcW w:w="660" w:type="dxa"/>
            <w:vAlign w:val="bottom"/>
            <w:gridSpan w:val="2"/>
          </w:tcPr>
          <w:p>
            <w:pPr>
              <w:jc w:val="center"/>
              <w:ind w:right="200"/>
              <w:spacing w:after="0" w:line="107" w:lineRule="exact"/>
              <w:rPr>
                <w:sz w:val="20"/>
                <w:szCs w:val="20"/>
                <w:color w:val="auto"/>
              </w:rPr>
            </w:pPr>
            <w:r>
              <w:rPr>
                <w:rFonts w:ascii="Times New Roman" w:cs="Times New Roman" w:eastAsia="Times New Roman" w:hAnsi="Times New Roman"/>
                <w:sz w:val="10"/>
                <w:szCs w:val="10"/>
                <w:b w:val="1"/>
                <w:bCs w:val="1"/>
                <w:color w:val="auto"/>
              </w:rPr>
              <w:t>preferred</w:t>
            </w:r>
          </w:p>
        </w:tc>
        <w:tc>
          <w:tcPr>
            <w:tcW w:w="660" w:type="dxa"/>
            <w:vAlign w:val="bottom"/>
            <w:gridSpan w:val="2"/>
          </w:tcPr>
          <w:p>
            <w:pPr>
              <w:jc w:val="center"/>
              <w:ind w:right="180"/>
              <w:spacing w:after="0" w:line="107" w:lineRule="exact"/>
              <w:rPr>
                <w:sz w:val="20"/>
                <w:szCs w:val="20"/>
                <w:color w:val="auto"/>
              </w:rPr>
            </w:pPr>
            <w:r>
              <w:rPr>
                <w:rFonts w:ascii="Times New Roman" w:cs="Times New Roman" w:eastAsia="Times New Roman" w:hAnsi="Times New Roman"/>
                <w:sz w:val="10"/>
                <w:szCs w:val="10"/>
                <w:b w:val="1"/>
                <w:bCs w:val="1"/>
                <w:color w:val="auto"/>
              </w:rPr>
              <w:t>preferred</w:t>
            </w:r>
          </w:p>
        </w:tc>
        <w:tc>
          <w:tcPr>
            <w:tcW w:w="5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14"/>
        </w:trPr>
        <w:tc>
          <w:tcPr>
            <w:tcW w:w="394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5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80" w:type="dxa"/>
            <w:vAlign w:val="bottom"/>
            <w:tcBorders>
              <w:top w:val="single" w:sz="8" w:color="auto"/>
            </w:tcBorders>
          </w:tcPr>
          <w:p>
            <w:pPr>
              <w:spacing w:after="0"/>
              <w:rPr>
                <w:sz w:val="9"/>
                <w:szCs w:val="9"/>
                <w:color w:val="auto"/>
              </w:rPr>
            </w:pPr>
          </w:p>
        </w:tc>
        <w:tc>
          <w:tcPr>
            <w:tcW w:w="3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Borders>
              <w:top w:val="single" w:sz="8" w:color="auto"/>
            </w:tcBorders>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RMB</w:t>
            </w:r>
          </w:p>
        </w:tc>
        <w:tc>
          <w:tcPr>
            <w:tcW w:w="140" w:type="dxa"/>
            <w:vAlign w:val="bottom"/>
          </w:tcPr>
          <w:p>
            <w:pPr>
              <w:spacing w:after="0"/>
              <w:rPr>
                <w:sz w:val="9"/>
                <w:szCs w:val="9"/>
                <w:color w:val="auto"/>
              </w:rPr>
            </w:pPr>
          </w:p>
        </w:tc>
        <w:tc>
          <w:tcPr>
            <w:tcW w:w="460" w:type="dxa"/>
            <w:vAlign w:val="bottom"/>
            <w:tcBorders>
              <w:top w:val="single" w:sz="8" w:color="auto"/>
            </w:tcBorders>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RMB</w:t>
            </w:r>
          </w:p>
        </w:tc>
        <w:tc>
          <w:tcPr>
            <w:tcW w:w="160" w:type="dxa"/>
            <w:vAlign w:val="bottom"/>
          </w:tcPr>
          <w:p>
            <w:pPr>
              <w:spacing w:after="0"/>
              <w:rPr>
                <w:sz w:val="9"/>
                <w:szCs w:val="9"/>
                <w:color w:val="auto"/>
              </w:rPr>
            </w:pPr>
          </w:p>
        </w:tc>
        <w:tc>
          <w:tcPr>
            <w:tcW w:w="500" w:type="dxa"/>
            <w:vAlign w:val="bottom"/>
            <w:tcBorders>
              <w:top w:val="single" w:sz="8" w:color="auto"/>
            </w:tcBorders>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RMB</w:t>
            </w:r>
          </w:p>
        </w:tc>
        <w:tc>
          <w:tcPr>
            <w:tcW w:w="160" w:type="dxa"/>
            <w:vAlign w:val="bottom"/>
          </w:tcPr>
          <w:p>
            <w:pPr>
              <w:spacing w:after="0"/>
              <w:rPr>
                <w:sz w:val="9"/>
                <w:szCs w:val="9"/>
                <w:color w:val="auto"/>
              </w:rPr>
            </w:pPr>
          </w:p>
        </w:tc>
        <w:tc>
          <w:tcPr>
            <w:tcW w:w="500" w:type="dxa"/>
            <w:vAlign w:val="bottom"/>
            <w:tcBorders>
              <w:top w:val="single" w:sz="8" w:color="auto"/>
            </w:tcBorders>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RMB</w:t>
            </w:r>
          </w:p>
        </w:tc>
        <w:tc>
          <w:tcPr>
            <w:tcW w:w="160" w:type="dxa"/>
            <w:vAlign w:val="bottom"/>
          </w:tcPr>
          <w:p>
            <w:pPr>
              <w:spacing w:after="0"/>
              <w:rPr>
                <w:sz w:val="9"/>
                <w:szCs w:val="9"/>
                <w:color w:val="auto"/>
              </w:rPr>
            </w:pPr>
          </w:p>
        </w:tc>
        <w:tc>
          <w:tcPr>
            <w:tcW w:w="500" w:type="dxa"/>
            <w:vAlign w:val="bottom"/>
            <w:tcBorders>
              <w:top w:val="single" w:sz="8" w:color="auto"/>
            </w:tcBorders>
          </w:tcPr>
          <w:p>
            <w:pPr>
              <w:jc w:val="right"/>
              <w:ind w:right="78"/>
              <w:spacing w:after="0" w:line="107" w:lineRule="exact"/>
              <w:rPr>
                <w:sz w:val="20"/>
                <w:szCs w:val="20"/>
                <w:color w:val="auto"/>
              </w:rPr>
            </w:pPr>
            <w:r>
              <w:rPr>
                <w:rFonts w:ascii="Times New Roman" w:cs="Times New Roman" w:eastAsia="Times New Roman" w:hAnsi="Times New Roman"/>
                <w:sz w:val="10"/>
                <w:szCs w:val="10"/>
                <w:b w:val="1"/>
                <w:bCs w:val="1"/>
                <w:color w:val="auto"/>
              </w:rPr>
              <w:t>RMB</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as of December 31, 2018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21,651</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76,166</w:t>
            </w: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376,359</w:t>
            </w: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130,565</w:t>
            </w: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604,741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Issuance</w:t>
            </w:r>
          </w:p>
        </w:tc>
        <w:tc>
          <w:tcPr>
            <w:tcW w:w="82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46,693</w:t>
            </w:r>
          </w:p>
        </w:tc>
        <w:tc>
          <w:tcPr>
            <w:tcW w:w="1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46,693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Modification of preferred shares</w:t>
            </w:r>
          </w:p>
        </w:tc>
        <w:tc>
          <w:tcPr>
            <w:tcW w:w="8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6,956</w:t>
            </w: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3,030</w:t>
            </w: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9,986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Accretion to redemption value</w:t>
            </w:r>
          </w:p>
        </w:tc>
        <w:tc>
          <w:tcPr>
            <w:tcW w:w="82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3,039</w:t>
            </w:r>
          </w:p>
        </w:tc>
        <w:tc>
          <w:tcPr>
            <w:tcW w:w="1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7,649</w:t>
            </w:r>
          </w:p>
        </w:tc>
        <w:tc>
          <w:tcPr>
            <w:tcW w:w="1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6,574</w:t>
            </w:r>
          </w:p>
        </w:tc>
        <w:tc>
          <w:tcPr>
            <w:tcW w:w="1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17,262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Conversion of Preferred Shares to ordinary shares (Note 19)</w:t>
            </w:r>
          </w:p>
        </w:tc>
        <w:tc>
          <w:tcPr>
            <w:tcW w:w="1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(21,651)</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(79,205)</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(390,964)</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(186,862)</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(678,682)</w:t>
            </w:r>
          </w:p>
        </w:tc>
        <w:tc>
          <w:tcPr>
            <w:tcW w:w="0" w:type="dxa"/>
            <w:vAlign w:val="bottom"/>
          </w:tcPr>
          <w:p>
            <w:pPr>
              <w:spacing w:after="0"/>
              <w:rPr>
                <w:sz w:val="1"/>
                <w:szCs w:val="1"/>
                <w:color w:val="auto"/>
              </w:rPr>
            </w:pPr>
          </w:p>
        </w:tc>
      </w:tr>
      <w:tr>
        <w:trPr>
          <w:trHeight w:val="164"/>
        </w:trPr>
        <w:tc>
          <w:tcPr>
            <w:tcW w:w="39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Balance as of December 31, 2019</w:t>
            </w:r>
          </w:p>
        </w:tc>
        <w:tc>
          <w:tcPr>
            <w:tcW w:w="82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2000" w:right="719"/>
        <w:spacing w:after="0" w:line="278" w:lineRule="auto"/>
        <w:rPr>
          <w:sz w:val="20"/>
          <w:szCs w:val="20"/>
          <w:color w:val="auto"/>
        </w:rPr>
      </w:pPr>
      <w:r>
        <w:rPr>
          <w:rFonts w:ascii="Times New Roman" w:cs="Times New Roman" w:eastAsia="Times New Roman" w:hAnsi="Times New Roman"/>
          <w:sz w:val="13"/>
          <w:szCs w:val="13"/>
          <w:color w:val="auto"/>
        </w:rPr>
        <w:t>Upon completion of the Company’s IPO on December 12, 2019, all Preferred Shares were converted to 37,682,167 Class A ordinary shares and 1,375,934 Class B ordinary shares.</w:t>
      </w:r>
    </w:p>
    <w:p>
      <w:pPr>
        <w:spacing w:after="0" w:line="19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Modification of the Redeemable Convertible Preferred Shares</w:t>
      </w:r>
    </w:p>
    <w:p>
      <w:pPr>
        <w:spacing w:after="0" w:line="88" w:lineRule="exact"/>
        <w:rPr>
          <w:sz w:val="20"/>
          <w:szCs w:val="20"/>
          <w:color w:val="auto"/>
        </w:rPr>
      </w:pPr>
    </w:p>
    <w:p>
      <w:pPr>
        <w:ind w:left="2000" w:right="599"/>
        <w:spacing w:after="0" w:line="254" w:lineRule="auto"/>
        <w:rPr>
          <w:sz w:val="20"/>
          <w:szCs w:val="20"/>
          <w:color w:val="auto"/>
        </w:rPr>
      </w:pPr>
      <w:r>
        <w:rPr>
          <w:rFonts w:ascii="Times New Roman" w:cs="Times New Roman" w:eastAsia="Times New Roman" w:hAnsi="Times New Roman"/>
          <w:sz w:val="13"/>
          <w:szCs w:val="13"/>
          <w:color w:val="auto"/>
        </w:rPr>
        <w:t>In July 2019, the holders of the majority of each series of the Series A, Series B and Series C preferred shares executed a Limited Waiver and Undertaking Concerning Redemption Right (“Waiver and Undertaking”) whereby they irrevocably consent and undertake to the Company that, at any time prior to December 31, 2020, they will not exercise their redemption rights or approve the redemption of any shares of the Company, whether or not requested by any other shareholder. The Waiver and Undertaking shall cease to be effective upon the earliest of (i) the rejection by the U.S. Securities and Exchange Commission of the Company’s listing application, (ii) the Company serving a notice of withdrawal of its listing application, or (iii) the board of directors of the Company approving the abandonment of its listing application. No other rights, preferences or privileges of the Redeemable Convertible Preferred Shares changed under this waiver.</w:t>
      </w:r>
    </w:p>
    <w:p>
      <w:pPr>
        <w:spacing w:after="0" w:line="60" w:lineRule="exact"/>
        <w:rPr>
          <w:sz w:val="20"/>
          <w:szCs w:val="20"/>
          <w:color w:val="auto"/>
        </w:rPr>
      </w:pPr>
    </w:p>
    <w:p>
      <w:pPr>
        <w:ind w:left="2000" w:right="559"/>
        <w:spacing w:after="0" w:line="257" w:lineRule="auto"/>
        <w:rPr>
          <w:sz w:val="20"/>
          <w:szCs w:val="20"/>
          <w:color w:val="auto"/>
        </w:rPr>
      </w:pPr>
      <w:r>
        <w:rPr>
          <w:rFonts w:ascii="Times New Roman" w:cs="Times New Roman" w:eastAsia="Times New Roman" w:hAnsi="Times New Roman"/>
          <w:sz w:val="13"/>
          <w:szCs w:val="13"/>
          <w:color w:val="auto"/>
        </w:rPr>
        <w:t>The Group assesses whether an amendment to the terms of its Redeemable Convertible Preferred Shares is an extinguishment or a modification using the fair value model. As the fair value of the preferred shares immediately after the amendment did not change by more than 10% from their fair value immediately before the amendment, the Group accounted for the amendment as a modification to the Redeemable Convertible Preferred Shares, and the increase in the fair value was treated as a deemed dividend to the redeemable convertible preferred shareholders. Modifications that result in a decrease in the fair value of the redeemable convertible preferred shares are not recognized.</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color w:val="auto"/>
        </w:rPr>
        <w:t>F- 57</w:t>
      </w:r>
    </w:p>
    <w:p>
      <w:pPr>
        <w:sectPr>
          <w:pgSz w:w="11900" w:h="16838" w:orient="portrait"/>
          <w:cols w:equalWidth="0" w:num="1">
            <w:col w:w="10159"/>
          </w:cols>
          <w:pgMar w:left="300" w:top="388" w:right="1440"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1">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 (CONTINUED)</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2">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7" w:lineRule="exact"/>
        <w:rPr>
          <w:sz w:val="20"/>
          <w:szCs w:val="20"/>
          <w:color w:val="auto"/>
        </w:rPr>
      </w:pPr>
    </w:p>
    <w:p>
      <w:pPr>
        <w:ind w:left="2000" w:right="6999" w:hanging="324"/>
        <w:spacing w:after="0" w:line="407" w:lineRule="auto"/>
        <w:tabs>
          <w:tab w:leader="none" w:pos="1994" w:val="left"/>
        </w:tabs>
        <w:numPr>
          <w:ilvl w:val="0"/>
          <w:numId w:val="14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Shareholders’ Equity </w:t>
      </w:r>
      <w:r>
        <w:rPr>
          <w:rFonts w:ascii="Times New Roman" w:cs="Times New Roman" w:eastAsia="Times New Roman" w:hAnsi="Times New Roman"/>
          <w:sz w:val="12"/>
          <w:szCs w:val="12"/>
          <w:i w:val="1"/>
          <w:iCs w:val="1"/>
          <w:color w:val="auto"/>
        </w:rPr>
        <w:t>Ordinary Shares</w:t>
      </w:r>
    </w:p>
    <w:p>
      <w:pPr>
        <w:ind w:left="2000" w:right="779"/>
        <w:spacing w:after="0" w:line="278"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3"/>
          <w:szCs w:val="13"/>
          <w:color w:val="auto"/>
        </w:rPr>
        <w:t>On July 25, 2019, the Company issued 1,756,295, 1,300,000 and 645,535 ordinary shares to Ballman Inc., JM Elegance Holdings Limited and Richztx Limited, respectively, for settlements of RSUs.</w:t>
      </w:r>
    </w:p>
    <w:p>
      <w:pPr>
        <w:spacing w:after="0" w:line="42" w:lineRule="exact"/>
        <w:rPr>
          <w:rFonts w:ascii="Times New Roman" w:cs="Times New Roman" w:eastAsia="Times New Roman" w:hAnsi="Times New Roman"/>
          <w:sz w:val="12"/>
          <w:szCs w:val="12"/>
          <w:b w:val="1"/>
          <w:bCs w:val="1"/>
          <w:color w:val="auto"/>
        </w:rPr>
      </w:pPr>
    </w:p>
    <w:p>
      <w:pPr>
        <w:ind w:left="200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3"/>
          <w:szCs w:val="13"/>
          <w:color w:val="auto"/>
        </w:rPr>
        <w:t>On August 22, 2019, the Company issued 125,000 ordinary shares to Bob Skyline Limited for settlement of RSUs.</w:t>
      </w:r>
    </w:p>
    <w:p>
      <w:pPr>
        <w:spacing w:after="0" w:line="83" w:lineRule="exact"/>
        <w:rPr>
          <w:rFonts w:ascii="Times New Roman" w:cs="Times New Roman" w:eastAsia="Times New Roman" w:hAnsi="Times New Roman"/>
          <w:sz w:val="12"/>
          <w:szCs w:val="12"/>
          <w:b w:val="1"/>
          <w:bCs w:val="1"/>
          <w:color w:val="auto"/>
        </w:rPr>
      </w:pPr>
    </w:p>
    <w:p>
      <w:pPr>
        <w:ind w:left="2000" w:right="579"/>
        <w:spacing w:after="0" w:line="252"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3"/>
          <w:szCs w:val="13"/>
          <w:color w:val="auto"/>
        </w:rPr>
        <w:t>Upon completion of the Company’s IPO on December 12, 2019, 37,682,167 Class A ordinary shares and 1,375,934 Class B ordinary shares were issued upon conversion of all redeemable convertible preferred shares. In addition, immediately following the closing of the IPO, the Memorandum and Articles of Association were amended and restated such that the authorized share capital of the Company was reclassified and re-designated into 1,950,000,000 shares comprising of (i) 1,904,577,337 Class A ordinary shares and (ii) 45,422,663 Class B ordinary shares at par value of US$0.0001 per share. Holders of Class A ordinary shares and Class B ordinary shares have the same rights, except for voting and conversion rights. In respect of all matters subject to a shareholder vote, each Class A ordinary share is entitled to one vote, and each Class B ordinary share is entitled to ten votes, voting together as one class. Each Class B ordinary share is convertible into one Class A ordinary share at any time by the holder thereof. Class A ordinary shares are not convertible into Class B ordinary shares under any circumstances. Upon any sale, transfer, assignment or disposition of Class B ordinary shares by their holder or a change of ultimate beneficial ownership of any Class B ordinary share to any person other than the Company’s founder, Mr. Huazhi Hu, or an affiliate controlled by the Company’s founder, such Class B ordinary shares are automatically and immediately converted into the same number of Class A ordinary shares.</w:t>
      </w:r>
    </w:p>
    <w:p>
      <w:pPr>
        <w:spacing w:after="0" w:line="63" w:lineRule="exact"/>
        <w:rPr>
          <w:rFonts w:ascii="Times New Roman" w:cs="Times New Roman" w:eastAsia="Times New Roman" w:hAnsi="Times New Roman"/>
          <w:sz w:val="12"/>
          <w:szCs w:val="12"/>
          <w:b w:val="1"/>
          <w:bCs w:val="1"/>
          <w:color w:val="auto"/>
        </w:rPr>
      </w:pPr>
    </w:p>
    <w:p>
      <w:pPr>
        <w:ind w:left="200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3"/>
          <w:szCs w:val="13"/>
          <w:color w:val="auto"/>
        </w:rPr>
        <w:t>Upon completion of the Company’s IPO, 3,380,505 Class A ordinary shares were issued to certain employees for settlement of RSUs.</w:t>
      </w:r>
    </w:p>
    <w:p>
      <w:pPr>
        <w:spacing w:after="0" w:line="83" w:lineRule="exact"/>
        <w:rPr>
          <w:rFonts w:ascii="Times New Roman" w:cs="Times New Roman" w:eastAsia="Times New Roman" w:hAnsi="Times New Roman"/>
          <w:sz w:val="12"/>
          <w:szCs w:val="12"/>
          <w:b w:val="1"/>
          <w:bCs w:val="1"/>
          <w:color w:val="auto"/>
        </w:rPr>
      </w:pPr>
    </w:p>
    <w:p>
      <w:pPr>
        <w:ind w:left="2000" w:right="559"/>
        <w:spacing w:after="0" w:line="278"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3"/>
          <w:szCs w:val="13"/>
          <w:color w:val="auto"/>
        </w:rPr>
        <w:t>On January 16, 2020, the Company issued 170,062 Class A ordinary shares pursuant to the underwriters’ exercise of their over-allotment option to purchase additional ADSs.</w:t>
      </w:r>
    </w:p>
    <w:p>
      <w:pPr>
        <w:spacing w:after="0" w:line="42" w:lineRule="exact"/>
        <w:rPr>
          <w:rFonts w:ascii="Times New Roman" w:cs="Times New Roman" w:eastAsia="Times New Roman" w:hAnsi="Times New Roman"/>
          <w:sz w:val="12"/>
          <w:szCs w:val="12"/>
          <w:b w:val="1"/>
          <w:bCs w:val="1"/>
          <w:color w:val="auto"/>
        </w:rPr>
      </w:pPr>
    </w:p>
    <w:p>
      <w:pPr>
        <w:ind w:left="200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3"/>
          <w:szCs w:val="13"/>
          <w:color w:val="auto"/>
        </w:rPr>
        <w:t>For the year ended December 31, 2020, 430,108 Class B ordinary shares were converted to Class A ordinary shares.</w:t>
      </w:r>
    </w:p>
    <w:p>
      <w:pPr>
        <w:spacing w:after="0" w:line="83" w:lineRule="exact"/>
        <w:rPr>
          <w:rFonts w:ascii="Times New Roman" w:cs="Times New Roman" w:eastAsia="Times New Roman" w:hAnsi="Times New Roman"/>
          <w:sz w:val="12"/>
          <w:szCs w:val="12"/>
          <w:b w:val="1"/>
          <w:bCs w:val="1"/>
          <w:color w:val="auto"/>
        </w:rPr>
      </w:pPr>
    </w:p>
    <w:p>
      <w:pPr>
        <w:ind w:left="2000" w:right="719"/>
        <w:spacing w:after="0" w:line="278"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3"/>
          <w:szCs w:val="13"/>
          <w:color w:val="auto"/>
        </w:rPr>
        <w:t>On January 29, 2021, the Company issued 1,230,769 Class A ordinary shares to a European asset management company to complete its private placement.</w:t>
      </w:r>
    </w:p>
    <w:p>
      <w:pPr>
        <w:spacing w:after="0" w:line="42" w:lineRule="exact"/>
        <w:rPr>
          <w:rFonts w:ascii="Times New Roman" w:cs="Times New Roman" w:eastAsia="Times New Roman" w:hAnsi="Times New Roman"/>
          <w:sz w:val="12"/>
          <w:szCs w:val="12"/>
          <w:b w:val="1"/>
          <w:bCs w:val="1"/>
          <w:color w:val="auto"/>
        </w:rPr>
      </w:pPr>
    </w:p>
    <w:p>
      <w:pPr>
        <w:ind w:left="2000" w:right="579"/>
        <w:spacing w:after="0" w:line="25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3"/>
          <w:szCs w:val="13"/>
          <w:color w:val="auto"/>
        </w:rPr>
        <w:t>On July 29, 2021, the company issued and transferred 2,500,000 ordinary shares to The Bank of New York Mellon, its depositary bank to be issued to employees upon the vesting of restricted share units under 2015 Share Incentive Plan and 2019 Share Incentive Plan. For the year ended December 31, 2021, 3,002,130 Class A ordinary shares were issued pursuant to the vesting of restricted share units, among which 1,914,630 Class A ordinary shares were settled with shares held by the depositary bank. Therefore, as of December 31, 2021, 585,370 Class A ordinary shares remain available for future issuance. These shares are legally issued but not outstanding for the purpose of accounting and thus are excluded from the basic net loss per share calculation.</w:t>
      </w:r>
    </w:p>
    <w:p>
      <w:pPr>
        <w:spacing w:after="0" w:line="58" w:lineRule="exact"/>
        <w:rPr>
          <w:rFonts w:ascii="Times New Roman" w:cs="Times New Roman" w:eastAsia="Times New Roman" w:hAnsi="Times New Roman"/>
          <w:sz w:val="12"/>
          <w:szCs w:val="12"/>
          <w:b w:val="1"/>
          <w:bCs w:val="1"/>
          <w:color w:val="auto"/>
        </w:rPr>
      </w:pPr>
    </w:p>
    <w:p>
      <w:pPr>
        <w:ind w:left="2000" w:right="2039"/>
        <w:spacing w:after="0" w:line="457"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For the year ended December 31, 2021, 4,855,995 Class B ordinary shares were converted to Class A ordinary shares. As of December 31, 2021, there were 73,723,637 Class A and 40,136,560 Class B ordinary shares outstanding.</w:t>
      </w:r>
    </w:p>
    <w:p>
      <w:pPr>
        <w:spacing w:after="0" w:line="94" w:lineRule="exact"/>
        <w:rPr>
          <w:rFonts w:ascii="Times New Roman" w:cs="Times New Roman" w:eastAsia="Times New Roman" w:hAnsi="Times New Roman"/>
          <w:sz w:val="12"/>
          <w:szCs w:val="12"/>
          <w:b w:val="1"/>
          <w:bCs w:val="1"/>
          <w:color w:val="auto"/>
        </w:rPr>
      </w:pPr>
    </w:p>
    <w:p>
      <w:pPr>
        <w:ind w:left="200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3"/>
          <w:szCs w:val="13"/>
          <w:i w:val="1"/>
          <w:iCs w:val="1"/>
          <w:color w:val="auto"/>
        </w:rPr>
        <w:t>Accumulated Other Comprehensive Income (loss)</w:t>
      </w:r>
    </w:p>
    <w:p>
      <w:pPr>
        <w:spacing w:after="0" w:line="171" w:lineRule="exact"/>
        <w:rPr>
          <w:sz w:val="20"/>
          <w:szCs w:val="20"/>
          <w:color w:val="auto"/>
        </w:rPr>
      </w:pPr>
    </w:p>
    <w:tbl>
      <w:tblPr>
        <w:tblLayout w:type="fixed"/>
        <w:tblInd w:w="2320" w:type="dxa"/>
        <w:tblCellMar>
          <w:top w:w="0" w:type="dxa"/>
          <w:left w:w="0" w:type="dxa"/>
          <w:bottom w:w="0" w:type="dxa"/>
          <w:right w:w="0" w:type="dxa"/>
        </w:tblCellMar>
      </w:tblPr>
      <w:tr>
        <w:trPr>
          <w:trHeight w:val="115"/>
        </w:trPr>
        <w:tc>
          <w:tcPr>
            <w:tcW w:w="26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rPr>
              <w:t>Foreign currency</w:t>
            </w: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rPr>
              <w:t>Unrealized (realized)</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6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0" w:type="dxa"/>
            <w:vAlign w:val="bottom"/>
            <w:gridSpan w:val="2"/>
          </w:tcPr>
          <w:p>
            <w:pPr>
              <w:jc w:val="center"/>
              <w:ind w:right="440"/>
              <w:spacing w:after="0" w:line="107" w:lineRule="exact"/>
              <w:rPr>
                <w:sz w:val="20"/>
                <w:szCs w:val="20"/>
                <w:color w:val="auto"/>
              </w:rPr>
            </w:pPr>
            <w:r>
              <w:rPr>
                <w:rFonts w:ascii="Times New Roman" w:cs="Times New Roman" w:eastAsia="Times New Roman" w:hAnsi="Times New Roman"/>
                <w:sz w:val="10"/>
                <w:szCs w:val="10"/>
                <w:b w:val="1"/>
                <w:bCs w:val="1"/>
                <w:color w:val="auto"/>
              </w:rPr>
              <w:t>translation</w:t>
            </w:r>
          </w:p>
        </w:tc>
        <w:tc>
          <w:tcPr>
            <w:tcW w:w="1360" w:type="dxa"/>
            <w:vAlign w:val="bottom"/>
            <w:gridSpan w:val="2"/>
          </w:tcPr>
          <w:p>
            <w:pPr>
              <w:jc w:val="center"/>
              <w:ind w:right="420"/>
              <w:spacing w:after="0" w:line="107" w:lineRule="exact"/>
              <w:rPr>
                <w:sz w:val="20"/>
                <w:szCs w:val="20"/>
                <w:color w:val="auto"/>
              </w:rPr>
            </w:pPr>
            <w:r>
              <w:rPr>
                <w:rFonts w:ascii="Times New Roman" w:cs="Times New Roman" w:eastAsia="Times New Roman" w:hAnsi="Times New Roman"/>
                <w:sz w:val="10"/>
                <w:szCs w:val="10"/>
                <w:b w:val="1"/>
                <w:bCs w:val="1"/>
                <w:color w:val="auto"/>
              </w:rPr>
              <w:t>gains on available-</w:t>
            </w: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24"/>
        </w:trPr>
        <w:tc>
          <w:tcPr>
            <w:tcW w:w="26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rPr>
              <w:t>adjustment</w:t>
            </w: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rPr>
              <w:t>for-sales investments</w:t>
            </w:r>
          </w:p>
        </w:tc>
        <w:tc>
          <w:tcPr>
            <w:tcW w:w="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66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Borders>
              <w:top w:val="single" w:sz="8" w:color="auto"/>
            </w:tcBorders>
          </w:tcPr>
          <w:p>
            <w:pPr>
              <w:jc w:val="center"/>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440" w:type="dxa"/>
            <w:vAlign w:val="bottom"/>
          </w:tcPr>
          <w:p>
            <w:pPr>
              <w:spacing w:after="0"/>
              <w:rPr>
                <w:sz w:val="8"/>
                <w:szCs w:val="8"/>
                <w:color w:val="auto"/>
              </w:rPr>
            </w:pPr>
          </w:p>
        </w:tc>
        <w:tc>
          <w:tcPr>
            <w:tcW w:w="940" w:type="dxa"/>
            <w:vAlign w:val="bottom"/>
            <w:tcBorders>
              <w:top w:val="single" w:sz="8" w:color="auto"/>
            </w:tcBorders>
          </w:tcPr>
          <w:p>
            <w:pPr>
              <w:jc w:val="center"/>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420" w:type="dxa"/>
            <w:vAlign w:val="bottom"/>
          </w:tcPr>
          <w:p>
            <w:pPr>
              <w:spacing w:after="0"/>
              <w:rPr>
                <w:sz w:val="8"/>
                <w:szCs w:val="8"/>
                <w:color w:val="auto"/>
              </w:rPr>
            </w:pPr>
          </w:p>
        </w:tc>
        <w:tc>
          <w:tcPr>
            <w:tcW w:w="400" w:type="dxa"/>
            <w:vAlign w:val="bottom"/>
            <w:tcBorders>
              <w:top w:val="single" w:sz="8" w:color="auto"/>
            </w:tcBorders>
          </w:tcPr>
          <w:p>
            <w:pPr>
              <w:jc w:val="right"/>
              <w:ind w:right="18"/>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as of January 1, 2019</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8,849</w:t>
            </w:r>
          </w:p>
        </w:tc>
        <w:tc>
          <w:tcPr>
            <w:tcW w:w="44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8,849</w:t>
            </w:r>
          </w:p>
        </w:tc>
        <w:tc>
          <w:tcPr>
            <w:tcW w:w="0" w:type="dxa"/>
            <w:vAlign w:val="bottom"/>
          </w:tcPr>
          <w:p>
            <w:pPr>
              <w:spacing w:after="0"/>
              <w:rPr>
                <w:sz w:val="1"/>
                <w:szCs w:val="1"/>
                <w:color w:val="auto"/>
              </w:rPr>
            </w:pPr>
          </w:p>
        </w:tc>
      </w:tr>
      <w:tr>
        <w:trPr>
          <w:trHeight w:val="156"/>
        </w:trPr>
        <w:tc>
          <w:tcPr>
            <w:tcW w:w="266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960" w:type="dxa"/>
            <w:vAlign w:val="bottom"/>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1,346</w:t>
            </w:r>
          </w:p>
        </w:tc>
        <w:tc>
          <w:tcPr>
            <w:tcW w:w="440" w:type="dxa"/>
            <w:vAlign w:val="bottom"/>
          </w:tcPr>
          <w:p>
            <w:pPr>
              <w:spacing w:after="0"/>
              <w:rPr>
                <w:sz w:val="13"/>
                <w:szCs w:val="13"/>
                <w:color w:val="auto"/>
              </w:rPr>
            </w:pP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as of December 31, 2019</w:t>
            </w:r>
          </w:p>
        </w:tc>
        <w:tc>
          <w:tcPr>
            <w:tcW w:w="2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10,195</w:t>
            </w: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10,195</w:t>
            </w:r>
          </w:p>
        </w:tc>
        <w:tc>
          <w:tcPr>
            <w:tcW w:w="0" w:type="dxa"/>
            <w:vAlign w:val="bottom"/>
          </w:tcPr>
          <w:p>
            <w:pPr>
              <w:spacing w:after="0"/>
              <w:rPr>
                <w:sz w:val="1"/>
                <w:szCs w:val="1"/>
                <w:color w:val="auto"/>
              </w:rPr>
            </w:pPr>
          </w:p>
        </w:tc>
      </w:tr>
      <w:tr>
        <w:trPr>
          <w:trHeight w:val="156"/>
        </w:trPr>
        <w:tc>
          <w:tcPr>
            <w:tcW w:w="266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(loss) income</w:t>
            </w:r>
          </w:p>
        </w:tc>
        <w:tc>
          <w:tcPr>
            <w:tcW w:w="960" w:type="dxa"/>
            <w:vAlign w:val="bottom"/>
          </w:tcPr>
          <w:p>
            <w:pPr>
              <w:spacing w:after="0"/>
              <w:rPr>
                <w:sz w:val="13"/>
                <w:szCs w:val="13"/>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(9,974)</w:t>
            </w: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1,729</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(8,245)</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as of December 31, 2020</w:t>
            </w:r>
          </w:p>
        </w:tc>
        <w:tc>
          <w:tcPr>
            <w:tcW w:w="9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221</w:t>
            </w:r>
          </w:p>
        </w:tc>
        <w:tc>
          <w:tcPr>
            <w:tcW w:w="13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1,729</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1,950</w:t>
            </w:r>
          </w:p>
        </w:tc>
        <w:tc>
          <w:tcPr>
            <w:tcW w:w="0" w:type="dxa"/>
            <w:vAlign w:val="bottom"/>
          </w:tcPr>
          <w:p>
            <w:pPr>
              <w:spacing w:after="0"/>
              <w:rPr>
                <w:sz w:val="1"/>
                <w:szCs w:val="1"/>
                <w:color w:val="auto"/>
              </w:rPr>
            </w:pPr>
          </w:p>
        </w:tc>
      </w:tr>
      <w:tr>
        <w:trPr>
          <w:trHeight w:val="156"/>
        </w:trPr>
        <w:tc>
          <w:tcPr>
            <w:tcW w:w="266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960" w:type="dxa"/>
            <w:vAlign w:val="bottom"/>
          </w:tcPr>
          <w:p>
            <w:pPr>
              <w:spacing w:after="0"/>
              <w:rPr>
                <w:sz w:val="13"/>
                <w:szCs w:val="13"/>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(6,107)</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(1,729)</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(7,836)</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as of December 31, 2021</w:t>
            </w:r>
          </w:p>
        </w:tc>
        <w:tc>
          <w:tcPr>
            <w:tcW w:w="9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(5,886)</w:t>
            </w: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(5,886)</w:t>
            </w:r>
          </w:p>
        </w:tc>
        <w:tc>
          <w:tcPr>
            <w:tcW w:w="0" w:type="dxa"/>
            <w:vAlign w:val="bottom"/>
          </w:tcPr>
          <w:p>
            <w:pPr>
              <w:spacing w:after="0"/>
              <w:rPr>
                <w:sz w:val="1"/>
                <w:szCs w:val="1"/>
                <w:color w:val="auto"/>
              </w:rPr>
            </w:pPr>
          </w:p>
        </w:tc>
      </w:tr>
      <w:tr>
        <w:trPr>
          <w:trHeight w:val="175"/>
        </w:trPr>
        <w:tc>
          <w:tcPr>
            <w:tcW w:w="2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as of December 31, 2021 (US$)</w:t>
            </w:r>
          </w:p>
        </w:tc>
        <w:tc>
          <w:tcPr>
            <w:tcW w:w="96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(924)</w:t>
            </w:r>
          </w:p>
        </w:tc>
        <w:tc>
          <w:tcPr>
            <w:tcW w:w="440" w:type="dxa"/>
            <w:vAlign w:val="bottom"/>
          </w:tcPr>
          <w:p>
            <w:pPr>
              <w:spacing w:after="0"/>
              <w:rPr>
                <w:sz w:val="15"/>
                <w:szCs w:val="15"/>
                <w:color w:val="auto"/>
              </w:rPr>
            </w:pPr>
          </w:p>
        </w:tc>
        <w:tc>
          <w:tcPr>
            <w:tcW w:w="9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Pr>
          <w:p>
            <w:pPr>
              <w:spacing w:after="0"/>
              <w:rPr>
                <w:sz w:val="15"/>
                <w:szCs w:val="15"/>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2660" w:type="dxa"/>
            <w:vAlign w:val="bottom"/>
          </w:tcPr>
          <w:p>
            <w:pPr>
              <w:spacing w:after="0"/>
              <w:rPr>
                <w:sz w:val="23"/>
                <w:szCs w:val="23"/>
                <w:color w:val="auto"/>
              </w:rPr>
            </w:pPr>
          </w:p>
        </w:tc>
        <w:tc>
          <w:tcPr>
            <w:tcW w:w="2160" w:type="dxa"/>
            <w:vAlign w:val="bottom"/>
            <w:gridSpan w:val="3"/>
          </w:tcPr>
          <w:p>
            <w:pPr>
              <w:jc w:val="right"/>
              <w:ind w:right="1360"/>
              <w:spacing w:after="0"/>
              <w:rPr>
                <w:sz w:val="20"/>
                <w:szCs w:val="20"/>
                <w:color w:val="auto"/>
              </w:rPr>
            </w:pPr>
            <w:r>
              <w:rPr>
                <w:rFonts w:ascii="Times New Roman" w:cs="Times New Roman" w:eastAsia="Times New Roman" w:hAnsi="Times New Roman"/>
                <w:sz w:val="13"/>
                <w:szCs w:val="13"/>
                <w:color w:val="auto"/>
              </w:rPr>
              <w:t>F- 58</w:t>
            </w:r>
          </w:p>
        </w:tc>
        <w:tc>
          <w:tcPr>
            <w:tcW w:w="9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8" w:right="1440"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3">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 (CONTINUED)</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4">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7" w:lineRule="exact"/>
        <w:rPr>
          <w:sz w:val="20"/>
          <w:szCs w:val="20"/>
          <w:color w:val="auto"/>
        </w:rPr>
      </w:pPr>
    </w:p>
    <w:p>
      <w:pPr>
        <w:ind w:left="1980" w:hanging="304"/>
        <w:spacing w:after="0"/>
        <w:tabs>
          <w:tab w:leader="none" w:pos="1980" w:val="left"/>
        </w:tabs>
        <w:numPr>
          <w:ilvl w:val="0"/>
          <w:numId w:val="14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Loss Per Share</w:t>
      </w:r>
    </w:p>
    <w:p>
      <w:pPr>
        <w:spacing w:after="0" w:line="85" w:lineRule="exact"/>
        <w:rPr>
          <w:rFonts w:ascii="Times New Roman" w:cs="Times New Roman" w:eastAsia="Times New Roman" w:hAnsi="Times New Roman"/>
          <w:sz w:val="13"/>
          <w:szCs w:val="13"/>
          <w:b w:val="1"/>
          <w:bCs w:val="1"/>
          <w:color w:val="auto"/>
        </w:rPr>
      </w:pPr>
    </w:p>
    <w:p>
      <w:pPr>
        <w:ind w:left="2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following table sets forth the computation of basic and diluted net loss per share for the following periods:</w:t>
      </w:r>
    </w:p>
    <w:p>
      <w:pPr>
        <w:spacing w:after="0" w:line="177" w:lineRule="exact"/>
        <w:rPr>
          <w:sz w:val="20"/>
          <w:szCs w:val="20"/>
          <w:color w:val="auto"/>
        </w:rPr>
      </w:pPr>
    </w:p>
    <w:tbl>
      <w:tblPr>
        <w:tblLayout w:type="fixed"/>
        <w:tblInd w:w="1680" w:type="dxa"/>
        <w:tblCellMar>
          <w:top w:w="0" w:type="dxa"/>
          <w:left w:w="0" w:type="dxa"/>
          <w:bottom w:w="0" w:type="dxa"/>
          <w:right w:w="0" w:type="dxa"/>
        </w:tblCellMar>
      </w:tblPr>
      <w:tr>
        <w:trPr>
          <w:trHeight w:val="124"/>
        </w:trPr>
        <w:tc>
          <w:tcPr>
            <w:tcW w:w="308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gridSpan w:val="7"/>
          </w:tcPr>
          <w:p>
            <w:pPr>
              <w:jc w:val="right"/>
              <w:ind w:right="560"/>
              <w:spacing w:after="0"/>
              <w:rPr>
                <w:sz w:val="20"/>
                <w:szCs w:val="20"/>
                <w:color w:val="auto"/>
              </w:rPr>
            </w:pPr>
            <w:r>
              <w:rPr>
                <w:rFonts w:ascii="Times New Roman" w:cs="Times New Roman" w:eastAsia="Times New Roman" w:hAnsi="Times New Roman"/>
                <w:sz w:val="10"/>
                <w:szCs w:val="10"/>
                <w:b w:val="1"/>
                <w:bCs w:val="1"/>
                <w:color w:val="auto"/>
              </w:rPr>
              <w:t>For the year ended December 31,</w:t>
            </w:r>
          </w:p>
        </w:tc>
        <w:tc>
          <w:tcPr>
            <w:tcW w:w="5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7"/>
        </w:trPr>
        <w:tc>
          <w:tcPr>
            <w:tcW w:w="3080" w:type="dxa"/>
            <w:vAlign w:val="bottom"/>
          </w:tcPr>
          <w:p>
            <w:pPr>
              <w:spacing w:after="0"/>
              <w:rPr>
                <w:sz w:val="8"/>
                <w:szCs w:val="8"/>
                <w:color w:val="auto"/>
              </w:rPr>
            </w:pPr>
          </w:p>
        </w:tc>
        <w:tc>
          <w:tcPr>
            <w:tcW w:w="620" w:type="dxa"/>
            <w:vAlign w:val="bottom"/>
            <w:tcBorders>
              <w:bottom w:val="single" w:sz="8" w:color="auto"/>
            </w:tcBorders>
            <w:gridSpan w:val="2"/>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4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Borders>
              <w:bottom w:val="single" w:sz="8" w:color="auto"/>
            </w:tcBorders>
            <w:gridSpan w:val="2"/>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Borders>
              <w:bottom w:val="single" w:sz="8" w:color="auto"/>
            </w:tcBorders>
            <w:gridSpan w:val="2"/>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4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auto"/>
            </w:tcBorders>
            <w:gridSpan w:val="2"/>
          </w:tcPr>
          <w:p>
            <w:pPr>
              <w:jc w:val="right"/>
              <w:ind w:right="20"/>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4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97"/>
        </w:trPr>
        <w:tc>
          <w:tcPr>
            <w:tcW w:w="3080" w:type="dxa"/>
            <w:vAlign w:val="bottom"/>
          </w:tcPr>
          <w:p>
            <w:pPr>
              <w:spacing w:after="0"/>
              <w:rPr>
                <w:sz w:val="8"/>
                <w:szCs w:val="8"/>
                <w:color w:val="auto"/>
              </w:rPr>
            </w:pPr>
          </w:p>
        </w:tc>
        <w:tc>
          <w:tcPr>
            <w:tcW w:w="620" w:type="dxa"/>
            <w:vAlign w:val="bottom"/>
            <w:gridSpan w:val="2"/>
          </w:tcPr>
          <w:p>
            <w:pPr>
              <w:jc w:val="right"/>
              <w:ind w:right="240"/>
              <w:spacing w:after="0" w:line="97" w:lineRule="exact"/>
              <w:rPr>
                <w:sz w:val="20"/>
                <w:szCs w:val="20"/>
                <w:color w:val="auto"/>
              </w:rPr>
            </w:pPr>
            <w:r>
              <w:rPr>
                <w:rFonts w:ascii="Times New Roman" w:cs="Times New Roman" w:eastAsia="Times New Roman" w:hAnsi="Times New Roman"/>
                <w:sz w:val="10"/>
                <w:szCs w:val="10"/>
                <w:b w:val="1"/>
                <w:bCs w:val="1"/>
                <w:color w:val="auto"/>
              </w:rPr>
              <w:t>Class A</w:t>
            </w:r>
          </w:p>
        </w:tc>
        <w:tc>
          <w:tcPr>
            <w:tcW w:w="42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Class B</w:t>
            </w:r>
          </w:p>
        </w:tc>
        <w:tc>
          <w:tcPr>
            <w:tcW w:w="160" w:type="dxa"/>
            <w:vAlign w:val="bottom"/>
          </w:tcPr>
          <w:p>
            <w:pPr>
              <w:spacing w:after="0"/>
              <w:rPr>
                <w:sz w:val="8"/>
                <w:szCs w:val="8"/>
                <w:color w:val="auto"/>
              </w:rPr>
            </w:pPr>
          </w:p>
        </w:tc>
        <w:tc>
          <w:tcPr>
            <w:tcW w:w="640" w:type="dxa"/>
            <w:vAlign w:val="bottom"/>
            <w:gridSpan w:val="2"/>
          </w:tcPr>
          <w:p>
            <w:pPr>
              <w:jc w:val="right"/>
              <w:ind w:right="208"/>
              <w:spacing w:after="0" w:line="97" w:lineRule="exact"/>
              <w:rPr>
                <w:sz w:val="20"/>
                <w:szCs w:val="20"/>
                <w:color w:val="auto"/>
              </w:rPr>
            </w:pPr>
            <w:r>
              <w:rPr>
                <w:rFonts w:ascii="Times New Roman" w:cs="Times New Roman" w:eastAsia="Times New Roman" w:hAnsi="Times New Roman"/>
                <w:sz w:val="10"/>
                <w:szCs w:val="10"/>
                <w:b w:val="1"/>
                <w:bCs w:val="1"/>
                <w:color w:val="auto"/>
              </w:rPr>
              <w:t>Class A</w:t>
            </w:r>
          </w:p>
        </w:tc>
        <w:tc>
          <w:tcPr>
            <w:tcW w:w="420" w:type="dxa"/>
            <w:vAlign w:val="bottom"/>
          </w:tcPr>
          <w:p>
            <w:pPr>
              <w:jc w:val="right"/>
              <w:ind w:right="18"/>
              <w:spacing w:after="0" w:line="97" w:lineRule="exact"/>
              <w:rPr>
                <w:sz w:val="20"/>
                <w:szCs w:val="20"/>
                <w:color w:val="auto"/>
              </w:rPr>
            </w:pPr>
            <w:r>
              <w:rPr>
                <w:rFonts w:ascii="Times New Roman" w:cs="Times New Roman" w:eastAsia="Times New Roman" w:hAnsi="Times New Roman"/>
                <w:sz w:val="10"/>
                <w:szCs w:val="10"/>
                <w:b w:val="1"/>
                <w:bCs w:val="1"/>
                <w:color w:val="auto"/>
                <w:w w:val="99"/>
              </w:rPr>
              <w:t>Class B</w:t>
            </w:r>
          </w:p>
        </w:tc>
        <w:tc>
          <w:tcPr>
            <w:tcW w:w="140" w:type="dxa"/>
            <w:vAlign w:val="bottom"/>
          </w:tcPr>
          <w:p>
            <w:pPr>
              <w:spacing w:after="0"/>
              <w:rPr>
                <w:sz w:val="8"/>
                <w:szCs w:val="8"/>
                <w:color w:val="auto"/>
              </w:rPr>
            </w:pPr>
          </w:p>
        </w:tc>
        <w:tc>
          <w:tcPr>
            <w:tcW w:w="1120" w:type="dxa"/>
            <w:vAlign w:val="bottom"/>
            <w:gridSpan w:val="3"/>
          </w:tcPr>
          <w:p>
            <w:pPr>
              <w:jc w:val="right"/>
              <w:ind w:right="337"/>
              <w:spacing w:after="0" w:line="97" w:lineRule="exact"/>
              <w:rPr>
                <w:sz w:val="20"/>
                <w:szCs w:val="20"/>
                <w:color w:val="auto"/>
              </w:rPr>
            </w:pPr>
            <w:r>
              <w:rPr>
                <w:rFonts w:ascii="Times New Roman" w:cs="Times New Roman" w:eastAsia="Times New Roman" w:hAnsi="Times New Roman"/>
                <w:sz w:val="10"/>
                <w:szCs w:val="10"/>
                <w:b w:val="1"/>
                <w:bCs w:val="1"/>
                <w:color w:val="auto"/>
              </w:rPr>
              <w:t>Class A</w:t>
            </w:r>
          </w:p>
        </w:tc>
        <w:tc>
          <w:tcPr>
            <w:tcW w:w="160" w:type="dxa"/>
            <w:vAlign w:val="bottom"/>
          </w:tcPr>
          <w:p>
            <w:pPr>
              <w:spacing w:after="0"/>
              <w:rPr>
                <w:sz w:val="8"/>
                <w:szCs w:val="8"/>
                <w:color w:val="auto"/>
              </w:rPr>
            </w:pPr>
          </w:p>
        </w:tc>
        <w:tc>
          <w:tcPr>
            <w:tcW w:w="1100" w:type="dxa"/>
            <w:vAlign w:val="bottom"/>
            <w:gridSpan w:val="3"/>
          </w:tcPr>
          <w:p>
            <w:pPr>
              <w:jc w:val="right"/>
              <w:ind w:right="337"/>
              <w:spacing w:after="0" w:line="97" w:lineRule="exact"/>
              <w:rPr>
                <w:sz w:val="20"/>
                <w:szCs w:val="20"/>
                <w:color w:val="auto"/>
              </w:rPr>
            </w:pPr>
            <w:r>
              <w:rPr>
                <w:rFonts w:ascii="Times New Roman" w:cs="Times New Roman" w:eastAsia="Times New Roman" w:hAnsi="Times New Roman"/>
                <w:sz w:val="10"/>
                <w:szCs w:val="10"/>
                <w:b w:val="1"/>
                <w:bCs w:val="1"/>
                <w:color w:val="auto"/>
              </w:rPr>
              <w:t>Class B</w:t>
            </w:r>
          </w:p>
        </w:tc>
        <w:tc>
          <w:tcPr>
            <w:tcW w:w="80" w:type="dxa"/>
            <w:vAlign w:val="bottom"/>
          </w:tcPr>
          <w:p>
            <w:pPr>
              <w:spacing w:after="0"/>
              <w:rPr>
                <w:sz w:val="8"/>
                <w:szCs w:val="8"/>
                <w:color w:val="auto"/>
              </w:rPr>
            </w:pPr>
          </w:p>
        </w:tc>
      </w:tr>
      <w:tr>
        <w:trPr>
          <w:trHeight w:val="97"/>
        </w:trPr>
        <w:tc>
          <w:tcPr>
            <w:tcW w:w="3080" w:type="dxa"/>
            <w:vAlign w:val="bottom"/>
          </w:tcPr>
          <w:p>
            <w:pPr>
              <w:spacing w:after="0"/>
              <w:rPr>
                <w:sz w:val="8"/>
                <w:szCs w:val="8"/>
                <w:color w:val="auto"/>
              </w:rPr>
            </w:pPr>
          </w:p>
        </w:tc>
        <w:tc>
          <w:tcPr>
            <w:tcW w:w="440" w:type="dxa"/>
            <w:vAlign w:val="bottom"/>
            <w:tcBorders>
              <w:top w:val="single" w:sz="8" w:color="auto"/>
            </w:tcBorders>
          </w:tcPr>
          <w:p>
            <w:pPr>
              <w:jc w:val="right"/>
              <w:ind w:right="40"/>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180" w:type="dxa"/>
            <w:vAlign w:val="bottom"/>
          </w:tcPr>
          <w:p>
            <w:pPr>
              <w:spacing w:after="0"/>
              <w:rPr>
                <w:sz w:val="8"/>
                <w:szCs w:val="8"/>
                <w:color w:val="auto"/>
              </w:rPr>
            </w:pPr>
          </w:p>
        </w:tc>
        <w:tc>
          <w:tcPr>
            <w:tcW w:w="420" w:type="dxa"/>
            <w:vAlign w:val="bottom"/>
            <w:tcBorders>
              <w:top w:val="single" w:sz="8" w:color="auto"/>
            </w:tcBorders>
          </w:tcPr>
          <w:p>
            <w:pPr>
              <w:jc w:val="right"/>
              <w:ind w:right="38"/>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160" w:type="dxa"/>
            <w:vAlign w:val="bottom"/>
          </w:tcPr>
          <w:p>
            <w:pPr>
              <w:spacing w:after="0"/>
              <w:rPr>
                <w:sz w:val="8"/>
                <w:szCs w:val="8"/>
                <w:color w:val="auto"/>
              </w:rPr>
            </w:pPr>
          </w:p>
        </w:tc>
        <w:tc>
          <w:tcPr>
            <w:tcW w:w="440" w:type="dxa"/>
            <w:vAlign w:val="bottom"/>
            <w:tcBorders>
              <w:top w:val="single" w:sz="8" w:color="auto"/>
            </w:tcBorders>
          </w:tcPr>
          <w:p>
            <w:pPr>
              <w:jc w:val="right"/>
              <w:ind w:right="40"/>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200" w:type="dxa"/>
            <w:vAlign w:val="bottom"/>
          </w:tcPr>
          <w:p>
            <w:pPr>
              <w:spacing w:after="0"/>
              <w:rPr>
                <w:sz w:val="8"/>
                <w:szCs w:val="8"/>
                <w:color w:val="auto"/>
              </w:rPr>
            </w:pPr>
          </w:p>
        </w:tc>
        <w:tc>
          <w:tcPr>
            <w:tcW w:w="420" w:type="dxa"/>
            <w:vAlign w:val="bottom"/>
            <w:tcBorders>
              <w:top w:val="single" w:sz="8" w:color="auto"/>
            </w:tcBorders>
          </w:tcPr>
          <w:p>
            <w:pPr>
              <w:jc w:val="right"/>
              <w:ind w:right="58"/>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140" w:type="dxa"/>
            <w:vAlign w:val="bottom"/>
          </w:tcPr>
          <w:p>
            <w:pPr>
              <w:spacing w:after="0"/>
              <w:rPr>
                <w:sz w:val="8"/>
                <w:szCs w:val="8"/>
                <w:color w:val="auto"/>
              </w:rPr>
            </w:pPr>
          </w:p>
        </w:tc>
        <w:tc>
          <w:tcPr>
            <w:tcW w:w="660" w:type="dxa"/>
            <w:vAlign w:val="bottom"/>
            <w:tcBorders>
              <w:top w:val="single" w:sz="8" w:color="auto"/>
            </w:tcBorders>
            <w:gridSpan w:val="2"/>
          </w:tcPr>
          <w:p>
            <w:pPr>
              <w:jc w:val="right"/>
              <w:ind w:right="280"/>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460" w:type="dxa"/>
            <w:vAlign w:val="bottom"/>
            <w:tcBorders>
              <w:top w:val="single" w:sz="8" w:color="auto"/>
            </w:tcBorders>
          </w:tcPr>
          <w:p>
            <w:pPr>
              <w:jc w:val="right"/>
              <w:ind w:right="77"/>
              <w:spacing w:after="0" w:line="97" w:lineRule="exact"/>
              <w:rPr>
                <w:sz w:val="20"/>
                <w:szCs w:val="20"/>
                <w:color w:val="auto"/>
              </w:rPr>
            </w:pPr>
            <w:r>
              <w:rPr>
                <w:rFonts w:ascii="Times New Roman" w:cs="Times New Roman" w:eastAsia="Times New Roman" w:hAnsi="Times New Roman"/>
                <w:sz w:val="10"/>
                <w:szCs w:val="10"/>
                <w:b w:val="1"/>
                <w:bCs w:val="1"/>
                <w:color w:val="auto"/>
              </w:rPr>
              <w:t>US$</w:t>
            </w:r>
          </w:p>
        </w:tc>
        <w:tc>
          <w:tcPr>
            <w:tcW w:w="160" w:type="dxa"/>
            <w:vAlign w:val="bottom"/>
          </w:tcPr>
          <w:p>
            <w:pPr>
              <w:spacing w:after="0"/>
              <w:rPr>
                <w:sz w:val="8"/>
                <w:szCs w:val="8"/>
                <w:color w:val="auto"/>
              </w:rPr>
            </w:pPr>
          </w:p>
        </w:tc>
        <w:tc>
          <w:tcPr>
            <w:tcW w:w="660" w:type="dxa"/>
            <w:vAlign w:val="bottom"/>
            <w:tcBorders>
              <w:top w:val="single" w:sz="8" w:color="auto"/>
            </w:tcBorders>
            <w:gridSpan w:val="2"/>
          </w:tcPr>
          <w:p>
            <w:pPr>
              <w:jc w:val="right"/>
              <w:ind w:right="300"/>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440" w:type="dxa"/>
            <w:vAlign w:val="bottom"/>
            <w:tcBorders>
              <w:top w:val="single" w:sz="8" w:color="auto"/>
            </w:tcBorders>
          </w:tcPr>
          <w:p>
            <w:pPr>
              <w:jc w:val="right"/>
              <w:ind w:right="77"/>
              <w:spacing w:after="0" w:line="97" w:lineRule="exact"/>
              <w:rPr>
                <w:sz w:val="20"/>
                <w:szCs w:val="20"/>
                <w:color w:val="auto"/>
              </w:rPr>
            </w:pPr>
            <w:r>
              <w:rPr>
                <w:rFonts w:ascii="Times New Roman" w:cs="Times New Roman" w:eastAsia="Times New Roman" w:hAnsi="Times New Roman"/>
                <w:sz w:val="10"/>
                <w:szCs w:val="10"/>
                <w:b w:val="1"/>
                <w:bCs w:val="1"/>
                <w:color w:val="auto"/>
              </w:rPr>
              <w:t>US$</w:t>
            </w:r>
          </w:p>
        </w:tc>
        <w:tc>
          <w:tcPr>
            <w:tcW w:w="80" w:type="dxa"/>
            <w:vAlign w:val="bottom"/>
          </w:tcPr>
          <w:p>
            <w:pPr>
              <w:spacing w:after="0"/>
              <w:rPr>
                <w:sz w:val="8"/>
                <w:szCs w:val="8"/>
                <w:color w:val="auto"/>
              </w:rPr>
            </w:pPr>
          </w:p>
        </w:tc>
      </w:tr>
      <w:tr>
        <w:trPr>
          <w:trHeight w:val="15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Numerator:</w:t>
            </w:r>
          </w:p>
        </w:tc>
        <w:tc>
          <w:tcPr>
            <w:tcW w:w="44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30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loss attributable to EHang Holdings Limited</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(13,510)</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8"/>
              </w:rPr>
              <w:t>(35,035)</w:t>
            </w:r>
          </w:p>
        </w:tc>
        <w:tc>
          <w:tcPr>
            <w:tcW w:w="640" w:type="dxa"/>
            <w:vAlign w:val="bottom"/>
            <w:gridSpan w:val="2"/>
          </w:tcPr>
          <w:p>
            <w:pPr>
              <w:jc w:val="right"/>
              <w:ind w:right="108"/>
              <w:spacing w:after="0"/>
              <w:rPr>
                <w:sz w:val="20"/>
                <w:szCs w:val="20"/>
                <w:color w:val="auto"/>
              </w:rPr>
            </w:pPr>
            <w:r>
              <w:rPr>
                <w:rFonts w:ascii="Times New Roman" w:cs="Times New Roman" w:eastAsia="Times New Roman" w:hAnsi="Times New Roman"/>
                <w:sz w:val="13"/>
                <w:szCs w:val="13"/>
                <w:b w:val="1"/>
                <w:bCs w:val="1"/>
                <w:color w:val="auto"/>
              </w:rPr>
              <w:t>(51,294)</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4"/>
              </w:rPr>
              <w:t>(36,325)</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(193,772)</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(30,407)</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(120,187)</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(18,861)</w:t>
            </w:r>
          </w:p>
        </w:tc>
      </w:tr>
      <w:tr>
        <w:trPr>
          <w:trHeight w:val="143"/>
        </w:trPr>
        <w:tc>
          <w:tcPr>
            <w:tcW w:w="308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auto"/>
              </w:rPr>
              <w:t>Modification of Redeemable Convertible Preferred</w:t>
            </w:r>
          </w:p>
        </w:tc>
        <w:tc>
          <w:tcPr>
            <w:tcW w:w="4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8"/>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Shares</w:t>
            </w:r>
          </w:p>
        </w:tc>
        <w:tc>
          <w:tcPr>
            <w:tcW w:w="6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(2,779)</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(7,207)</w:t>
            </w:r>
          </w:p>
        </w:tc>
        <w:tc>
          <w:tcPr>
            <w:tcW w:w="640" w:type="dxa"/>
            <w:vAlign w:val="bottom"/>
            <w:tcBorders>
              <w:right w:val="single" w:sz="8" w:color="CCEEFF"/>
            </w:tcBorders>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r>
      <w:tr>
        <w:trPr>
          <w:trHeight w:val="143"/>
        </w:trPr>
        <w:tc>
          <w:tcPr>
            <w:tcW w:w="308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Accretion to redemption value of Redeemable</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8"/>
        </w:trPr>
        <w:tc>
          <w:tcPr>
            <w:tcW w:w="3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Convertible Preferred Shares</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(4,804)</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w w:val="98"/>
              </w:rPr>
              <w:t>(12,458)</w:t>
            </w:r>
          </w:p>
        </w:tc>
        <w:tc>
          <w:tcPr>
            <w:tcW w:w="640" w:type="dxa"/>
            <w:vAlign w:val="bottom"/>
            <w:gridSpan w:val="2"/>
          </w:tcPr>
          <w:p>
            <w:pPr>
              <w:jc w:val="right"/>
              <w:ind w:right="208"/>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30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5"/>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loss attributable to ordinary shareholders</w:t>
            </w:r>
          </w:p>
        </w:tc>
        <w:tc>
          <w:tcPr>
            <w:tcW w:w="6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(21,093)</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8"/>
              </w:rPr>
              <w:t>(54,700)</w:t>
            </w:r>
          </w:p>
        </w:tc>
        <w:tc>
          <w:tcPr>
            <w:tcW w:w="640" w:type="dxa"/>
            <w:vAlign w:val="bottom"/>
            <w:tcBorders>
              <w:right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3"/>
                <w:szCs w:val="13"/>
                <w:b w:val="1"/>
                <w:bCs w:val="1"/>
                <w:color w:val="auto"/>
              </w:rPr>
              <w:t>(51,294)</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4"/>
              </w:rPr>
              <w:t>(36,325)</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(193,772)</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(30,407)</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(120,187)</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(18,861)</w:t>
            </w:r>
          </w:p>
        </w:tc>
      </w:tr>
      <w:tr>
        <w:trPr>
          <w:trHeight w:val="164"/>
        </w:trPr>
        <w:tc>
          <w:tcPr>
            <w:tcW w:w="30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Denominator (in thousands of shares):</w:t>
            </w:r>
          </w:p>
        </w:tc>
        <w:tc>
          <w:tcPr>
            <w:tcW w:w="4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30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Weighted-average number of ordinary shares</w:t>
            </w:r>
          </w:p>
        </w:tc>
        <w:tc>
          <w:tcPr>
            <w:tcW w:w="4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80"/>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outstanding – basic and diluted</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17,014</w:t>
            </w:r>
          </w:p>
        </w:tc>
        <w:tc>
          <w:tcPr>
            <w:tcW w:w="180" w:type="dxa"/>
            <w:vAlign w:val="bottom"/>
            <w:tcBorders>
              <w:right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44,122</w:t>
            </w:r>
          </w:p>
        </w:tc>
        <w:tc>
          <w:tcPr>
            <w:tcW w:w="16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64,143</w:t>
            </w:r>
          </w:p>
        </w:tc>
        <w:tc>
          <w:tcPr>
            <w:tcW w:w="200" w:type="dxa"/>
            <w:vAlign w:val="bottom"/>
            <w:tcBorders>
              <w:right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45,420</w:t>
            </w:r>
          </w:p>
        </w:tc>
        <w:tc>
          <w:tcPr>
            <w:tcW w:w="14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69,733</w:t>
            </w:r>
          </w:p>
        </w:tc>
        <w:tc>
          <w:tcPr>
            <w:tcW w:w="14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69,733</w:t>
            </w:r>
          </w:p>
        </w:tc>
        <w:tc>
          <w:tcPr>
            <w:tcW w:w="16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43,252</w:t>
            </w:r>
          </w:p>
        </w:tc>
        <w:tc>
          <w:tcPr>
            <w:tcW w:w="16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43,252</w:t>
            </w:r>
          </w:p>
        </w:tc>
        <w:tc>
          <w:tcPr>
            <w:tcW w:w="80" w:type="dxa"/>
            <w:vAlign w:val="bottom"/>
            <w:shd w:val="clear" w:color="auto" w:fill="CCEEFF"/>
          </w:tcPr>
          <w:p>
            <w:pPr>
              <w:spacing w:after="0"/>
              <w:rPr>
                <w:sz w:val="15"/>
                <w:szCs w:val="15"/>
                <w:color w:val="auto"/>
              </w:rPr>
            </w:pPr>
          </w:p>
        </w:tc>
      </w:tr>
      <w:tr>
        <w:trPr>
          <w:trHeight w:val="175"/>
        </w:trPr>
        <w:tc>
          <w:tcPr>
            <w:tcW w:w="30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Loss per share – basic and diluted</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(1.24)</w:t>
            </w:r>
          </w:p>
        </w:tc>
        <w:tc>
          <w:tcPr>
            <w:tcW w:w="180" w:type="dxa"/>
            <w:vAlign w:val="bottom"/>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(1.24)</w:t>
            </w:r>
          </w:p>
        </w:tc>
        <w:tc>
          <w:tcPr>
            <w:tcW w:w="160" w:type="dxa"/>
            <w:vAlign w:val="bottom"/>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(0.80)</w:t>
            </w:r>
          </w:p>
        </w:tc>
        <w:tc>
          <w:tcPr>
            <w:tcW w:w="200" w:type="dxa"/>
            <w:vAlign w:val="bottom"/>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(0.80)</w:t>
            </w:r>
          </w:p>
        </w:tc>
        <w:tc>
          <w:tcPr>
            <w:tcW w:w="140" w:type="dxa"/>
            <w:vAlign w:val="bottom"/>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(2.78)</w:t>
            </w:r>
          </w:p>
        </w:tc>
        <w:tc>
          <w:tcPr>
            <w:tcW w:w="14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(0.44)</w:t>
            </w:r>
          </w:p>
        </w:tc>
        <w:tc>
          <w:tcPr>
            <w:tcW w:w="160" w:type="dxa"/>
            <w:vAlign w:val="bottom"/>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(2.78)</w:t>
            </w:r>
          </w:p>
        </w:tc>
        <w:tc>
          <w:tcPr>
            <w:tcW w:w="160" w:type="dxa"/>
            <w:vAlign w:val="bottom"/>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(0.44)</w:t>
            </w:r>
          </w:p>
        </w:tc>
        <w:tc>
          <w:tcPr>
            <w:tcW w:w="80" w:type="dxa"/>
            <w:vAlign w:val="bottom"/>
          </w:tcPr>
          <w:p>
            <w:pPr>
              <w:spacing w:after="0"/>
              <w:rPr>
                <w:sz w:val="15"/>
                <w:szCs w:val="15"/>
                <w:color w:val="auto"/>
              </w:rPr>
            </w:pPr>
          </w:p>
        </w:tc>
      </w:tr>
    </w:tbl>
    <w:p>
      <w:pPr>
        <w:spacing w:after="0" w:line="153" w:lineRule="exact"/>
        <w:rPr>
          <w:sz w:val="20"/>
          <w:szCs w:val="20"/>
          <w:color w:val="auto"/>
        </w:rPr>
      </w:pPr>
    </w:p>
    <w:p>
      <w:pPr>
        <w:ind w:left="2000" w:right="839"/>
        <w:spacing w:after="0" w:line="278" w:lineRule="auto"/>
        <w:rPr>
          <w:sz w:val="20"/>
          <w:szCs w:val="20"/>
          <w:color w:val="auto"/>
        </w:rPr>
      </w:pPr>
      <w:r>
        <w:rPr>
          <w:rFonts w:ascii="Times New Roman" w:cs="Times New Roman" w:eastAsia="Times New Roman" w:hAnsi="Times New Roman"/>
          <w:sz w:val="13"/>
          <w:szCs w:val="13"/>
          <w:color w:val="auto"/>
        </w:rPr>
        <w:t>The potentially dilutive securities such as the Redeemable Convertible Preferred Shares, unvested RSUs and options were not included in the calculation of diluted loss per share because of their anti-dilutive effect.</w:t>
      </w:r>
    </w:p>
    <w:p>
      <w:pPr>
        <w:spacing w:after="0" w:line="226" w:lineRule="exact"/>
        <w:rPr>
          <w:sz w:val="20"/>
          <w:szCs w:val="20"/>
          <w:color w:val="auto"/>
        </w:rPr>
      </w:pPr>
    </w:p>
    <w:p>
      <w:pPr>
        <w:ind w:left="1980" w:hanging="304"/>
        <w:spacing w:after="0"/>
        <w:tabs>
          <w:tab w:leader="none" w:pos="1980" w:val="left"/>
        </w:tabs>
        <w:numPr>
          <w:ilvl w:val="0"/>
          <w:numId w:val="15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Restricted Net Assets</w:t>
      </w:r>
    </w:p>
    <w:p>
      <w:pPr>
        <w:spacing w:after="0" w:line="85" w:lineRule="exact"/>
        <w:rPr>
          <w:rFonts w:ascii="Times New Roman" w:cs="Times New Roman" w:eastAsia="Times New Roman" w:hAnsi="Times New Roman"/>
          <w:sz w:val="13"/>
          <w:szCs w:val="13"/>
          <w:b w:val="1"/>
          <w:bCs w:val="1"/>
          <w:color w:val="auto"/>
        </w:rPr>
      </w:pPr>
    </w:p>
    <w:p>
      <w:pPr>
        <w:ind w:left="2000" w:right="619"/>
        <w:spacing w:after="0" w:line="257"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Company’s ability to pay dividends is primarily dependent on the Company receiving distributions of funds from its subsidiary, the VIE and subsidiary of the VIE. Relevant PRC statutory laws and regulations permit payments of dividends by the Company’s PRC subsidiaries, the VIE and subsidiary of the VIE only out of their retained earnings, if any, as determined in accordance with PRC accounting standards and regulations. The results of operations reflected in the consolidated financial statements prepared in accordance with U.S. GAAP differ from those reflected in the statutory financial statements of the Company’s subsidiaries, the VIE and subsidiaries of the VIE.</w:t>
      </w:r>
    </w:p>
    <w:p>
      <w:pPr>
        <w:spacing w:after="0" w:line="55" w:lineRule="exact"/>
        <w:rPr>
          <w:rFonts w:ascii="Times New Roman" w:cs="Times New Roman" w:eastAsia="Times New Roman" w:hAnsi="Times New Roman"/>
          <w:sz w:val="13"/>
          <w:szCs w:val="13"/>
          <w:b w:val="1"/>
          <w:bCs w:val="1"/>
          <w:color w:val="auto"/>
        </w:rPr>
      </w:pPr>
    </w:p>
    <w:p>
      <w:pPr>
        <w:ind w:left="2000" w:right="559"/>
        <w:spacing w:after="0" w:line="253"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In accordance with the PRC Regulations on Enterprises with Foreign Investment and the articles of association of the Company’s PRC subsidiaries, a foreign-invested enterprise established in the PRC is required to provide certain statutory reserves, namely general reserve fund, the enterprise expansion fund and staff welfare and bonus fund which are appropriated from net profit as reported in the enterprise’s PRC statutory accounts. A foreign-invested enterprise is required to allocate at least 10% of its annual after-tax profit to the general reserve fund until such reserve has reached 50% of its respective registered capital based on the enterprise’s PRC statutory accounts. Appropriations to the enterprise expansion fund and staff welfare and bonus fund are at the discretion of the board of directors for all foreign-invested enterprises. The aforementioned reserves can only be used for specific purposes and are not distributable as cash dividends. The WFOE was established as a foreign- invested enterprise and, therefore, is subject to the above mandated restrictions on distributable profits. For the years ended December 31, 2019, 2020 and 2021, WFOE did not have after-tax profit and therefore no statutory reserves have been allocated.</w:t>
      </w:r>
    </w:p>
    <w:p>
      <w:pPr>
        <w:spacing w:after="0" w:line="8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color w:val="auto"/>
        </w:rPr>
        <w:t>F- 59</w:t>
      </w:r>
    </w:p>
    <w:p>
      <w:pPr>
        <w:sectPr>
          <w:pgSz w:w="11900" w:h="16838" w:orient="portrait"/>
          <w:cols w:equalWidth="0" w:num="1">
            <w:col w:w="10159"/>
          </w:cols>
          <w:pgMar w:left="300" w:top="388" w:right="1440"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5">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 (CONTINUED)</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6">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7" w:lineRule="exact"/>
        <w:rPr>
          <w:sz w:val="20"/>
          <w:szCs w:val="20"/>
          <w:color w:val="auto"/>
        </w:rPr>
      </w:pPr>
    </w:p>
    <w:p>
      <w:pPr>
        <w:ind w:left="1980" w:hanging="304"/>
        <w:spacing w:after="0"/>
        <w:tabs>
          <w:tab w:leader="none" w:pos="1980" w:val="left"/>
        </w:tabs>
        <w:numPr>
          <w:ilvl w:val="0"/>
          <w:numId w:val="15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Restricted Net Assets (Continued)</w:t>
      </w:r>
    </w:p>
    <w:p>
      <w:pPr>
        <w:spacing w:after="0" w:line="115" w:lineRule="exact"/>
        <w:rPr>
          <w:rFonts w:ascii="Times New Roman" w:cs="Times New Roman" w:eastAsia="Times New Roman" w:hAnsi="Times New Roman"/>
          <w:sz w:val="13"/>
          <w:szCs w:val="13"/>
          <w:b w:val="1"/>
          <w:bCs w:val="1"/>
          <w:color w:val="auto"/>
        </w:rPr>
      </w:pPr>
    </w:p>
    <w:p>
      <w:pPr>
        <w:ind w:left="2000" w:right="599"/>
        <w:spacing w:after="0" w:line="257"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Additionally, in accordance with the Company Law of the PRC, a domestic enterprise is required to provide statutory surplus fund at least 10% of its annual after-tax profits until such statutory surplus fund has reached 50% of its registered capital based on the enterprise’s PRC statutory financial statements. A domestic enterprise is also required to provide discretionary surplus fund, at the discretion of the board of directors, from the net profits reported in the enterprise’s PRC statutory financial statements. The aforementioned reserve funds can only be used for specific purposes and are not distributable as cash dividends.</w:t>
      </w:r>
    </w:p>
    <w:p>
      <w:pPr>
        <w:spacing w:after="0" w:line="55" w:lineRule="exact"/>
        <w:rPr>
          <w:rFonts w:ascii="Times New Roman" w:cs="Times New Roman" w:eastAsia="Times New Roman" w:hAnsi="Times New Roman"/>
          <w:sz w:val="13"/>
          <w:szCs w:val="13"/>
          <w:b w:val="1"/>
          <w:bCs w:val="1"/>
          <w:color w:val="auto"/>
        </w:rPr>
      </w:pPr>
    </w:p>
    <w:p>
      <w:pPr>
        <w:ind w:left="2000" w:right="579"/>
        <w:spacing w:after="0" w:line="259"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Foreign exchange and other regulations in the PRC may further restrict the Group’s VIE from transferring funds to the Company in the form of dividends, loans and advances. Amounts restricted include paid-in capital and statutory reserves of the Group’s PRC subsidiaries and the equity of the VIE and its subsidiaries, as determined pursuant to PRC generally accepted accounting principles. Restricted net assets of the Company’s PRC subsidiaries, the VIE and subsidiaries of the VIE was RMB71,376 (US$11,200) as of December 31, 2021.</w:t>
      </w:r>
    </w:p>
    <w:p>
      <w:pPr>
        <w:spacing w:after="0" w:line="55" w:lineRule="exact"/>
        <w:rPr>
          <w:rFonts w:ascii="Times New Roman" w:cs="Times New Roman" w:eastAsia="Times New Roman" w:hAnsi="Times New Roman"/>
          <w:sz w:val="13"/>
          <w:szCs w:val="13"/>
          <w:b w:val="1"/>
          <w:bCs w:val="1"/>
          <w:color w:val="auto"/>
        </w:rPr>
      </w:pPr>
    </w:p>
    <w:p>
      <w:pPr>
        <w:jc w:val="both"/>
        <w:ind w:left="2000" w:right="659"/>
        <w:spacing w:after="0" w:line="259"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Company performed a test on the restricted net assets of consolidated subsidiaries in accordance with Securities and Exchange Commission Regulation S-X Rule 4-08 (e)(3), “General Notes to Financial Statements” and concluded that the restricted net assets did not exceed 25% of the consolidated net assets of the Company as of December 31, 2021 and the condensed financial information of the Company are not required to be presented.</w:t>
      </w:r>
    </w:p>
    <w:p>
      <w:pPr>
        <w:spacing w:after="0" w:line="237" w:lineRule="exact"/>
        <w:rPr>
          <w:rFonts w:ascii="Times New Roman" w:cs="Times New Roman" w:eastAsia="Times New Roman" w:hAnsi="Times New Roman"/>
          <w:sz w:val="13"/>
          <w:szCs w:val="13"/>
          <w:b w:val="1"/>
          <w:bCs w:val="1"/>
          <w:color w:val="auto"/>
        </w:rPr>
      </w:pPr>
    </w:p>
    <w:p>
      <w:pPr>
        <w:ind w:left="1980" w:hanging="304"/>
        <w:spacing w:after="0"/>
        <w:tabs>
          <w:tab w:leader="none" w:pos="1980" w:val="left"/>
        </w:tabs>
        <w:numPr>
          <w:ilvl w:val="0"/>
          <w:numId w:val="15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Fair Value Measurements</w:t>
      </w:r>
    </w:p>
    <w:p>
      <w:pPr>
        <w:spacing w:after="0" w:line="85" w:lineRule="exact"/>
        <w:rPr>
          <w:rFonts w:ascii="Times New Roman" w:cs="Times New Roman" w:eastAsia="Times New Roman" w:hAnsi="Times New Roman"/>
          <w:sz w:val="13"/>
          <w:szCs w:val="13"/>
          <w:b w:val="1"/>
          <w:bCs w:val="1"/>
          <w:color w:val="auto"/>
        </w:rPr>
      </w:pPr>
    </w:p>
    <w:p>
      <w:pPr>
        <w:ind w:left="2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Assets measured or disclosed at fair value on a recurring basis as of December 31, 2021 are summarized below:</w:t>
      </w:r>
    </w:p>
    <w:p>
      <w:pPr>
        <w:spacing w:after="0" w:line="177" w:lineRule="exact"/>
        <w:rPr>
          <w:sz w:val="20"/>
          <w:szCs w:val="20"/>
          <w:color w:val="auto"/>
        </w:rPr>
      </w:pPr>
    </w:p>
    <w:tbl>
      <w:tblPr>
        <w:tblLayout w:type="fixed"/>
        <w:tblInd w:w="168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0"/>
                <w:szCs w:val="10"/>
                <w:b w:val="1"/>
                <w:bCs w:val="1"/>
                <w:color w:val="auto"/>
              </w:rPr>
              <w:t>Fair Value Measurements as of December 31, 2021 using</w:t>
            </w:r>
          </w:p>
        </w:tc>
        <w:tc>
          <w:tcPr>
            <w:tcW w:w="3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Quoted Price in</w:t>
            </w:r>
          </w:p>
        </w:tc>
        <w:tc>
          <w:tcPr>
            <w:tcW w:w="300" w:type="dxa"/>
            <w:vAlign w:val="bottom"/>
          </w:tcPr>
          <w:p>
            <w:pPr>
              <w:spacing w:after="0"/>
              <w:rPr>
                <w:sz w:val="6"/>
                <w:szCs w:val="6"/>
                <w:color w:val="auto"/>
              </w:rPr>
            </w:pPr>
          </w:p>
        </w:tc>
        <w:tc>
          <w:tcPr>
            <w:tcW w:w="520" w:type="dxa"/>
            <w:vAlign w:val="bottom"/>
          </w:tcPr>
          <w:p>
            <w:pPr>
              <w:jc w:val="center"/>
              <w:spacing w:after="0" w:line="80" w:lineRule="exact"/>
              <w:rPr>
                <w:sz w:val="20"/>
                <w:szCs w:val="20"/>
                <w:color w:val="auto"/>
              </w:rPr>
            </w:pPr>
            <w:r>
              <w:rPr>
                <w:rFonts w:ascii="Times New Roman" w:cs="Times New Roman" w:eastAsia="Times New Roman" w:hAnsi="Times New Roman"/>
                <w:sz w:val="9"/>
                <w:szCs w:val="9"/>
                <w:b w:val="1"/>
                <w:bCs w:val="1"/>
                <w:color w:val="auto"/>
              </w:rPr>
              <w:t>Significant</w:t>
            </w: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Other</w:t>
            </w:r>
          </w:p>
        </w:tc>
        <w:tc>
          <w:tcPr>
            <w:tcW w:w="900" w:type="dxa"/>
            <w:vAlign w:val="bottom"/>
            <w:gridSpan w:val="2"/>
            <w:vMerge w:val="restart"/>
          </w:tcPr>
          <w:p>
            <w:pPr>
              <w:jc w:val="center"/>
              <w:ind w:left="228"/>
              <w:spacing w:after="0"/>
              <w:rPr>
                <w:sz w:val="20"/>
                <w:szCs w:val="20"/>
                <w:color w:val="auto"/>
              </w:rPr>
            </w:pPr>
            <w:r>
              <w:rPr>
                <w:rFonts w:ascii="Times New Roman" w:cs="Times New Roman" w:eastAsia="Times New Roman" w:hAnsi="Times New Roman"/>
                <w:sz w:val="10"/>
                <w:szCs w:val="10"/>
                <w:b w:val="1"/>
                <w:bCs w:val="1"/>
                <w:color w:val="auto"/>
              </w:rPr>
              <w:t>Unobservable</w:t>
            </w: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880" w:type="dxa"/>
            <w:vAlign w:val="bottom"/>
            <w:gridSpan w:val="2"/>
          </w:tcPr>
          <w:p>
            <w:pPr>
              <w:jc w:val="center"/>
              <w:ind w:left="1028"/>
              <w:spacing w:after="0" w:line="107" w:lineRule="exact"/>
              <w:rPr>
                <w:sz w:val="20"/>
                <w:szCs w:val="20"/>
                <w:color w:val="auto"/>
              </w:rPr>
            </w:pPr>
            <w:r>
              <w:rPr>
                <w:rFonts w:ascii="Times New Roman" w:cs="Times New Roman" w:eastAsia="Times New Roman" w:hAnsi="Times New Roman"/>
                <w:sz w:val="10"/>
                <w:szCs w:val="10"/>
                <w:b w:val="1"/>
                <w:bCs w:val="1"/>
                <w:color w:val="auto"/>
              </w:rPr>
              <w:t>Active Market for</w:t>
            </w:r>
          </w:p>
        </w:tc>
        <w:tc>
          <w:tcPr>
            <w:tcW w:w="820" w:type="dxa"/>
            <w:vAlign w:val="bottom"/>
            <w:gridSpan w:val="2"/>
          </w:tcPr>
          <w:p>
            <w:pPr>
              <w:jc w:val="center"/>
              <w:ind w:left="222"/>
              <w:spacing w:after="0" w:line="107" w:lineRule="exact"/>
              <w:rPr>
                <w:sz w:val="20"/>
                <w:szCs w:val="20"/>
                <w:color w:val="auto"/>
              </w:rPr>
            </w:pPr>
            <w:r>
              <w:rPr>
                <w:rFonts w:ascii="Times New Roman" w:cs="Times New Roman" w:eastAsia="Times New Roman" w:hAnsi="Times New Roman"/>
                <w:sz w:val="10"/>
                <w:szCs w:val="10"/>
                <w:b w:val="1"/>
                <w:bCs w:val="1"/>
                <w:color w:val="auto"/>
              </w:rPr>
              <w:t>Observable</w:t>
            </w:r>
          </w:p>
        </w:tc>
        <w:tc>
          <w:tcPr>
            <w:tcW w:w="9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Identical Assets</w:t>
            </w:r>
          </w:p>
        </w:tc>
        <w:tc>
          <w:tcPr>
            <w:tcW w:w="30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Inputs</w:t>
            </w:r>
          </w:p>
        </w:tc>
        <w:tc>
          <w:tcPr>
            <w:tcW w:w="280" w:type="dxa"/>
            <w:vAlign w:val="bottom"/>
          </w:tcPr>
          <w:p>
            <w:pPr>
              <w:spacing w:after="0"/>
              <w:rPr>
                <w:sz w:val="10"/>
                <w:szCs w:val="1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Inputs</w:t>
            </w: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Borders>
              <w:top w:val="single" w:sz="8" w:color="auto"/>
              <w:bottom w:val="single" w:sz="8" w:color="auto"/>
            </w:tcBorders>
          </w:tcPr>
          <w:p>
            <w:pPr>
              <w:jc w:val="center"/>
              <w:spacing w:after="0" w:line="97" w:lineRule="exact"/>
              <w:rPr>
                <w:sz w:val="20"/>
                <w:szCs w:val="20"/>
                <w:color w:val="auto"/>
              </w:rPr>
            </w:pPr>
            <w:r>
              <w:rPr>
                <w:rFonts w:ascii="Times New Roman" w:cs="Times New Roman" w:eastAsia="Times New Roman" w:hAnsi="Times New Roman"/>
                <w:sz w:val="10"/>
                <w:szCs w:val="10"/>
                <w:b w:val="1"/>
                <w:bCs w:val="1"/>
                <w:color w:val="auto"/>
              </w:rPr>
              <w:t>(Level 1)</w:t>
            </w:r>
          </w:p>
        </w:tc>
        <w:tc>
          <w:tcPr>
            <w:tcW w:w="300" w:type="dxa"/>
            <w:vAlign w:val="bottom"/>
          </w:tcPr>
          <w:p>
            <w:pPr>
              <w:spacing w:after="0"/>
              <w:rPr>
                <w:sz w:val="8"/>
                <w:szCs w:val="8"/>
                <w:color w:val="auto"/>
              </w:rPr>
            </w:pPr>
          </w:p>
        </w:tc>
        <w:tc>
          <w:tcPr>
            <w:tcW w:w="520" w:type="dxa"/>
            <w:vAlign w:val="bottom"/>
            <w:tcBorders>
              <w:top w:val="single" w:sz="8" w:color="auto"/>
              <w:bottom w:val="single" w:sz="8" w:color="auto"/>
            </w:tcBorders>
          </w:tcPr>
          <w:p>
            <w:pPr>
              <w:jc w:val="center"/>
              <w:spacing w:after="0" w:line="97" w:lineRule="exact"/>
              <w:rPr>
                <w:sz w:val="20"/>
                <w:szCs w:val="20"/>
                <w:color w:val="auto"/>
              </w:rPr>
            </w:pPr>
            <w:r>
              <w:rPr>
                <w:rFonts w:ascii="Times New Roman" w:cs="Times New Roman" w:eastAsia="Times New Roman" w:hAnsi="Times New Roman"/>
                <w:sz w:val="10"/>
                <w:szCs w:val="10"/>
                <w:b w:val="1"/>
                <w:bCs w:val="1"/>
                <w:color w:val="auto"/>
              </w:rPr>
              <w:t>(Level 2)</w:t>
            </w:r>
          </w:p>
        </w:tc>
        <w:tc>
          <w:tcPr>
            <w:tcW w:w="280" w:type="dxa"/>
            <w:vAlign w:val="bottom"/>
          </w:tcPr>
          <w:p>
            <w:pPr>
              <w:spacing w:after="0"/>
              <w:rPr>
                <w:sz w:val="8"/>
                <w:szCs w:val="8"/>
                <w:color w:val="auto"/>
              </w:rPr>
            </w:pPr>
          </w:p>
        </w:tc>
        <w:tc>
          <w:tcPr>
            <w:tcW w:w="620" w:type="dxa"/>
            <w:vAlign w:val="bottom"/>
            <w:tcBorders>
              <w:top w:val="single" w:sz="8" w:color="auto"/>
              <w:bottom w:val="single" w:sz="8" w:color="auto"/>
            </w:tcBorders>
          </w:tcPr>
          <w:p>
            <w:pPr>
              <w:jc w:val="center"/>
              <w:spacing w:after="0" w:line="97" w:lineRule="exact"/>
              <w:rPr>
                <w:sz w:val="20"/>
                <w:szCs w:val="20"/>
                <w:color w:val="auto"/>
              </w:rPr>
            </w:pPr>
            <w:r>
              <w:rPr>
                <w:rFonts w:ascii="Times New Roman" w:cs="Times New Roman" w:eastAsia="Times New Roman" w:hAnsi="Times New Roman"/>
                <w:sz w:val="10"/>
                <w:szCs w:val="10"/>
                <w:b w:val="1"/>
                <w:bCs w:val="1"/>
                <w:color w:val="auto"/>
              </w:rPr>
              <w:t>(Level 3)</w:t>
            </w:r>
          </w:p>
        </w:tc>
        <w:tc>
          <w:tcPr>
            <w:tcW w:w="280" w:type="dxa"/>
            <w:vAlign w:val="bottom"/>
          </w:tcPr>
          <w:p>
            <w:pPr>
              <w:spacing w:after="0"/>
              <w:rPr>
                <w:sz w:val="8"/>
                <w:szCs w:val="8"/>
                <w:color w:val="auto"/>
              </w:rPr>
            </w:pPr>
          </w:p>
        </w:tc>
        <w:tc>
          <w:tcPr>
            <w:tcW w:w="1100" w:type="dxa"/>
            <w:vAlign w:val="bottom"/>
            <w:tcBorders>
              <w:top w:val="single" w:sz="8" w:color="auto"/>
              <w:bottom w:val="single" w:sz="8" w:color="auto"/>
            </w:tcBorders>
            <w:gridSpan w:val="3"/>
          </w:tcPr>
          <w:p>
            <w:pPr>
              <w:jc w:val="center"/>
              <w:spacing w:after="0" w:line="97" w:lineRule="exact"/>
              <w:rPr>
                <w:sz w:val="20"/>
                <w:szCs w:val="20"/>
                <w:color w:val="auto"/>
              </w:rPr>
            </w:pPr>
            <w:r>
              <w:rPr>
                <w:rFonts w:ascii="Times New Roman" w:cs="Times New Roman" w:eastAsia="Times New Roman" w:hAnsi="Times New Roman"/>
                <w:sz w:val="10"/>
                <w:szCs w:val="10"/>
                <w:b w:val="1"/>
                <w:bCs w:val="1"/>
                <w:color w:val="auto"/>
              </w:rPr>
              <w:t>fair value</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jc w:val="center"/>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300" w:type="dxa"/>
            <w:vAlign w:val="bottom"/>
          </w:tcPr>
          <w:p>
            <w:pPr>
              <w:spacing w:after="0"/>
              <w:rPr>
                <w:sz w:val="8"/>
                <w:szCs w:val="8"/>
                <w:color w:val="auto"/>
              </w:rPr>
            </w:pPr>
          </w:p>
        </w:tc>
        <w:tc>
          <w:tcPr>
            <w:tcW w:w="520" w:type="dxa"/>
            <w:vAlign w:val="bottom"/>
          </w:tcPr>
          <w:p>
            <w:pPr>
              <w:jc w:val="center"/>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280" w:type="dxa"/>
            <w:vAlign w:val="bottom"/>
          </w:tcPr>
          <w:p>
            <w:pPr>
              <w:spacing w:after="0"/>
              <w:rPr>
                <w:sz w:val="8"/>
                <w:szCs w:val="8"/>
                <w:color w:val="auto"/>
              </w:rPr>
            </w:pPr>
          </w:p>
        </w:tc>
        <w:tc>
          <w:tcPr>
            <w:tcW w:w="620" w:type="dxa"/>
            <w:vAlign w:val="bottom"/>
          </w:tcPr>
          <w:p>
            <w:pPr>
              <w:jc w:val="center"/>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280" w:type="dxa"/>
            <w:vAlign w:val="bottom"/>
          </w:tcPr>
          <w:p>
            <w:pPr>
              <w:spacing w:after="0"/>
              <w:rPr>
                <w:sz w:val="8"/>
                <w:szCs w:val="8"/>
                <w:color w:val="auto"/>
              </w:rPr>
            </w:pPr>
          </w:p>
        </w:tc>
        <w:tc>
          <w:tcPr>
            <w:tcW w:w="400" w:type="dxa"/>
            <w:vAlign w:val="bottom"/>
          </w:tcPr>
          <w:p>
            <w:pPr>
              <w:jc w:val="right"/>
              <w:ind w:right="24"/>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300" w:type="dxa"/>
            <w:vAlign w:val="bottom"/>
          </w:tcPr>
          <w:p>
            <w:pPr>
              <w:spacing w:after="0"/>
              <w:rPr>
                <w:sz w:val="8"/>
                <w:szCs w:val="8"/>
                <w:color w:val="auto"/>
              </w:rPr>
            </w:pPr>
          </w:p>
        </w:tc>
        <w:tc>
          <w:tcPr>
            <w:tcW w:w="400" w:type="dxa"/>
            <w:vAlign w:val="bottom"/>
          </w:tcPr>
          <w:p>
            <w:pPr>
              <w:jc w:val="right"/>
              <w:ind w:right="62"/>
              <w:spacing w:after="0" w:line="97" w:lineRule="exact"/>
              <w:rPr>
                <w:sz w:val="20"/>
                <w:szCs w:val="20"/>
                <w:color w:val="auto"/>
              </w:rPr>
            </w:pPr>
            <w:r>
              <w:rPr>
                <w:rFonts w:ascii="Times New Roman" w:cs="Times New Roman" w:eastAsia="Times New Roman" w:hAnsi="Times New Roman"/>
                <w:sz w:val="10"/>
                <w:szCs w:val="10"/>
                <w:b w:val="1"/>
                <w:bCs w:val="1"/>
                <w:color w:val="auto"/>
              </w:rPr>
              <w:t>US$</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900" w:type="dxa"/>
            <w:vAlign w:val="bottom"/>
            <w:gridSpan w:val="2"/>
            <w:shd w:val="clear" w:color="auto" w:fill="CCEEFF"/>
          </w:tcPr>
          <w:p>
            <w:pPr>
              <w:spacing w:after="0" w:line="127" w:lineRule="exact"/>
              <w:rPr>
                <w:sz w:val="20"/>
                <w:szCs w:val="20"/>
                <w:color w:val="auto"/>
              </w:rPr>
            </w:pPr>
            <w:r>
              <w:rPr>
                <w:rFonts w:ascii="Times New Roman" w:cs="Times New Roman" w:eastAsia="Times New Roman" w:hAnsi="Times New Roman"/>
                <w:sz w:val="13"/>
                <w:szCs w:val="13"/>
                <w:b w:val="1"/>
                <w:bCs w:val="1"/>
                <w:i w:val="1"/>
                <w:iCs w:val="1"/>
                <w:color w:val="auto"/>
              </w:rPr>
              <w:t>Fair value measurement</w:t>
            </w:r>
          </w:p>
        </w:tc>
        <w:tc>
          <w:tcPr>
            <w:tcW w:w="10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line="145" w:lineRule="exact"/>
              <w:rPr>
                <w:sz w:val="20"/>
                <w:szCs w:val="20"/>
                <w:color w:val="auto"/>
              </w:rPr>
            </w:pPr>
            <w:r>
              <w:rPr>
                <w:rFonts w:ascii="Times New Roman" w:cs="Times New Roman" w:eastAsia="Times New Roman" w:hAnsi="Times New Roman"/>
                <w:sz w:val="13"/>
                <w:szCs w:val="13"/>
                <w:color w:val="auto"/>
              </w:rPr>
              <w:t>Short-term investments</w:t>
            </w:r>
          </w:p>
        </w:tc>
        <w:tc>
          <w:tcPr>
            <w:tcW w:w="1620" w:type="dxa"/>
            <w:vAlign w:val="bottom"/>
            <w:tcBorders>
              <w:top w:val="single" w:sz="8" w:color="CCEEFF"/>
            </w:tcBorders>
          </w:tcPr>
          <w:p>
            <w:pPr>
              <w:spacing w:after="0"/>
              <w:rPr>
                <w:sz w:val="12"/>
                <w:szCs w:val="12"/>
                <w:color w:val="auto"/>
              </w:rPr>
            </w:pPr>
          </w:p>
        </w:tc>
        <w:tc>
          <w:tcPr>
            <w:tcW w:w="1080" w:type="dxa"/>
            <w:vAlign w:val="bottom"/>
            <w:tcBorders>
              <w:top w:val="single" w:sz="8" w:color="CCEEFF"/>
            </w:tcBorders>
          </w:tcPr>
          <w:p>
            <w:pPr>
              <w:spacing w:after="0"/>
              <w:rPr>
                <w:sz w:val="12"/>
                <w:szCs w:val="12"/>
                <w:color w:val="auto"/>
              </w:rPr>
            </w:pPr>
          </w:p>
        </w:tc>
        <w:tc>
          <w:tcPr>
            <w:tcW w:w="80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Trading debt investments</w:t>
            </w:r>
          </w:p>
        </w:tc>
        <w:tc>
          <w:tcPr>
            <w:tcW w:w="1080" w:type="dxa"/>
            <w:vAlign w:val="bottom"/>
            <w:shd w:val="clear" w:color="auto" w:fill="CCEEFF"/>
          </w:tcPr>
          <w:p>
            <w:pPr>
              <w:spacing w:after="0"/>
              <w:rPr>
                <w:sz w:val="13"/>
                <w:szCs w:val="13"/>
                <w:color w:val="auto"/>
              </w:rPr>
            </w:pP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65,108</w:t>
            </w: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65,108</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10,217</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9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Total asset measured at fair value</w:t>
            </w:r>
          </w:p>
        </w:tc>
        <w:tc>
          <w:tcPr>
            <w:tcW w:w="1080" w:type="dxa"/>
            <w:vAlign w:val="bottom"/>
          </w:tcPr>
          <w:p>
            <w:pPr>
              <w:spacing w:after="0"/>
              <w:rPr>
                <w:sz w:val="14"/>
                <w:szCs w:val="14"/>
                <w:color w:val="auto"/>
              </w:rPr>
            </w:pPr>
          </w:p>
        </w:tc>
        <w:tc>
          <w:tcPr>
            <w:tcW w:w="80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65,108</w:t>
            </w:r>
          </w:p>
        </w:tc>
        <w:tc>
          <w:tcPr>
            <w:tcW w:w="280" w:type="dxa"/>
            <w:vAlign w:val="bottom"/>
          </w:tcPr>
          <w:p>
            <w:pPr>
              <w:spacing w:after="0"/>
              <w:rPr>
                <w:sz w:val="14"/>
                <w:szCs w:val="14"/>
                <w:color w:val="auto"/>
              </w:rPr>
            </w:pPr>
          </w:p>
        </w:tc>
        <w:tc>
          <w:tcPr>
            <w:tcW w:w="62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65,108</w:t>
            </w:r>
          </w:p>
        </w:tc>
        <w:tc>
          <w:tcPr>
            <w:tcW w:w="30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10,217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Assets measured or disclosed at fair value on a recurring basis as of December 31, 2020 are summarized below:</w:t>
      </w:r>
    </w:p>
    <w:p>
      <w:pPr>
        <w:spacing w:after="0" w:line="177" w:lineRule="exact"/>
        <w:rPr>
          <w:sz w:val="20"/>
          <w:szCs w:val="20"/>
          <w:color w:val="auto"/>
        </w:rPr>
      </w:pPr>
    </w:p>
    <w:tbl>
      <w:tblPr>
        <w:tblLayout w:type="fixed"/>
        <w:tblInd w:w="168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020" w:type="dxa"/>
            <w:vAlign w:val="bottom"/>
            <w:tcBorders>
              <w:bottom w:val="single" w:sz="8" w:color="auto"/>
            </w:tcBorders>
            <w:gridSpan w:val="6"/>
          </w:tcPr>
          <w:p>
            <w:pPr>
              <w:ind w:left="480"/>
              <w:spacing w:after="0"/>
              <w:rPr>
                <w:sz w:val="20"/>
                <w:szCs w:val="20"/>
                <w:color w:val="auto"/>
              </w:rPr>
            </w:pPr>
            <w:r>
              <w:rPr>
                <w:rFonts w:ascii="Times New Roman" w:cs="Times New Roman" w:eastAsia="Times New Roman" w:hAnsi="Times New Roman"/>
                <w:sz w:val="10"/>
                <w:szCs w:val="10"/>
                <w:b w:val="1"/>
                <w:bCs w:val="1"/>
                <w:color w:val="auto"/>
              </w:rPr>
              <w:t>Fair Value Measurements as of December 31, 2020 using</w:t>
            </w:r>
          </w:p>
        </w:tc>
        <w:tc>
          <w:tcPr>
            <w:tcW w:w="4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Quoted Price in</w:t>
            </w:r>
          </w:p>
        </w:tc>
        <w:tc>
          <w:tcPr>
            <w:tcW w:w="360" w:type="dxa"/>
            <w:vAlign w:val="bottom"/>
          </w:tcPr>
          <w:p>
            <w:pPr>
              <w:spacing w:after="0"/>
              <w:rPr>
                <w:sz w:val="6"/>
                <w:szCs w:val="6"/>
                <w:color w:val="auto"/>
              </w:rPr>
            </w:pPr>
          </w:p>
        </w:tc>
        <w:tc>
          <w:tcPr>
            <w:tcW w:w="500" w:type="dxa"/>
            <w:vAlign w:val="bottom"/>
          </w:tcPr>
          <w:p>
            <w:pPr>
              <w:jc w:val="center"/>
              <w:spacing w:after="0" w:line="80" w:lineRule="exact"/>
              <w:rPr>
                <w:sz w:val="20"/>
                <w:szCs w:val="20"/>
                <w:color w:val="auto"/>
              </w:rPr>
            </w:pPr>
            <w:r>
              <w:rPr>
                <w:rFonts w:ascii="Times New Roman" w:cs="Times New Roman" w:eastAsia="Times New Roman" w:hAnsi="Times New Roman"/>
                <w:sz w:val="9"/>
                <w:szCs w:val="9"/>
                <w:b w:val="1"/>
                <w:bCs w:val="1"/>
                <w:color w:val="auto"/>
              </w:rPr>
              <w:t>Significant</w:t>
            </w:r>
          </w:p>
        </w:tc>
        <w:tc>
          <w:tcPr>
            <w:tcW w:w="36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Other</w:t>
            </w:r>
          </w:p>
        </w:tc>
        <w:tc>
          <w:tcPr>
            <w:tcW w:w="13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Unobservable</w:t>
            </w: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460" w:type="dxa"/>
            <w:vAlign w:val="bottom"/>
            <w:gridSpan w:val="2"/>
          </w:tcPr>
          <w:p>
            <w:pPr>
              <w:jc w:val="center"/>
              <w:ind w:left="1562"/>
              <w:spacing w:after="0" w:line="107" w:lineRule="exact"/>
              <w:rPr>
                <w:sz w:val="20"/>
                <w:szCs w:val="20"/>
                <w:color w:val="auto"/>
              </w:rPr>
            </w:pPr>
            <w:r>
              <w:rPr>
                <w:rFonts w:ascii="Times New Roman" w:cs="Times New Roman" w:eastAsia="Times New Roman" w:hAnsi="Times New Roman"/>
                <w:sz w:val="10"/>
                <w:szCs w:val="10"/>
                <w:b w:val="1"/>
                <w:bCs w:val="1"/>
                <w:color w:val="auto"/>
              </w:rPr>
              <w:t>Active Market for</w:t>
            </w:r>
          </w:p>
        </w:tc>
        <w:tc>
          <w:tcPr>
            <w:tcW w:w="860" w:type="dxa"/>
            <w:vAlign w:val="bottom"/>
            <w:gridSpan w:val="2"/>
          </w:tcPr>
          <w:p>
            <w:pPr>
              <w:jc w:val="center"/>
              <w:ind w:left="302"/>
              <w:spacing w:after="0" w:line="107" w:lineRule="exact"/>
              <w:rPr>
                <w:sz w:val="20"/>
                <w:szCs w:val="20"/>
                <w:color w:val="auto"/>
              </w:rPr>
            </w:pPr>
            <w:r>
              <w:rPr>
                <w:rFonts w:ascii="Times New Roman" w:cs="Times New Roman" w:eastAsia="Times New Roman" w:hAnsi="Times New Roman"/>
                <w:sz w:val="10"/>
                <w:szCs w:val="10"/>
                <w:b w:val="1"/>
                <w:bCs w:val="1"/>
                <w:color w:val="auto"/>
              </w:rPr>
              <w:t>Observable</w:t>
            </w:r>
          </w:p>
        </w:tc>
        <w:tc>
          <w:tcPr>
            <w:tcW w:w="1340" w:type="dxa"/>
            <w:vAlign w:val="bottom"/>
            <w:gridSpan w:val="3"/>
            <w:vMerge w:val="continue"/>
          </w:tcPr>
          <w:p>
            <w:pPr>
              <w:spacing w:after="0"/>
              <w:rPr>
                <w:sz w:val="9"/>
                <w:szCs w:val="9"/>
                <w:color w:val="auto"/>
              </w:rPr>
            </w:pPr>
          </w:p>
        </w:tc>
        <w:tc>
          <w:tcPr>
            <w:tcW w:w="4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Identical Assets</w:t>
            </w:r>
          </w:p>
        </w:tc>
        <w:tc>
          <w:tcPr>
            <w:tcW w:w="36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Inputs</w:t>
            </w:r>
          </w:p>
        </w:tc>
        <w:tc>
          <w:tcPr>
            <w:tcW w:w="360" w:type="dxa"/>
            <w:vAlign w:val="bottom"/>
          </w:tcPr>
          <w:p>
            <w:pPr>
              <w:spacing w:after="0"/>
              <w:rPr>
                <w:sz w:val="10"/>
                <w:szCs w:val="10"/>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rPr>
              <w:t>Inputs</w:t>
            </w:r>
          </w:p>
        </w:tc>
        <w:tc>
          <w:tcPr>
            <w:tcW w:w="4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20" w:type="dxa"/>
            <w:vAlign w:val="bottom"/>
            <w:tcBorders>
              <w:top w:val="single" w:sz="8" w:color="auto"/>
              <w:bottom w:val="single" w:sz="8" w:color="auto"/>
            </w:tcBorders>
          </w:tcPr>
          <w:p>
            <w:pPr>
              <w:jc w:val="center"/>
              <w:spacing w:after="0" w:line="97" w:lineRule="exact"/>
              <w:rPr>
                <w:sz w:val="20"/>
                <w:szCs w:val="20"/>
                <w:color w:val="auto"/>
              </w:rPr>
            </w:pPr>
            <w:r>
              <w:rPr>
                <w:rFonts w:ascii="Times New Roman" w:cs="Times New Roman" w:eastAsia="Times New Roman" w:hAnsi="Times New Roman"/>
                <w:sz w:val="10"/>
                <w:szCs w:val="10"/>
                <w:b w:val="1"/>
                <w:bCs w:val="1"/>
                <w:color w:val="auto"/>
              </w:rPr>
              <w:t>(Level 1)</w:t>
            </w:r>
          </w:p>
        </w:tc>
        <w:tc>
          <w:tcPr>
            <w:tcW w:w="360" w:type="dxa"/>
            <w:vAlign w:val="bottom"/>
          </w:tcPr>
          <w:p>
            <w:pPr>
              <w:spacing w:after="0"/>
              <w:rPr>
                <w:sz w:val="8"/>
                <w:szCs w:val="8"/>
                <w:color w:val="auto"/>
              </w:rPr>
            </w:pPr>
          </w:p>
        </w:tc>
        <w:tc>
          <w:tcPr>
            <w:tcW w:w="500" w:type="dxa"/>
            <w:vAlign w:val="bottom"/>
            <w:tcBorders>
              <w:top w:val="single" w:sz="8" w:color="auto"/>
              <w:bottom w:val="single" w:sz="8" w:color="auto"/>
            </w:tcBorders>
          </w:tcPr>
          <w:p>
            <w:pPr>
              <w:jc w:val="center"/>
              <w:spacing w:after="0" w:line="97" w:lineRule="exact"/>
              <w:rPr>
                <w:sz w:val="20"/>
                <w:szCs w:val="20"/>
                <w:color w:val="auto"/>
              </w:rPr>
            </w:pPr>
            <w:r>
              <w:rPr>
                <w:rFonts w:ascii="Times New Roman" w:cs="Times New Roman" w:eastAsia="Times New Roman" w:hAnsi="Times New Roman"/>
                <w:sz w:val="10"/>
                <w:szCs w:val="10"/>
                <w:b w:val="1"/>
                <w:bCs w:val="1"/>
                <w:color w:val="auto"/>
              </w:rPr>
              <w:t>(Level 2)</w:t>
            </w:r>
          </w:p>
        </w:tc>
        <w:tc>
          <w:tcPr>
            <w:tcW w:w="360" w:type="dxa"/>
            <w:vAlign w:val="bottom"/>
          </w:tcPr>
          <w:p>
            <w:pPr>
              <w:spacing w:after="0"/>
              <w:rPr>
                <w:sz w:val="8"/>
                <w:szCs w:val="8"/>
                <w:color w:val="auto"/>
              </w:rPr>
            </w:pPr>
          </w:p>
        </w:tc>
        <w:tc>
          <w:tcPr>
            <w:tcW w:w="620" w:type="dxa"/>
            <w:vAlign w:val="bottom"/>
            <w:tcBorders>
              <w:top w:val="single" w:sz="8" w:color="auto"/>
              <w:bottom w:val="single" w:sz="8" w:color="auto"/>
            </w:tcBorders>
          </w:tcPr>
          <w:p>
            <w:pPr>
              <w:jc w:val="center"/>
              <w:spacing w:after="0" w:line="97" w:lineRule="exact"/>
              <w:rPr>
                <w:sz w:val="20"/>
                <w:szCs w:val="20"/>
                <w:color w:val="auto"/>
              </w:rPr>
            </w:pPr>
            <w:r>
              <w:rPr>
                <w:rFonts w:ascii="Times New Roman" w:cs="Times New Roman" w:eastAsia="Times New Roman" w:hAnsi="Times New Roman"/>
                <w:sz w:val="10"/>
                <w:szCs w:val="10"/>
                <w:b w:val="1"/>
                <w:bCs w:val="1"/>
                <w:color w:val="auto"/>
              </w:rPr>
              <w:t>(Level 3)</w:t>
            </w:r>
          </w:p>
        </w:tc>
        <w:tc>
          <w:tcPr>
            <w:tcW w:w="360" w:type="dxa"/>
            <w:vAlign w:val="bottom"/>
          </w:tcPr>
          <w:p>
            <w:pPr>
              <w:spacing w:after="0"/>
              <w:rPr>
                <w:sz w:val="8"/>
                <w:szCs w:val="8"/>
                <w:color w:val="auto"/>
              </w:rPr>
            </w:pPr>
          </w:p>
        </w:tc>
        <w:tc>
          <w:tcPr>
            <w:tcW w:w="440" w:type="dxa"/>
            <w:vAlign w:val="bottom"/>
            <w:tcBorders>
              <w:top w:val="single" w:sz="8" w:color="auto"/>
              <w:bottom w:val="single" w:sz="8" w:color="auto"/>
            </w:tcBorders>
            <w:gridSpan w:val="2"/>
          </w:tcPr>
          <w:p>
            <w:pPr>
              <w:jc w:val="center"/>
              <w:ind w:right="20"/>
              <w:spacing w:after="0" w:line="97" w:lineRule="exact"/>
              <w:rPr>
                <w:sz w:val="20"/>
                <w:szCs w:val="20"/>
                <w:color w:val="auto"/>
              </w:rPr>
            </w:pPr>
            <w:r>
              <w:rPr>
                <w:rFonts w:ascii="Times New Roman" w:cs="Times New Roman" w:eastAsia="Times New Roman" w:hAnsi="Times New Roman"/>
                <w:sz w:val="10"/>
                <w:szCs w:val="10"/>
                <w:b w:val="1"/>
                <w:bCs w:val="1"/>
                <w:color w:val="auto"/>
              </w:rPr>
              <w:t>fair value</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20" w:type="dxa"/>
            <w:vAlign w:val="bottom"/>
          </w:tcPr>
          <w:p>
            <w:pPr>
              <w:jc w:val="center"/>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360" w:type="dxa"/>
            <w:vAlign w:val="bottom"/>
          </w:tcPr>
          <w:p>
            <w:pPr>
              <w:spacing w:after="0"/>
              <w:rPr>
                <w:sz w:val="8"/>
                <w:szCs w:val="8"/>
                <w:color w:val="auto"/>
              </w:rPr>
            </w:pPr>
          </w:p>
        </w:tc>
        <w:tc>
          <w:tcPr>
            <w:tcW w:w="500" w:type="dxa"/>
            <w:vAlign w:val="bottom"/>
          </w:tcPr>
          <w:p>
            <w:pPr>
              <w:jc w:val="center"/>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360" w:type="dxa"/>
            <w:vAlign w:val="bottom"/>
          </w:tcPr>
          <w:p>
            <w:pPr>
              <w:spacing w:after="0"/>
              <w:rPr>
                <w:sz w:val="8"/>
                <w:szCs w:val="8"/>
                <w:color w:val="auto"/>
              </w:rPr>
            </w:pPr>
          </w:p>
        </w:tc>
        <w:tc>
          <w:tcPr>
            <w:tcW w:w="620" w:type="dxa"/>
            <w:vAlign w:val="bottom"/>
          </w:tcPr>
          <w:p>
            <w:pPr>
              <w:jc w:val="center"/>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360" w:type="dxa"/>
            <w:vAlign w:val="bottom"/>
          </w:tcPr>
          <w:p>
            <w:pPr>
              <w:spacing w:after="0"/>
              <w:rPr>
                <w:sz w:val="8"/>
                <w:szCs w:val="8"/>
                <w:color w:val="auto"/>
              </w:rPr>
            </w:pPr>
          </w:p>
        </w:tc>
        <w:tc>
          <w:tcPr>
            <w:tcW w:w="440" w:type="dxa"/>
            <w:vAlign w:val="bottom"/>
            <w:gridSpan w:val="2"/>
          </w:tcPr>
          <w:p>
            <w:pPr>
              <w:ind w:left="80"/>
              <w:spacing w:after="0" w:line="97" w:lineRule="exact"/>
              <w:rPr>
                <w:sz w:val="20"/>
                <w:szCs w:val="20"/>
                <w:color w:val="auto"/>
              </w:rPr>
            </w:pPr>
            <w:r>
              <w:rPr>
                <w:rFonts w:ascii="Times New Roman" w:cs="Times New Roman" w:eastAsia="Times New Roman" w:hAnsi="Times New Roman"/>
                <w:sz w:val="10"/>
                <w:szCs w:val="10"/>
                <w:b w:val="1"/>
                <w:bCs w:val="1"/>
                <w:color w:val="auto"/>
              </w:rPr>
              <w:t>RMB</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820" w:type="dxa"/>
            <w:vAlign w:val="bottom"/>
            <w:gridSpan w:val="2"/>
            <w:shd w:val="clear" w:color="auto" w:fill="CCEEFF"/>
          </w:tcPr>
          <w:p>
            <w:pPr>
              <w:spacing w:after="0" w:line="127" w:lineRule="exact"/>
              <w:rPr>
                <w:sz w:val="20"/>
                <w:szCs w:val="20"/>
                <w:color w:val="auto"/>
              </w:rPr>
            </w:pPr>
            <w:r>
              <w:rPr>
                <w:rFonts w:ascii="Times New Roman" w:cs="Times New Roman" w:eastAsia="Times New Roman" w:hAnsi="Times New Roman"/>
                <w:sz w:val="13"/>
                <w:szCs w:val="13"/>
                <w:b w:val="1"/>
                <w:bCs w:val="1"/>
                <w:i w:val="1"/>
                <w:iCs w:val="1"/>
                <w:color w:val="auto"/>
              </w:rPr>
              <w:t>Fair value measurement</w:t>
            </w:r>
          </w:p>
        </w:tc>
        <w:tc>
          <w:tcPr>
            <w:tcW w:w="16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line="145" w:lineRule="exact"/>
              <w:rPr>
                <w:sz w:val="20"/>
                <w:szCs w:val="20"/>
                <w:color w:val="auto"/>
              </w:rPr>
            </w:pPr>
            <w:r>
              <w:rPr>
                <w:rFonts w:ascii="Times New Roman" w:cs="Times New Roman" w:eastAsia="Times New Roman" w:hAnsi="Times New Roman"/>
                <w:sz w:val="13"/>
                <w:szCs w:val="13"/>
                <w:color w:val="auto"/>
              </w:rPr>
              <w:t>Short-term investments</w:t>
            </w:r>
          </w:p>
        </w:tc>
        <w:tc>
          <w:tcPr>
            <w:tcW w:w="1540" w:type="dxa"/>
            <w:vAlign w:val="bottom"/>
            <w:tcBorders>
              <w:top w:val="single" w:sz="8" w:color="CCEEFF"/>
            </w:tcBorders>
          </w:tcPr>
          <w:p>
            <w:pPr>
              <w:spacing w:after="0"/>
              <w:rPr>
                <w:sz w:val="12"/>
                <w:szCs w:val="12"/>
                <w:color w:val="auto"/>
              </w:rPr>
            </w:pPr>
          </w:p>
        </w:tc>
        <w:tc>
          <w:tcPr>
            <w:tcW w:w="1640" w:type="dxa"/>
            <w:vAlign w:val="bottom"/>
            <w:tcBorders>
              <w:top w:val="single" w:sz="8" w:color="CCEEFF"/>
            </w:tcBorders>
          </w:tcPr>
          <w:p>
            <w:pPr>
              <w:spacing w:after="0"/>
              <w:rPr>
                <w:sz w:val="12"/>
                <w:szCs w:val="12"/>
                <w:color w:val="auto"/>
              </w:rPr>
            </w:pPr>
          </w:p>
        </w:tc>
        <w:tc>
          <w:tcPr>
            <w:tcW w:w="82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Trading debt investments</w:t>
            </w:r>
          </w:p>
        </w:tc>
        <w:tc>
          <w:tcPr>
            <w:tcW w:w="1640" w:type="dxa"/>
            <w:vAlign w:val="bottom"/>
            <w:shd w:val="clear" w:color="auto" w:fill="CCEEFF"/>
          </w:tcPr>
          <w:p>
            <w:pPr>
              <w:spacing w:after="0"/>
              <w:rPr>
                <w:sz w:val="13"/>
                <w:szCs w:val="13"/>
                <w:color w:val="auto"/>
              </w:rPr>
            </w:pPr>
          </w:p>
        </w:tc>
        <w:tc>
          <w:tcPr>
            <w:tcW w:w="8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5,187</w:t>
            </w:r>
          </w:p>
        </w:tc>
        <w:tc>
          <w:tcPr>
            <w:tcW w:w="3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5,187</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Available-for-sale debt investments</w:t>
            </w:r>
          </w:p>
        </w:tc>
        <w:tc>
          <w:tcPr>
            <w:tcW w:w="1640" w:type="dxa"/>
            <w:vAlign w:val="bottom"/>
          </w:tcPr>
          <w:p>
            <w:pPr>
              <w:spacing w:after="0"/>
              <w:rPr>
                <w:sz w:val="13"/>
                <w:szCs w:val="13"/>
                <w:color w:val="auto"/>
              </w:rPr>
            </w:pPr>
          </w:p>
        </w:tc>
        <w:tc>
          <w:tcPr>
            <w:tcW w:w="8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44,084</w:t>
            </w:r>
          </w:p>
        </w:tc>
        <w:tc>
          <w:tcPr>
            <w:tcW w:w="360" w:type="dxa"/>
            <w:vAlign w:val="bottom"/>
          </w:tcPr>
          <w:p>
            <w:pPr>
              <w:spacing w:after="0"/>
              <w:rPr>
                <w:sz w:val="13"/>
                <w:szCs w:val="13"/>
                <w:color w:val="auto"/>
              </w:rPr>
            </w:pPr>
          </w:p>
        </w:tc>
        <w:tc>
          <w:tcPr>
            <w:tcW w:w="6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44,084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asset measured at fair value</w:t>
            </w:r>
          </w:p>
        </w:tc>
        <w:tc>
          <w:tcPr>
            <w:tcW w:w="164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49,271</w:t>
            </w:r>
          </w:p>
        </w:tc>
        <w:tc>
          <w:tcPr>
            <w:tcW w:w="36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49,271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460" w:type="dxa"/>
            <w:vAlign w:val="bottom"/>
            <w:gridSpan w:val="2"/>
          </w:tcPr>
          <w:p>
            <w:pPr>
              <w:ind w:left="980"/>
              <w:spacing w:after="0"/>
              <w:rPr>
                <w:sz w:val="20"/>
                <w:szCs w:val="20"/>
                <w:color w:val="auto"/>
              </w:rPr>
            </w:pPr>
            <w:r>
              <w:rPr>
                <w:rFonts w:ascii="Times New Roman" w:cs="Times New Roman" w:eastAsia="Times New Roman" w:hAnsi="Times New Roman"/>
                <w:sz w:val="13"/>
                <w:szCs w:val="13"/>
                <w:color w:val="auto"/>
              </w:rPr>
              <w:t>F- 60</w:t>
            </w: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8" w:right="1440"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7">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 (CONTINUED)</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8">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7" w:lineRule="exact"/>
        <w:rPr>
          <w:sz w:val="20"/>
          <w:szCs w:val="20"/>
          <w:color w:val="auto"/>
        </w:rPr>
      </w:pPr>
    </w:p>
    <w:p>
      <w:pPr>
        <w:ind w:left="1980" w:hanging="304"/>
        <w:spacing w:after="0"/>
        <w:tabs>
          <w:tab w:leader="none" w:pos="1980" w:val="left"/>
        </w:tabs>
        <w:numPr>
          <w:ilvl w:val="0"/>
          <w:numId w:val="15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Fair Value Measurements (Continued)</w:t>
      </w:r>
    </w:p>
    <w:p>
      <w:pPr>
        <w:spacing w:after="0" w:line="115" w:lineRule="exact"/>
        <w:rPr>
          <w:rFonts w:ascii="Times New Roman" w:cs="Times New Roman" w:eastAsia="Times New Roman" w:hAnsi="Times New Roman"/>
          <w:sz w:val="13"/>
          <w:szCs w:val="13"/>
          <w:b w:val="1"/>
          <w:bCs w:val="1"/>
          <w:color w:val="auto"/>
        </w:rPr>
      </w:pPr>
    </w:p>
    <w:p>
      <w:pPr>
        <w:ind w:left="2000" w:right="799"/>
        <w:spacing w:after="0" w:line="264"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Group values its trading debt investments using the redemption prices provided by the issuing financial institutions that are not market observable inputs, and accordingly the Group classifies the valuation techniques that use these inputs as Level 2. These products have original maturities of one year or less; therefore, the carrying values approximate their fair values.</w:t>
      </w:r>
    </w:p>
    <w:p>
      <w:pPr>
        <w:spacing w:after="0" w:line="51" w:lineRule="exact"/>
        <w:rPr>
          <w:rFonts w:ascii="Times New Roman" w:cs="Times New Roman" w:eastAsia="Times New Roman" w:hAnsi="Times New Roman"/>
          <w:sz w:val="13"/>
          <w:szCs w:val="13"/>
          <w:b w:val="1"/>
          <w:bCs w:val="1"/>
          <w:color w:val="auto"/>
        </w:rPr>
      </w:pPr>
    </w:p>
    <w:p>
      <w:pPr>
        <w:ind w:left="2000" w:right="599"/>
        <w:spacing w:after="0" w:line="257"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Group invested in available-for-sale debt investments with a one-year term in a closed-end segregated portfolio fund in 2020 and redeemed it in 2021. The investment objective of the fund is to achieve capital appreciation by primarily investing in shares of target companies to be listed in internationally recognizable stock exchanges in their respective initial public offerings. The fund may hold or invest 100% of its assets in temporary investments such as cash or cash equivalents at the discretion of the management of the fund. The investments cannot be sold or transferred, pledged, mortgaged, encumbered or otherwise disposed of without the prior written consent of the management of the fund.</w:t>
      </w:r>
    </w:p>
    <w:p>
      <w:pPr>
        <w:spacing w:after="0" w:line="55" w:lineRule="exact"/>
        <w:rPr>
          <w:rFonts w:ascii="Times New Roman" w:cs="Times New Roman" w:eastAsia="Times New Roman" w:hAnsi="Times New Roman"/>
          <w:sz w:val="13"/>
          <w:szCs w:val="13"/>
          <w:b w:val="1"/>
          <w:bCs w:val="1"/>
          <w:color w:val="auto"/>
        </w:rPr>
      </w:pPr>
    </w:p>
    <w:p>
      <w:pPr>
        <w:ind w:left="2000" w:right="659"/>
        <w:spacing w:after="0" w:line="264"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There were no other assets or liabilities measured at a recurring or non-recurring basis as of December 31, 2020 and December 31, 2021. The Group measures certain financial and non-financial assets, including long-term investments and long-lived assets, at fair value on a nonrecurring basis when impairment charges are recognized.</w:t>
      </w:r>
    </w:p>
    <w:p>
      <w:pPr>
        <w:spacing w:after="0" w:line="234" w:lineRule="exact"/>
        <w:rPr>
          <w:rFonts w:ascii="Times New Roman" w:cs="Times New Roman" w:eastAsia="Times New Roman" w:hAnsi="Times New Roman"/>
          <w:sz w:val="13"/>
          <w:szCs w:val="13"/>
          <w:b w:val="1"/>
          <w:bCs w:val="1"/>
          <w:color w:val="auto"/>
        </w:rPr>
      </w:pPr>
    </w:p>
    <w:p>
      <w:pPr>
        <w:ind w:left="1980" w:hanging="304"/>
        <w:spacing w:after="0"/>
        <w:tabs>
          <w:tab w:leader="none" w:pos="1980" w:val="left"/>
        </w:tabs>
        <w:numPr>
          <w:ilvl w:val="0"/>
          <w:numId w:val="15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Commitments and Contingencies</w:t>
      </w:r>
    </w:p>
    <w:p>
      <w:pPr>
        <w:spacing w:after="0" w:line="92" w:lineRule="exact"/>
        <w:rPr>
          <w:sz w:val="20"/>
          <w:szCs w:val="20"/>
          <w:color w:val="auto"/>
        </w:rPr>
      </w:pPr>
    </w:p>
    <w:p>
      <w:pPr>
        <w:ind w:left="1980" w:hanging="304"/>
        <w:spacing w:after="0"/>
        <w:tabs>
          <w:tab w:leader="none" w:pos="1980" w:val="left"/>
        </w:tabs>
        <w:numPr>
          <w:ilvl w:val="0"/>
          <w:numId w:val="153"/>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Operating lease commitments</w:t>
      </w:r>
    </w:p>
    <w:p>
      <w:pPr>
        <w:spacing w:after="0" w:line="87" w:lineRule="exact"/>
        <w:rPr>
          <w:rFonts w:ascii="Times New Roman" w:cs="Times New Roman" w:eastAsia="Times New Roman" w:hAnsi="Times New Roman"/>
          <w:sz w:val="13"/>
          <w:szCs w:val="13"/>
          <w:b w:val="1"/>
          <w:bCs w:val="1"/>
          <w:i w:val="1"/>
          <w:iCs w:val="1"/>
          <w:color w:val="auto"/>
        </w:rPr>
      </w:pPr>
    </w:p>
    <w:p>
      <w:pPr>
        <w:ind w:left="2000" w:right="1019"/>
        <w:spacing w:after="0" w:line="278"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As of December 31, 2021, future minimum lease payments under non-cancellable operating leases with initial terms in excess of one year consisted of the following:</w:t>
      </w:r>
    </w:p>
    <w:p>
      <w:pPr>
        <w:spacing w:after="0" w:line="136" w:lineRule="exact"/>
        <w:rPr>
          <w:sz w:val="20"/>
          <w:szCs w:val="20"/>
          <w:color w:val="auto"/>
        </w:rPr>
      </w:pPr>
    </w:p>
    <w:tbl>
      <w:tblPr>
        <w:tblLayout w:type="fixed"/>
        <w:tblInd w:w="262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400" w:type="dxa"/>
            <w:vAlign w:val="bottom"/>
          </w:tcPr>
          <w:p>
            <w:pPr>
              <w:jc w:val="right"/>
              <w:ind w:right="17"/>
              <w:spacing w:after="0"/>
              <w:rPr>
                <w:sz w:val="20"/>
                <w:szCs w:val="20"/>
                <w:color w:val="auto"/>
              </w:rPr>
            </w:pPr>
            <w:r>
              <w:rPr>
                <w:rFonts w:ascii="Times New Roman" w:cs="Times New Roman" w:eastAsia="Times New Roman" w:hAnsi="Times New Roman"/>
                <w:sz w:val="10"/>
                <w:szCs w:val="10"/>
                <w:b w:val="1"/>
                <w:bCs w:val="1"/>
                <w:color w:val="auto"/>
              </w:rPr>
              <w:t>RMB</w:t>
            </w:r>
          </w:p>
        </w:tc>
        <w:tc>
          <w:tcPr>
            <w:tcW w:w="160" w:type="dxa"/>
            <w:vAlign w:val="bottom"/>
          </w:tcPr>
          <w:p>
            <w:pPr>
              <w:spacing w:after="0"/>
              <w:rPr>
                <w:sz w:val="10"/>
                <w:szCs w:val="10"/>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US$</w:t>
            </w:r>
          </w:p>
        </w:tc>
      </w:tr>
      <w:tr>
        <w:trPr>
          <w:trHeight w:val="156"/>
        </w:trPr>
        <w:tc>
          <w:tcPr>
            <w:tcW w:w="20" w:type="dxa"/>
            <w:vAlign w:val="bottom"/>
          </w:tcPr>
          <w:p>
            <w:pPr>
              <w:spacing w:after="0"/>
              <w:rPr>
                <w:sz w:val="13"/>
                <w:szCs w:val="13"/>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2022</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11,530</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1,809</w:t>
            </w:r>
          </w:p>
        </w:tc>
        <w:tc>
          <w:tcPr>
            <w:tcW w:w="40" w:type="dxa"/>
            <w:vAlign w:val="bottom"/>
            <w:shd w:val="clear" w:color="auto" w:fill="CCEE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3"/>
                <w:szCs w:val="13"/>
                <w:color w:val="auto"/>
              </w:rPr>
              <w:t>2023</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5,926</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930</w:t>
            </w:r>
          </w:p>
        </w:tc>
        <w:tc>
          <w:tcPr>
            <w:tcW w:w="4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2024</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791</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40" w:type="dxa"/>
            <w:vAlign w:val="bottom"/>
            <w:shd w:val="clear" w:color="auto" w:fill="CCEE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3"/>
                <w:szCs w:val="13"/>
                <w:color w:val="auto"/>
              </w:rPr>
              <w:t>2025</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1,252</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4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2026</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2,635</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w:t>
            </w:r>
          </w:p>
        </w:tc>
        <w:tc>
          <w:tcPr>
            <w:tcW w:w="40" w:type="dxa"/>
            <w:vAlign w:val="bottom"/>
            <w:shd w:val="clear" w:color="auto" w:fill="CCEE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3"/>
                <w:szCs w:val="13"/>
                <w:color w:val="auto"/>
              </w:rPr>
              <w:t>2027 and thereafter</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4,612</w:t>
            </w:r>
          </w:p>
        </w:tc>
        <w:tc>
          <w:tcPr>
            <w:tcW w:w="160" w:type="dxa"/>
            <w:vAlign w:val="bottom"/>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724</w:t>
            </w:r>
          </w:p>
        </w:tc>
        <w:tc>
          <w:tcPr>
            <w:tcW w:w="40" w:type="dxa"/>
            <w:vAlign w:val="bottom"/>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26,746</w:t>
            </w:r>
          </w:p>
        </w:tc>
        <w:tc>
          <w:tcPr>
            <w:tcW w:w="1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4,196</w:t>
            </w:r>
          </w:p>
        </w:tc>
        <w:tc>
          <w:tcPr>
            <w:tcW w:w="40" w:type="dxa"/>
            <w:vAlign w:val="bottom"/>
            <w:shd w:val="clear" w:color="auto" w:fill="CCEEFF"/>
          </w:tcPr>
          <w:p>
            <w:pPr>
              <w:spacing w:after="0"/>
              <w:rPr>
                <w:sz w:val="14"/>
                <w:szCs w:val="14"/>
                <w:color w:val="auto"/>
              </w:rPr>
            </w:pPr>
          </w:p>
        </w:tc>
      </w:tr>
    </w:tbl>
    <w:p>
      <w:pPr>
        <w:spacing w:after="0" w:line="75" w:lineRule="exact"/>
        <w:rPr>
          <w:sz w:val="20"/>
          <w:szCs w:val="20"/>
          <w:color w:val="auto"/>
        </w:rPr>
      </w:pPr>
    </w:p>
    <w:p>
      <w:pPr>
        <w:ind w:left="2000" w:right="579"/>
        <w:spacing w:after="0" w:line="278" w:lineRule="auto"/>
        <w:rPr>
          <w:sz w:val="20"/>
          <w:szCs w:val="20"/>
          <w:color w:val="auto"/>
        </w:rPr>
      </w:pPr>
      <w:r>
        <w:rPr>
          <w:rFonts w:ascii="Times New Roman" w:cs="Times New Roman" w:eastAsia="Times New Roman" w:hAnsi="Times New Roman"/>
          <w:sz w:val="13"/>
          <w:szCs w:val="13"/>
          <w:color w:val="auto"/>
        </w:rPr>
        <w:t>Total rental expenses for all operating leases amounted to RMB8,455, RMB9,019 and RMB10,460 (US$1,641), for the years ended December 31, 2019, 2020 and 2021, respectively.</w:t>
      </w:r>
    </w:p>
    <w:p>
      <w:pPr>
        <w:spacing w:after="0" w:line="224" w:lineRule="exact"/>
        <w:rPr>
          <w:sz w:val="20"/>
          <w:szCs w:val="20"/>
          <w:color w:val="auto"/>
        </w:rPr>
      </w:pPr>
    </w:p>
    <w:p>
      <w:pPr>
        <w:ind w:left="1980" w:hanging="304"/>
        <w:spacing w:after="0"/>
        <w:tabs>
          <w:tab w:leader="none" w:pos="1980" w:val="left"/>
        </w:tabs>
        <w:numPr>
          <w:ilvl w:val="0"/>
          <w:numId w:val="154"/>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Capital commitments</w:t>
      </w:r>
    </w:p>
    <w:p>
      <w:pPr>
        <w:spacing w:after="0" w:line="87" w:lineRule="exact"/>
        <w:rPr>
          <w:rFonts w:ascii="Times New Roman" w:cs="Times New Roman" w:eastAsia="Times New Roman" w:hAnsi="Times New Roman"/>
          <w:sz w:val="13"/>
          <w:szCs w:val="13"/>
          <w:b w:val="1"/>
          <w:bCs w:val="1"/>
          <w:i w:val="1"/>
          <w:iCs w:val="1"/>
          <w:color w:val="auto"/>
        </w:rPr>
      </w:pPr>
    </w:p>
    <w:p>
      <w:pPr>
        <w:ind w:left="2000" w:right="559"/>
        <w:spacing w:after="0" w:line="278"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The Group and a third party investor entered into an investment agreement to establish an investee with a certain payment schedule (Note 10). The following table sets forth our contractual obligations as of December 31, 2021.</w:t>
      </w:r>
    </w:p>
    <w:p>
      <w:pPr>
        <w:spacing w:after="0" w:line="136" w:lineRule="exact"/>
        <w:rPr>
          <w:sz w:val="20"/>
          <w:szCs w:val="20"/>
          <w:color w:val="auto"/>
        </w:rPr>
      </w:pPr>
    </w:p>
    <w:tbl>
      <w:tblPr>
        <w:tblLayout w:type="fixed"/>
        <w:tblInd w:w="262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RMB</w:t>
            </w:r>
          </w:p>
        </w:tc>
        <w:tc>
          <w:tcPr>
            <w:tcW w:w="220" w:type="dxa"/>
            <w:vAlign w:val="bottom"/>
          </w:tcPr>
          <w:p>
            <w:pPr>
              <w:spacing w:after="0"/>
              <w:rPr>
                <w:sz w:val="10"/>
                <w:szCs w:val="10"/>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US$</w:t>
            </w:r>
          </w:p>
        </w:tc>
      </w:tr>
      <w:tr>
        <w:trPr>
          <w:trHeight w:val="156"/>
        </w:trPr>
        <w:tc>
          <w:tcPr>
            <w:tcW w:w="20" w:type="dxa"/>
            <w:vAlign w:val="bottom"/>
          </w:tcPr>
          <w:p>
            <w:pPr>
              <w:spacing w:after="0"/>
              <w:rPr>
                <w:sz w:val="13"/>
                <w:szCs w:val="13"/>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2022</w:t>
            </w:r>
          </w:p>
        </w:tc>
        <w:tc>
          <w:tcPr>
            <w:tcW w:w="3880" w:type="dxa"/>
            <w:vAlign w:val="bottom"/>
            <w:gridSpan w:val="2"/>
            <w:shd w:val="clear" w:color="auto" w:fill="CCEEFF"/>
          </w:tcPr>
          <w:p>
            <w:pPr>
              <w:ind w:left="3580"/>
              <w:spacing w:after="0"/>
              <w:rPr>
                <w:sz w:val="20"/>
                <w:szCs w:val="20"/>
                <w:color w:val="auto"/>
              </w:rPr>
            </w:pPr>
            <w:r>
              <w:rPr>
                <w:rFonts w:ascii="Times New Roman" w:cs="Times New Roman" w:eastAsia="Times New Roman" w:hAnsi="Times New Roman"/>
                <w:sz w:val="13"/>
                <w:szCs w:val="13"/>
                <w:color w:val="auto"/>
                <w:w w:val="95"/>
              </w:rPr>
              <w:t>3,500</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w:t>
            </w:r>
          </w:p>
        </w:tc>
        <w:tc>
          <w:tcPr>
            <w:tcW w:w="40" w:type="dxa"/>
            <w:vAlign w:val="bottom"/>
            <w:shd w:val="clear" w:color="auto" w:fill="CCEE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3"/>
                <w:szCs w:val="13"/>
                <w:color w:val="auto"/>
              </w:rPr>
              <w:t>2023</w:t>
            </w:r>
          </w:p>
        </w:tc>
        <w:tc>
          <w:tcPr>
            <w:tcW w:w="3880" w:type="dxa"/>
            <w:vAlign w:val="bottom"/>
            <w:gridSpan w:val="2"/>
          </w:tcPr>
          <w:p>
            <w:pPr>
              <w:ind w:left="3580"/>
              <w:spacing w:after="0"/>
              <w:rPr>
                <w:sz w:val="20"/>
                <w:szCs w:val="20"/>
                <w:color w:val="auto"/>
              </w:rPr>
            </w:pPr>
            <w:r>
              <w:rPr>
                <w:rFonts w:ascii="Times New Roman" w:cs="Times New Roman" w:eastAsia="Times New Roman" w:hAnsi="Times New Roman"/>
                <w:sz w:val="13"/>
                <w:szCs w:val="13"/>
                <w:color w:val="auto"/>
                <w:w w:val="95"/>
              </w:rPr>
              <w:t>1,750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4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2024</w:t>
            </w:r>
          </w:p>
        </w:tc>
        <w:tc>
          <w:tcPr>
            <w:tcW w:w="3880" w:type="dxa"/>
            <w:vAlign w:val="bottom"/>
            <w:gridSpan w:val="2"/>
            <w:shd w:val="clear" w:color="auto" w:fill="CCEEFF"/>
          </w:tcPr>
          <w:p>
            <w:pPr>
              <w:ind w:left="3580"/>
              <w:spacing w:after="0"/>
              <w:rPr>
                <w:sz w:val="20"/>
                <w:szCs w:val="20"/>
                <w:color w:val="auto"/>
              </w:rPr>
            </w:pPr>
            <w:r>
              <w:rPr>
                <w:rFonts w:ascii="Times New Roman" w:cs="Times New Roman" w:eastAsia="Times New Roman" w:hAnsi="Times New Roman"/>
                <w:sz w:val="13"/>
                <w:szCs w:val="13"/>
                <w:color w:val="auto"/>
                <w:w w:val="95"/>
              </w:rPr>
              <w:t>1,750</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40" w:type="dxa"/>
            <w:vAlign w:val="bottom"/>
            <w:shd w:val="clear" w:color="auto" w:fill="CCEEFF"/>
          </w:tcPr>
          <w:p>
            <w:pPr>
              <w:spacing w:after="0"/>
              <w:rPr>
                <w:sz w:val="13"/>
                <w:szCs w:val="13"/>
                <w:color w:val="auto"/>
              </w:rPr>
            </w:pPr>
          </w:p>
        </w:tc>
      </w:tr>
      <w:tr>
        <w:trPr>
          <w:trHeight w:val="164"/>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540" w:type="dxa"/>
            <w:vAlign w:val="bottom"/>
          </w:tcPr>
          <w:p>
            <w:pPr>
              <w:spacing w:after="0"/>
              <w:rPr>
                <w:sz w:val="14"/>
                <w:szCs w:val="14"/>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w w:val="95"/>
              </w:rPr>
              <w:t>7,000</w:t>
            </w:r>
          </w:p>
        </w:tc>
        <w:tc>
          <w:tcPr>
            <w:tcW w:w="22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1,098</w:t>
            </w:r>
          </w:p>
        </w:tc>
        <w:tc>
          <w:tcPr>
            <w:tcW w:w="40" w:type="dxa"/>
            <w:vAlign w:val="bottom"/>
          </w:tcPr>
          <w:p>
            <w:pPr>
              <w:spacing w:after="0"/>
              <w:rPr>
                <w:sz w:val="14"/>
                <w:szCs w:val="14"/>
                <w:color w:val="auto"/>
              </w:rPr>
            </w:pPr>
          </w:p>
        </w:tc>
      </w:tr>
      <w:tr>
        <w:trPr>
          <w:trHeight w:val="271"/>
        </w:trPr>
        <w:tc>
          <w:tcPr>
            <w:tcW w:w="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880" w:type="dxa"/>
            <w:vAlign w:val="bottom"/>
            <w:gridSpan w:val="2"/>
          </w:tcPr>
          <w:p>
            <w:pPr>
              <w:ind w:left="1300"/>
              <w:spacing w:after="0"/>
              <w:rPr>
                <w:sz w:val="20"/>
                <w:szCs w:val="20"/>
                <w:color w:val="auto"/>
              </w:rPr>
            </w:pPr>
            <w:r>
              <w:rPr>
                <w:rFonts w:ascii="Times New Roman" w:cs="Times New Roman" w:eastAsia="Times New Roman" w:hAnsi="Times New Roman"/>
                <w:sz w:val="13"/>
                <w:szCs w:val="13"/>
                <w:color w:val="auto"/>
              </w:rPr>
              <w:t>F- 61</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r>
    </w:tbl>
    <w:p>
      <w:pPr>
        <w:sectPr>
          <w:pgSz w:w="11900" w:h="16838" w:orient="portrait"/>
          <w:cols w:equalWidth="0" w:num="1">
            <w:col w:w="10159"/>
          </w:cols>
          <w:pgMar w:left="300" w:top="388" w:right="1440"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176530</wp:posOffset>
            </wp:positionH>
            <wp:positionV relativeFrom="page">
              <wp:posOffset>88900</wp:posOffset>
            </wp:positionV>
            <wp:extent cx="7208520" cy="438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9">
                      <a:extLst>
                        <a:ext uri="{28A0092B-C50C-407E-A947-70E740481C1C}"/>
                      </a:extLst>
                    </a:blip>
                    <a:srcRect/>
                    <a:stretch>
                      <a:fillRect/>
                    </a:stretch>
                  </pic:blipFill>
                  <pic:spPr bwMode="auto">
                    <a:xfrm>
                      <a:off x="0" y="0"/>
                      <a:ext cx="7208520" cy="43815"/>
                    </a:xfrm>
                    <a:prstGeom prst="rect">
                      <a:avLst/>
                    </a:prstGeom>
                    <a:noFill/>
                  </pic:spPr>
                </pic:pic>
              </a:graphicData>
            </a:graphic>
          </wp:anchor>
        </w:drawing>
        <w:t>Table of Contents</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 (CONTINUED)</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(Amounts in thousands of Renminbi (“RMB”) and U.S. dollars (“US$”),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29210</wp:posOffset>
            </wp:positionV>
            <wp:extent cx="5039995" cy="63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0">
                      <a:extLst>
                        <a:ext uri="{28A0092B-C50C-407E-A947-70E740481C1C}"/>
                      </a:extLst>
                    </a:blip>
                    <a:srcRect/>
                    <a:stretch>
                      <a:fillRect/>
                    </a:stretch>
                  </pic:blipFill>
                  <pic:spPr bwMode="auto">
                    <a:xfrm>
                      <a:off x="0" y="0"/>
                      <a:ext cx="5039995" cy="6350"/>
                    </a:xfrm>
                    <a:prstGeom prst="rect">
                      <a:avLst/>
                    </a:prstGeom>
                    <a:noFill/>
                  </pic:spPr>
                </pic:pic>
              </a:graphicData>
            </a:graphic>
          </wp:anchor>
        </w:drawing>
      </w:r>
    </w:p>
    <w:p>
      <w:pPr>
        <w:spacing w:after="0" w:line="157" w:lineRule="exact"/>
        <w:rPr>
          <w:sz w:val="20"/>
          <w:szCs w:val="20"/>
          <w:color w:val="auto"/>
        </w:rPr>
      </w:pPr>
    </w:p>
    <w:p>
      <w:pPr>
        <w:ind w:left="1980" w:hanging="304"/>
        <w:spacing w:after="0"/>
        <w:tabs>
          <w:tab w:leader="none" w:pos="1980" w:val="left"/>
        </w:tabs>
        <w:numPr>
          <w:ilvl w:val="0"/>
          <w:numId w:val="15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Commitments and Contingencies (Continued)</w:t>
      </w:r>
    </w:p>
    <w:p>
      <w:pPr>
        <w:spacing w:after="0" w:line="111" w:lineRule="exact"/>
        <w:rPr>
          <w:sz w:val="20"/>
          <w:szCs w:val="20"/>
          <w:color w:val="auto"/>
        </w:rPr>
      </w:pPr>
    </w:p>
    <w:p>
      <w:pPr>
        <w:ind w:left="1980" w:hanging="304"/>
        <w:spacing w:after="0"/>
        <w:tabs>
          <w:tab w:leader="none" w:pos="1980" w:val="left"/>
        </w:tabs>
        <w:numPr>
          <w:ilvl w:val="0"/>
          <w:numId w:val="156"/>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Contingencies</w:t>
      </w:r>
    </w:p>
    <w:p>
      <w:pPr>
        <w:spacing w:after="0" w:line="87" w:lineRule="exact"/>
        <w:rPr>
          <w:rFonts w:ascii="Times New Roman" w:cs="Times New Roman" w:eastAsia="Times New Roman" w:hAnsi="Times New Roman"/>
          <w:sz w:val="13"/>
          <w:szCs w:val="13"/>
          <w:b w:val="1"/>
          <w:bCs w:val="1"/>
          <w:i w:val="1"/>
          <w:iCs w:val="1"/>
          <w:color w:val="auto"/>
        </w:rPr>
      </w:pPr>
    </w:p>
    <w:p>
      <w:pPr>
        <w:ind w:left="2000" w:right="559"/>
        <w:spacing w:after="0" w:line="259"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The Group is subject to legal and regulatory actions that arise from time to time. The assessment as to whether a loss is probable or reasonably possible, and as to whether such loss or a range of such loss is estimable, often involves significant judgment about future events, and the outcome of litigation is inherently uncertain. Other than as described below, the Group is currently not in any legal or administrative proceedings that may have a material adverse impact on the Group’s business, financial position or results of operations.</w:t>
      </w:r>
    </w:p>
    <w:p>
      <w:pPr>
        <w:spacing w:after="0" w:line="208" w:lineRule="exact"/>
        <w:rPr>
          <w:rFonts w:ascii="Times New Roman" w:cs="Times New Roman" w:eastAsia="Times New Roman" w:hAnsi="Times New Roman"/>
          <w:sz w:val="13"/>
          <w:szCs w:val="13"/>
          <w:b w:val="1"/>
          <w:bCs w:val="1"/>
          <w:i w:val="1"/>
          <w:iCs w:val="1"/>
          <w:color w:val="auto"/>
        </w:rPr>
      </w:pPr>
    </w:p>
    <w:p>
      <w:pPr>
        <w:ind w:left="2000"/>
        <w:spacing w:after="0"/>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i w:val="1"/>
          <w:iCs w:val="1"/>
          <w:color w:val="auto"/>
        </w:rPr>
        <w:t>Shareholder Securities Litigation</w:t>
      </w:r>
    </w:p>
    <w:p>
      <w:pPr>
        <w:spacing w:after="0" w:line="85" w:lineRule="exact"/>
        <w:rPr>
          <w:rFonts w:ascii="Times New Roman" w:cs="Times New Roman" w:eastAsia="Times New Roman" w:hAnsi="Times New Roman"/>
          <w:sz w:val="13"/>
          <w:szCs w:val="13"/>
          <w:b w:val="1"/>
          <w:bCs w:val="1"/>
          <w:i w:val="1"/>
          <w:iCs w:val="1"/>
          <w:color w:val="auto"/>
        </w:rPr>
      </w:pPr>
    </w:p>
    <w:p>
      <w:pPr>
        <w:ind w:left="2000" w:right="559"/>
        <w:spacing w:after="0" w:line="279"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2"/>
          <w:szCs w:val="12"/>
          <w:color w:val="auto"/>
        </w:rPr>
        <w:t>Between February 17 and 26, 2021, three federal securities class action lawsuits (captioned Amberber v. EHang Holdings Limited, et al., Case No. 1:21-cv-01392-GBD (S.D.N.Y., filed Feb. 17, 2021), Chaumont v. EHang Holdings Limited, et al., Case No. 1:21-cv-01526-GBD (S.D.N.Y., filed Feb. 19, 2021), and Klein v. EHang Holdings Limited, et al., Case No. 2:21-cv-01811-JFW-PVC (C.D. Cal., filed Feb. 26, 2021)) were filed by purported shareholders in federal court. The complaints generally allege that the Company and certain of its officers made false and misleading statements regarding the status of its urban air mobility business, its international and domestic regulatory approvals, its relationships with major customers, and its manufacturing facilities. The complaints name as defendants the Company and certain of its officers. In addition to costs and attorneys’ fees, the complaints seek compensatory and punitive damages. The Company intends to vigorously defend itself.</w:t>
      </w:r>
    </w:p>
    <w:p>
      <w:pPr>
        <w:spacing w:after="0" w:line="44" w:lineRule="exact"/>
        <w:rPr>
          <w:rFonts w:ascii="Times New Roman" w:cs="Times New Roman" w:eastAsia="Times New Roman" w:hAnsi="Times New Roman"/>
          <w:sz w:val="13"/>
          <w:szCs w:val="13"/>
          <w:b w:val="1"/>
          <w:bCs w:val="1"/>
          <w:i w:val="1"/>
          <w:iCs w:val="1"/>
          <w:color w:val="auto"/>
        </w:rPr>
      </w:pPr>
    </w:p>
    <w:p>
      <w:pPr>
        <w:ind w:left="2000" w:right="579"/>
        <w:spacing w:after="0" w:line="259"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The three cases were consolidated on February 10, 2022 (captioned in re EHang Holdings Limited Securities Litigation, 1:21-cv-01392-GBD-GWG (S.D.N.Y., filed Feb. 19, 2021). The Court appointed lead plaintiff counsel on the same date. The lead plaintiff filed an amended complaint on April 25, 2022, making similar allegations as those in the previous complaints. Defendants will file a motion to dismiss the amended complaint in June 2022.</w:t>
      </w:r>
    </w:p>
    <w:p>
      <w:pPr>
        <w:spacing w:after="0" w:line="55" w:lineRule="exact"/>
        <w:rPr>
          <w:rFonts w:ascii="Times New Roman" w:cs="Times New Roman" w:eastAsia="Times New Roman" w:hAnsi="Times New Roman"/>
          <w:sz w:val="13"/>
          <w:szCs w:val="13"/>
          <w:b w:val="1"/>
          <w:bCs w:val="1"/>
          <w:i w:val="1"/>
          <w:iCs w:val="1"/>
          <w:color w:val="auto"/>
        </w:rPr>
      </w:pPr>
    </w:p>
    <w:p>
      <w:pPr>
        <w:ind w:left="2000" w:right="839"/>
        <w:spacing w:after="0" w:line="264"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Given the uncertainty of litigation, the preliminary stage of the case, and the legal standards that must be met for, among other things, class certification and success on the merits, the Company is unable to evaluate the probability of the outcome and estimate the amount or range of potential loss, if any, associated with these lawsuits, which could be material.</w:t>
      </w:r>
    </w:p>
    <w:p>
      <w:pPr>
        <w:spacing w:after="0" w:line="8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color w:val="auto"/>
        </w:rPr>
        <w:t>F- 62</w:t>
      </w:r>
    </w:p>
    <w:p>
      <w:pPr>
        <w:sectPr>
          <w:pgSz w:w="11900" w:h="16838" w:orient="portrait"/>
          <w:cols w:equalWidth="0" w:num="1">
            <w:col w:w="10159"/>
          </w:cols>
          <w:pgMar w:left="300" w:top="388" w:right="1440" w:bottom="1440" w:gutter="0" w:footer="0" w:header="0"/>
        </w:sectPr>
      </w:pPr>
    </w:p>
    <w:bookmarkStart w:id="230" w:name="page231"/>
    <w:bookmarkEnd w:id="230"/>
    <w:p>
      <w:pPr>
        <w:ind w:left="7860"/>
        <w:spacing w:after="0"/>
        <w:rPr>
          <w:sz w:val="20"/>
          <w:szCs w:val="20"/>
          <w:color w:val="auto"/>
        </w:rPr>
      </w:pPr>
      <w:r>
        <w:rPr>
          <w:rFonts w:ascii="Times New Roman" w:cs="Times New Roman" w:eastAsia="Times New Roman" w:hAnsi="Times New Roman"/>
          <w:sz w:val="13"/>
          <w:szCs w:val="13"/>
          <w:b w:val="1"/>
          <w:bCs w:val="1"/>
          <w:color w:val="auto"/>
        </w:rPr>
        <w:t>Exhibit 8.1</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List of Principal Subsidiaries and Consolidated Affiliated Entities</w:t>
      </w:r>
    </w:p>
    <w:p>
      <w:pPr>
        <w:spacing w:after="0" w:line="179" w:lineRule="exact"/>
        <w:rPr>
          <w:sz w:val="20"/>
          <w:szCs w:val="20"/>
          <w:color w:val="auto"/>
        </w:rPr>
      </w:pPr>
    </w:p>
    <w:tbl>
      <w:tblPr>
        <w:tblLayout w:type="fixed"/>
        <w:tblInd w:w="540" w:type="dxa"/>
        <w:tblCellMar>
          <w:top w:w="0" w:type="dxa"/>
          <w:left w:w="0" w:type="dxa"/>
          <w:bottom w:w="0" w:type="dxa"/>
          <w:right w:w="0" w:type="dxa"/>
        </w:tblCellMar>
      </w:tblPr>
      <w:tr>
        <w:trPr>
          <w:trHeight w:val="144"/>
        </w:trPr>
        <w:tc>
          <w:tcPr>
            <w:tcW w:w="410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Principal Subsidiaries</w:t>
            </w:r>
          </w:p>
        </w:tc>
        <w:tc>
          <w:tcPr>
            <w:tcW w:w="1380" w:type="dxa"/>
            <w:vAlign w:val="bottom"/>
          </w:tcPr>
          <w:p>
            <w:pPr>
              <w:spacing w:after="0"/>
              <w:rPr>
                <w:sz w:val="12"/>
                <w:szCs w:val="12"/>
                <w:color w:val="auto"/>
              </w:rPr>
            </w:pPr>
          </w:p>
        </w:tc>
        <w:tc>
          <w:tcPr>
            <w:tcW w:w="2460" w:type="dxa"/>
            <w:vAlign w:val="bottom"/>
          </w:tcPr>
          <w:p>
            <w:pPr>
              <w:ind w:left="720"/>
              <w:spacing w:after="0"/>
              <w:rPr>
                <w:sz w:val="20"/>
                <w:szCs w:val="20"/>
                <w:color w:val="auto"/>
              </w:rPr>
            </w:pPr>
            <w:r>
              <w:rPr>
                <w:rFonts w:ascii="Times New Roman" w:cs="Times New Roman" w:eastAsia="Times New Roman" w:hAnsi="Times New Roman"/>
                <w:sz w:val="10"/>
                <w:szCs w:val="10"/>
                <w:b w:val="1"/>
                <w:bCs w:val="1"/>
                <w:color w:val="auto"/>
              </w:rPr>
              <w:t>Place of Incorporation</w:t>
            </w:r>
          </w:p>
        </w:tc>
      </w:tr>
      <w:tr>
        <w:trPr>
          <w:trHeight w:val="147"/>
        </w:trPr>
        <w:tc>
          <w:tcPr>
            <w:tcW w:w="980" w:type="dxa"/>
            <w:vAlign w:val="bottom"/>
            <w:tcBorders>
              <w:top w:val="single" w:sz="8" w:color="auto"/>
            </w:tcBorders>
          </w:tcPr>
          <w:p>
            <w:pPr>
              <w:spacing w:after="0" w:line="147" w:lineRule="exact"/>
              <w:rPr>
                <w:sz w:val="20"/>
                <w:szCs w:val="20"/>
                <w:color w:val="auto"/>
              </w:rPr>
            </w:pPr>
            <w:r>
              <w:rPr>
                <w:rFonts w:ascii="Times New Roman" w:cs="Times New Roman" w:eastAsia="Times New Roman" w:hAnsi="Times New Roman"/>
                <w:sz w:val="13"/>
                <w:szCs w:val="13"/>
                <w:color w:val="auto"/>
              </w:rPr>
              <w:t>Ehfly Technology</w:t>
            </w:r>
          </w:p>
        </w:tc>
        <w:tc>
          <w:tcPr>
            <w:tcW w:w="312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color w:val="auto"/>
              </w:rPr>
              <w:t>Limited</w:t>
            </w:r>
          </w:p>
        </w:tc>
        <w:tc>
          <w:tcPr>
            <w:tcW w:w="1380" w:type="dxa"/>
            <w:vAlign w:val="bottom"/>
          </w:tcPr>
          <w:p>
            <w:pPr>
              <w:spacing w:after="0"/>
              <w:rPr>
                <w:sz w:val="12"/>
                <w:szCs w:val="12"/>
                <w:color w:val="auto"/>
              </w:rPr>
            </w:pPr>
          </w:p>
        </w:tc>
        <w:tc>
          <w:tcPr>
            <w:tcW w:w="2460" w:type="dxa"/>
            <w:vAlign w:val="bottom"/>
            <w:tcBorders>
              <w:top w:val="single" w:sz="8" w:color="auto"/>
            </w:tcBorders>
          </w:tcPr>
          <w:p>
            <w:pPr>
              <w:spacing w:after="0" w:line="147" w:lineRule="exact"/>
              <w:rPr>
                <w:sz w:val="20"/>
                <w:szCs w:val="20"/>
                <w:color w:val="auto"/>
              </w:rPr>
            </w:pPr>
            <w:r>
              <w:rPr>
                <w:rFonts w:ascii="Times New Roman" w:cs="Times New Roman" w:eastAsia="Times New Roman" w:hAnsi="Times New Roman"/>
                <w:sz w:val="13"/>
                <w:szCs w:val="13"/>
                <w:color w:val="auto"/>
              </w:rPr>
              <w:t>Hong Kong</w:t>
            </w:r>
          </w:p>
        </w:tc>
      </w:tr>
      <w:tr>
        <w:trPr>
          <w:trHeight w:val="221"/>
        </w:trPr>
        <w:tc>
          <w:tcPr>
            <w:tcW w:w="41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EHang Intelligent Equipment (Guangzhou) Co., Ltd.</w:t>
            </w:r>
          </w:p>
        </w:tc>
        <w:tc>
          <w:tcPr>
            <w:tcW w:w="3840" w:type="dxa"/>
            <w:vAlign w:val="bottom"/>
            <w:gridSpan w:val="2"/>
          </w:tcPr>
          <w:p>
            <w:pPr>
              <w:ind w:left="1380"/>
              <w:spacing w:after="0"/>
              <w:rPr>
                <w:sz w:val="20"/>
                <w:szCs w:val="20"/>
                <w:color w:val="auto"/>
              </w:rPr>
            </w:pPr>
            <w:r>
              <w:rPr>
                <w:rFonts w:ascii="Times New Roman" w:cs="Times New Roman" w:eastAsia="Times New Roman" w:hAnsi="Times New Roman"/>
                <w:sz w:val="13"/>
                <w:szCs w:val="13"/>
                <w:color w:val="auto"/>
              </w:rPr>
              <w:t>PRC</w:t>
            </w:r>
          </w:p>
        </w:tc>
      </w:tr>
      <w:tr>
        <w:trPr>
          <w:trHeight w:val="233"/>
        </w:trPr>
        <w:tc>
          <w:tcPr>
            <w:tcW w:w="41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Yunfu EHang Intelligent Technology Limited</w:t>
            </w:r>
          </w:p>
        </w:tc>
        <w:tc>
          <w:tcPr>
            <w:tcW w:w="3840" w:type="dxa"/>
            <w:vAlign w:val="bottom"/>
            <w:gridSpan w:val="2"/>
          </w:tcPr>
          <w:p>
            <w:pPr>
              <w:ind w:left="1380"/>
              <w:spacing w:after="0"/>
              <w:rPr>
                <w:sz w:val="20"/>
                <w:szCs w:val="20"/>
                <w:color w:val="auto"/>
              </w:rPr>
            </w:pPr>
            <w:r>
              <w:rPr>
                <w:rFonts w:ascii="Times New Roman" w:cs="Times New Roman" w:eastAsia="Times New Roman" w:hAnsi="Times New Roman"/>
                <w:sz w:val="13"/>
                <w:szCs w:val="13"/>
                <w:color w:val="auto"/>
              </w:rPr>
              <w:t>PRC</w:t>
            </w:r>
          </w:p>
        </w:tc>
      </w:tr>
      <w:tr>
        <w:trPr>
          <w:trHeight w:val="284"/>
        </w:trPr>
        <w:tc>
          <w:tcPr>
            <w:tcW w:w="1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Consolidated Affiliated Entities</w:t>
            </w:r>
          </w:p>
        </w:tc>
        <w:tc>
          <w:tcPr>
            <w:tcW w:w="2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0"/>
                <w:szCs w:val="10"/>
                <w:b w:val="1"/>
                <w:bCs w:val="1"/>
                <w:color w:val="auto"/>
              </w:rPr>
              <w:t>Place of Incorporation</w:t>
            </w:r>
          </w:p>
        </w:tc>
      </w:tr>
      <w:tr>
        <w:trPr>
          <w:trHeight w:val="147"/>
        </w:trPr>
        <w:tc>
          <w:tcPr>
            <w:tcW w:w="4100" w:type="dxa"/>
            <w:vAlign w:val="bottom"/>
            <w:gridSpan w:val="3"/>
          </w:tcPr>
          <w:p>
            <w:pPr>
              <w:spacing w:after="0" w:line="147" w:lineRule="exact"/>
              <w:rPr>
                <w:sz w:val="20"/>
                <w:szCs w:val="20"/>
                <w:color w:val="auto"/>
              </w:rPr>
            </w:pPr>
            <w:r>
              <w:rPr>
                <w:rFonts w:ascii="Times New Roman" w:cs="Times New Roman" w:eastAsia="Times New Roman" w:hAnsi="Times New Roman"/>
                <w:sz w:val="13"/>
                <w:szCs w:val="13"/>
                <w:color w:val="auto"/>
              </w:rPr>
              <w:t>Guangzhou EHang Intelligent Technology Co., Ltd.</w:t>
            </w:r>
          </w:p>
        </w:tc>
        <w:tc>
          <w:tcPr>
            <w:tcW w:w="1380" w:type="dxa"/>
            <w:vAlign w:val="bottom"/>
          </w:tcPr>
          <w:p>
            <w:pPr>
              <w:spacing w:after="0"/>
              <w:rPr>
                <w:sz w:val="12"/>
                <w:szCs w:val="12"/>
                <w:color w:val="auto"/>
              </w:rPr>
            </w:pPr>
          </w:p>
        </w:tc>
        <w:tc>
          <w:tcPr>
            <w:tcW w:w="24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PRC</w:t>
            </w:r>
          </w:p>
        </w:tc>
      </w:tr>
      <w:tr>
        <w:trPr>
          <w:trHeight w:val="298"/>
        </w:trPr>
        <w:tc>
          <w:tcPr>
            <w:tcW w:w="41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Guangdong EHang General Aviation Co., Ltd.</w:t>
            </w:r>
          </w:p>
        </w:tc>
        <w:tc>
          <w:tcPr>
            <w:tcW w:w="3840" w:type="dxa"/>
            <w:vAlign w:val="bottom"/>
            <w:gridSpan w:val="2"/>
          </w:tcPr>
          <w:p>
            <w:pPr>
              <w:ind w:left="1380"/>
              <w:spacing w:after="0"/>
              <w:rPr>
                <w:sz w:val="20"/>
                <w:szCs w:val="20"/>
                <w:color w:val="auto"/>
              </w:rPr>
            </w:pPr>
            <w:r>
              <w:rPr>
                <w:rFonts w:ascii="Times New Roman" w:cs="Times New Roman" w:eastAsia="Times New Roman" w:hAnsi="Times New Roman"/>
                <w:sz w:val="13"/>
                <w:szCs w:val="13"/>
                <w:color w:val="auto"/>
              </w:rPr>
              <w:t>PRC</w:t>
            </w:r>
          </w:p>
        </w:tc>
      </w:tr>
    </w:tbl>
    <w:p>
      <w:pPr>
        <w:sectPr>
          <w:pgSz w:w="11900" w:h="16838" w:orient="portrait"/>
          <w:cols w:equalWidth="0" w:num="1">
            <w:col w:w="9019"/>
          </w:cols>
          <w:pgMar w:left="1440" w:top="125" w:right="1440" w:bottom="1440" w:gutter="0" w:footer="0" w:header="0"/>
        </w:sectPr>
      </w:pPr>
    </w:p>
    <w:bookmarkStart w:id="231" w:name="page232"/>
    <w:bookmarkEnd w:id="231"/>
    <w:p>
      <w:pPr>
        <w:jc w:val="right"/>
        <w:ind w:right="539"/>
        <w:spacing w:after="0"/>
        <w:rPr>
          <w:sz w:val="20"/>
          <w:szCs w:val="20"/>
          <w:color w:val="auto"/>
        </w:rPr>
      </w:pPr>
      <w:r>
        <w:rPr>
          <w:rFonts w:ascii="Times New Roman" w:cs="Times New Roman" w:eastAsia="Times New Roman" w:hAnsi="Times New Roman"/>
          <w:sz w:val="13"/>
          <w:szCs w:val="13"/>
          <w:b w:val="1"/>
          <w:bCs w:val="1"/>
          <w:color w:val="auto"/>
        </w:rPr>
        <w:t>Exhibit 12.1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OF CHIEF EXECUTIVE OFFICER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EXCHANGE ACT RULES 13a-14(a) AND 15d-14(a),</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302 OF THE SARBANES-OXLEY ACT OF 2002</w:t>
      </w:r>
    </w:p>
    <w:p>
      <w:pPr>
        <w:spacing w:after="0" w:line="1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I, Huazhi Hu, certify that:</w:t>
      </w:r>
    </w:p>
    <w:p>
      <w:pPr>
        <w:spacing w:after="0" w:line="94" w:lineRule="exact"/>
        <w:rPr>
          <w:sz w:val="20"/>
          <w:szCs w:val="20"/>
          <w:color w:val="auto"/>
        </w:rPr>
      </w:pPr>
    </w:p>
    <w:p>
      <w:pPr>
        <w:ind w:left="1240" w:hanging="393"/>
        <w:spacing w:after="0"/>
        <w:tabs>
          <w:tab w:leader="none" w:pos="1240" w:val="left"/>
        </w:tabs>
        <w:numPr>
          <w:ilvl w:val="0"/>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annual report on Form 20-F of EHang Holdings Limited;</w:t>
      </w:r>
    </w:p>
    <w:p>
      <w:pPr>
        <w:spacing w:after="0" w:line="83" w:lineRule="exact"/>
        <w:rPr>
          <w:rFonts w:ascii="Times New Roman" w:cs="Times New Roman" w:eastAsia="Times New Roman" w:hAnsi="Times New Roman"/>
          <w:sz w:val="13"/>
          <w:szCs w:val="13"/>
          <w:color w:val="auto"/>
        </w:rPr>
      </w:pPr>
    </w:p>
    <w:p>
      <w:pPr>
        <w:ind w:left="540" w:right="679" w:firstLine="313"/>
        <w:spacing w:after="0" w:line="264" w:lineRule="auto"/>
        <w:tabs>
          <w:tab w:leader="none" w:pos="987" w:val="left"/>
        </w:tabs>
        <w:numPr>
          <w:ilvl w:val="0"/>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1" w:lineRule="exact"/>
        <w:rPr>
          <w:rFonts w:ascii="Times New Roman" w:cs="Times New Roman" w:eastAsia="Times New Roman" w:hAnsi="Times New Roman"/>
          <w:sz w:val="13"/>
          <w:szCs w:val="13"/>
          <w:color w:val="auto"/>
        </w:rPr>
      </w:pPr>
    </w:p>
    <w:p>
      <w:pPr>
        <w:ind w:left="540" w:right="659" w:firstLine="313"/>
        <w:spacing w:after="0" w:line="278" w:lineRule="auto"/>
        <w:tabs>
          <w:tab w:leader="none" w:pos="987" w:val="left"/>
        </w:tabs>
        <w:numPr>
          <w:ilvl w:val="0"/>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2" w:lineRule="exact"/>
        <w:rPr>
          <w:rFonts w:ascii="Times New Roman" w:cs="Times New Roman" w:eastAsia="Times New Roman" w:hAnsi="Times New Roman"/>
          <w:sz w:val="13"/>
          <w:szCs w:val="13"/>
          <w:color w:val="auto"/>
        </w:rPr>
      </w:pPr>
    </w:p>
    <w:p>
      <w:pPr>
        <w:ind w:left="540" w:right="639" w:firstLine="313"/>
        <w:spacing w:after="0" w:line="281" w:lineRule="auto"/>
        <w:tabs>
          <w:tab w:leader="none" w:pos="987" w:val="left"/>
        </w:tabs>
        <w:numPr>
          <w:ilvl w:val="0"/>
          <w:numId w:val="1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5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15d-15(f)) for the company and have:</w:t>
      </w:r>
    </w:p>
    <w:p>
      <w:pPr>
        <w:spacing w:after="0" w:line="72" w:lineRule="exact"/>
        <w:rPr>
          <w:rFonts w:ascii="Times New Roman" w:cs="Times New Roman" w:eastAsia="Times New Roman" w:hAnsi="Times New Roman"/>
          <w:sz w:val="12"/>
          <w:szCs w:val="12"/>
          <w:color w:val="auto"/>
        </w:rPr>
      </w:pPr>
    </w:p>
    <w:p>
      <w:pPr>
        <w:ind w:left="540" w:right="719" w:firstLine="710"/>
        <w:spacing w:after="0" w:line="264" w:lineRule="auto"/>
        <w:tabs>
          <w:tab w:leader="none" w:pos="1431" w:val="left"/>
        </w:tabs>
        <w:numPr>
          <w:ilvl w:val="1"/>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3"/>
          <w:szCs w:val="13"/>
          <w:color w:val="auto"/>
        </w:rPr>
      </w:pPr>
    </w:p>
    <w:p>
      <w:pPr>
        <w:jc w:val="both"/>
        <w:ind w:left="540" w:right="699" w:firstLine="710"/>
        <w:spacing w:after="0" w:line="264" w:lineRule="auto"/>
        <w:tabs>
          <w:tab w:leader="none" w:pos="1438" w:val="left"/>
        </w:tabs>
        <w:numPr>
          <w:ilvl w:val="1"/>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3"/>
          <w:szCs w:val="13"/>
          <w:color w:val="auto"/>
        </w:rPr>
      </w:pPr>
    </w:p>
    <w:p>
      <w:pPr>
        <w:ind w:left="540" w:right="619" w:firstLine="710"/>
        <w:spacing w:after="0" w:line="278" w:lineRule="auto"/>
        <w:tabs>
          <w:tab w:leader="none" w:pos="1431" w:val="left"/>
        </w:tabs>
        <w:numPr>
          <w:ilvl w:val="1"/>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Times New Roman" w:cs="Times New Roman" w:eastAsia="Times New Roman" w:hAnsi="Times New Roman"/>
          <w:sz w:val="13"/>
          <w:szCs w:val="13"/>
          <w:color w:val="auto"/>
        </w:rPr>
      </w:pPr>
    </w:p>
    <w:p>
      <w:pPr>
        <w:ind w:left="540" w:right="619" w:firstLine="710"/>
        <w:spacing w:after="0" w:line="322" w:lineRule="auto"/>
        <w:tabs>
          <w:tab w:leader="none" w:pos="1438" w:val="left"/>
        </w:tabs>
        <w:numPr>
          <w:ilvl w:val="1"/>
          <w:numId w:val="1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 w:lineRule="exact"/>
        <w:rPr>
          <w:rFonts w:ascii="Times New Roman" w:cs="Times New Roman" w:eastAsia="Times New Roman" w:hAnsi="Times New Roman"/>
          <w:sz w:val="12"/>
          <w:szCs w:val="12"/>
          <w:color w:val="auto"/>
        </w:rPr>
      </w:pPr>
    </w:p>
    <w:p>
      <w:pPr>
        <w:ind w:left="540" w:right="619" w:firstLine="313"/>
        <w:spacing w:after="0" w:line="278" w:lineRule="auto"/>
        <w:tabs>
          <w:tab w:leader="none" w:pos="987" w:val="left"/>
        </w:tabs>
        <w:numPr>
          <w:ilvl w:val="0"/>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42" w:lineRule="exact"/>
        <w:rPr>
          <w:rFonts w:ascii="Times New Roman" w:cs="Times New Roman" w:eastAsia="Times New Roman" w:hAnsi="Times New Roman"/>
          <w:sz w:val="13"/>
          <w:szCs w:val="13"/>
          <w:color w:val="auto"/>
        </w:rPr>
      </w:pPr>
    </w:p>
    <w:p>
      <w:pPr>
        <w:ind w:left="540" w:right="759" w:firstLine="710"/>
        <w:spacing w:after="0" w:line="278" w:lineRule="auto"/>
        <w:tabs>
          <w:tab w:leader="none" w:pos="1431" w:val="left"/>
        </w:tabs>
        <w:numPr>
          <w:ilvl w:val="1"/>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2" w:lineRule="exact"/>
        <w:rPr>
          <w:rFonts w:ascii="Times New Roman" w:cs="Times New Roman" w:eastAsia="Times New Roman" w:hAnsi="Times New Roman"/>
          <w:sz w:val="13"/>
          <w:szCs w:val="13"/>
          <w:color w:val="auto"/>
        </w:rPr>
      </w:pPr>
    </w:p>
    <w:p>
      <w:pPr>
        <w:ind w:left="540" w:right="559" w:firstLine="710"/>
        <w:spacing w:after="0" w:line="278" w:lineRule="auto"/>
        <w:tabs>
          <w:tab w:leader="none" w:pos="1431" w:val="left"/>
        </w:tabs>
        <w:numPr>
          <w:ilvl w:val="1"/>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company’s internal control over financial reporting.</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Date: April 28, 2022</w:t>
      </w:r>
    </w:p>
    <w:p>
      <w:pPr>
        <w:spacing w:after="0" w:line="181" w:lineRule="exact"/>
        <w:rPr>
          <w:sz w:val="20"/>
          <w:szCs w:val="20"/>
          <w:color w:val="auto"/>
        </w:rPr>
      </w:pPr>
    </w:p>
    <w:tbl>
      <w:tblPr>
        <w:tblLayout w:type="fixed"/>
        <w:tblInd w:w="540" w:type="dxa"/>
        <w:tblCellMar>
          <w:top w:w="0" w:type="dxa"/>
          <w:left w:w="0" w:type="dxa"/>
          <w:bottom w:w="0" w:type="dxa"/>
          <w:right w:w="0" w:type="dxa"/>
        </w:tblCellMar>
      </w:tblPr>
      <w:tr>
        <w:trPr>
          <w:trHeight w:val="168"/>
        </w:trPr>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Huazhi Hu</w:t>
            </w:r>
          </w:p>
        </w:tc>
      </w:tr>
      <w:tr>
        <w:trPr>
          <w:trHeight w:val="143"/>
        </w:trPr>
        <w:tc>
          <w:tcPr>
            <w:tcW w:w="44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Name:</w:t>
            </w:r>
          </w:p>
        </w:tc>
        <w:tc>
          <w:tcPr>
            <w:tcW w:w="274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Huazhi Hu</w:t>
            </w:r>
          </w:p>
        </w:tc>
      </w:tr>
      <w:tr>
        <w:trPr>
          <w:trHeight w:val="168"/>
        </w:trPr>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Chief Executive Officer</w:t>
            </w:r>
          </w:p>
        </w:tc>
      </w:tr>
    </w:tbl>
    <w:p>
      <w:pPr>
        <w:sectPr>
          <w:pgSz w:w="11900" w:h="16838" w:orient="portrait"/>
          <w:cols w:equalWidth="0" w:num="1">
            <w:col w:w="9019"/>
          </w:cols>
          <w:pgMar w:left="1440" w:top="125" w:right="1440" w:bottom="1440" w:gutter="0" w:footer="0" w:header="0"/>
        </w:sectPr>
      </w:pPr>
    </w:p>
    <w:bookmarkStart w:id="232" w:name="page233"/>
    <w:bookmarkEnd w:id="232"/>
    <w:p>
      <w:pPr>
        <w:jc w:val="right"/>
        <w:ind w:right="539"/>
        <w:spacing w:after="0"/>
        <w:rPr>
          <w:sz w:val="20"/>
          <w:szCs w:val="20"/>
          <w:color w:val="auto"/>
        </w:rPr>
      </w:pPr>
      <w:r>
        <w:rPr>
          <w:rFonts w:ascii="Times New Roman" w:cs="Times New Roman" w:eastAsia="Times New Roman" w:hAnsi="Times New Roman"/>
          <w:sz w:val="13"/>
          <w:szCs w:val="13"/>
          <w:b w:val="1"/>
          <w:bCs w:val="1"/>
          <w:color w:val="auto"/>
        </w:rPr>
        <w:t>Exhibit 12.2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OF CHIEF FINANCIAL OFFICER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EXCHANGE ACT RULES 13a-14(a) AND 15d-14(a),</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302 OF THE SARBANES-OXLEY ACT OF 2002</w:t>
      </w:r>
    </w:p>
    <w:p>
      <w:pPr>
        <w:spacing w:after="0" w:line="1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I, Richard Jian Liu, certify that:</w:t>
      </w:r>
    </w:p>
    <w:p>
      <w:pPr>
        <w:spacing w:after="0" w:line="84" w:lineRule="exact"/>
        <w:rPr>
          <w:sz w:val="20"/>
          <w:szCs w:val="20"/>
          <w:color w:val="auto"/>
        </w:rPr>
      </w:pPr>
    </w:p>
    <w:p>
      <w:pPr>
        <w:ind w:left="980" w:hanging="127"/>
        <w:spacing w:after="0"/>
        <w:tabs>
          <w:tab w:leader="none" w:pos="980" w:val="left"/>
        </w:tabs>
        <w:numPr>
          <w:ilvl w:val="0"/>
          <w:numId w:val="1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annual report on Form 20-F of EHang Holdings Limited;</w:t>
      </w:r>
    </w:p>
    <w:p>
      <w:pPr>
        <w:spacing w:after="0" w:line="83" w:lineRule="exact"/>
        <w:rPr>
          <w:rFonts w:ascii="Times New Roman" w:cs="Times New Roman" w:eastAsia="Times New Roman" w:hAnsi="Times New Roman"/>
          <w:sz w:val="13"/>
          <w:szCs w:val="13"/>
          <w:color w:val="auto"/>
        </w:rPr>
      </w:pPr>
    </w:p>
    <w:p>
      <w:pPr>
        <w:ind w:left="540" w:right="679" w:firstLine="313"/>
        <w:spacing w:after="0" w:line="264" w:lineRule="auto"/>
        <w:tabs>
          <w:tab w:leader="none" w:pos="987" w:val="left"/>
        </w:tabs>
        <w:numPr>
          <w:ilvl w:val="0"/>
          <w:numId w:val="1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1" w:lineRule="exact"/>
        <w:rPr>
          <w:rFonts w:ascii="Times New Roman" w:cs="Times New Roman" w:eastAsia="Times New Roman" w:hAnsi="Times New Roman"/>
          <w:sz w:val="13"/>
          <w:szCs w:val="13"/>
          <w:color w:val="auto"/>
        </w:rPr>
      </w:pPr>
    </w:p>
    <w:p>
      <w:pPr>
        <w:ind w:left="540" w:right="659" w:firstLine="313"/>
        <w:spacing w:after="0" w:line="278" w:lineRule="auto"/>
        <w:tabs>
          <w:tab w:leader="none" w:pos="987" w:val="left"/>
        </w:tabs>
        <w:numPr>
          <w:ilvl w:val="0"/>
          <w:numId w:val="1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2" w:lineRule="exact"/>
        <w:rPr>
          <w:rFonts w:ascii="Times New Roman" w:cs="Times New Roman" w:eastAsia="Times New Roman" w:hAnsi="Times New Roman"/>
          <w:sz w:val="13"/>
          <w:szCs w:val="13"/>
          <w:color w:val="auto"/>
        </w:rPr>
      </w:pPr>
    </w:p>
    <w:p>
      <w:pPr>
        <w:ind w:left="540" w:right="639" w:firstLine="313"/>
        <w:spacing w:after="0" w:line="281" w:lineRule="auto"/>
        <w:tabs>
          <w:tab w:leader="none" w:pos="987" w:val="left"/>
        </w:tabs>
        <w:numPr>
          <w:ilvl w:val="0"/>
          <w:numId w:val="1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5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15d-15(f)) for the company and have:</w:t>
      </w:r>
    </w:p>
    <w:p>
      <w:pPr>
        <w:spacing w:after="0" w:line="72" w:lineRule="exact"/>
        <w:rPr>
          <w:rFonts w:ascii="Times New Roman" w:cs="Times New Roman" w:eastAsia="Times New Roman" w:hAnsi="Times New Roman"/>
          <w:sz w:val="12"/>
          <w:szCs w:val="12"/>
          <w:color w:val="auto"/>
        </w:rPr>
      </w:pPr>
    </w:p>
    <w:p>
      <w:pPr>
        <w:ind w:left="540" w:right="719" w:firstLine="710"/>
        <w:spacing w:after="0" w:line="264" w:lineRule="auto"/>
        <w:tabs>
          <w:tab w:leader="none" w:pos="1431" w:val="left"/>
        </w:tabs>
        <w:numPr>
          <w:ilvl w:val="1"/>
          <w:numId w:val="1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3"/>
          <w:szCs w:val="13"/>
          <w:color w:val="auto"/>
        </w:rPr>
      </w:pPr>
    </w:p>
    <w:p>
      <w:pPr>
        <w:jc w:val="both"/>
        <w:ind w:left="540" w:right="699" w:firstLine="710"/>
        <w:spacing w:after="0" w:line="264" w:lineRule="auto"/>
        <w:tabs>
          <w:tab w:leader="none" w:pos="1438" w:val="left"/>
        </w:tabs>
        <w:numPr>
          <w:ilvl w:val="1"/>
          <w:numId w:val="1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3"/>
          <w:szCs w:val="13"/>
          <w:color w:val="auto"/>
        </w:rPr>
      </w:pPr>
    </w:p>
    <w:p>
      <w:pPr>
        <w:ind w:left="540" w:right="619" w:firstLine="710"/>
        <w:spacing w:after="0" w:line="278" w:lineRule="auto"/>
        <w:tabs>
          <w:tab w:leader="none" w:pos="1431" w:val="left"/>
        </w:tabs>
        <w:numPr>
          <w:ilvl w:val="1"/>
          <w:numId w:val="1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Times New Roman" w:cs="Times New Roman" w:eastAsia="Times New Roman" w:hAnsi="Times New Roman"/>
          <w:sz w:val="13"/>
          <w:szCs w:val="13"/>
          <w:color w:val="auto"/>
        </w:rPr>
      </w:pPr>
    </w:p>
    <w:p>
      <w:pPr>
        <w:ind w:left="540" w:right="619" w:firstLine="710"/>
        <w:spacing w:after="0" w:line="322" w:lineRule="auto"/>
        <w:tabs>
          <w:tab w:leader="none" w:pos="1438" w:val="left"/>
        </w:tabs>
        <w:numPr>
          <w:ilvl w:val="1"/>
          <w:numId w:val="1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 w:lineRule="exact"/>
        <w:rPr>
          <w:rFonts w:ascii="Times New Roman" w:cs="Times New Roman" w:eastAsia="Times New Roman" w:hAnsi="Times New Roman"/>
          <w:sz w:val="12"/>
          <w:szCs w:val="12"/>
          <w:color w:val="auto"/>
        </w:rPr>
      </w:pPr>
    </w:p>
    <w:p>
      <w:pPr>
        <w:ind w:left="540" w:right="619" w:firstLine="313"/>
        <w:spacing w:after="0" w:line="278" w:lineRule="auto"/>
        <w:tabs>
          <w:tab w:leader="none" w:pos="987" w:val="left"/>
        </w:tabs>
        <w:numPr>
          <w:ilvl w:val="0"/>
          <w:numId w:val="1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42" w:lineRule="exact"/>
        <w:rPr>
          <w:rFonts w:ascii="Times New Roman" w:cs="Times New Roman" w:eastAsia="Times New Roman" w:hAnsi="Times New Roman"/>
          <w:sz w:val="13"/>
          <w:szCs w:val="13"/>
          <w:color w:val="auto"/>
        </w:rPr>
      </w:pPr>
    </w:p>
    <w:p>
      <w:pPr>
        <w:ind w:left="540" w:right="759" w:firstLine="710"/>
        <w:spacing w:after="0" w:line="278" w:lineRule="auto"/>
        <w:tabs>
          <w:tab w:leader="none" w:pos="1431" w:val="left"/>
        </w:tabs>
        <w:numPr>
          <w:ilvl w:val="1"/>
          <w:numId w:val="1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2" w:lineRule="exact"/>
        <w:rPr>
          <w:rFonts w:ascii="Times New Roman" w:cs="Times New Roman" w:eastAsia="Times New Roman" w:hAnsi="Times New Roman"/>
          <w:sz w:val="13"/>
          <w:szCs w:val="13"/>
          <w:color w:val="auto"/>
        </w:rPr>
      </w:pPr>
    </w:p>
    <w:p>
      <w:pPr>
        <w:ind w:left="540" w:right="559" w:firstLine="710"/>
        <w:spacing w:after="0" w:line="278" w:lineRule="auto"/>
        <w:tabs>
          <w:tab w:leader="none" w:pos="1431" w:val="left"/>
        </w:tabs>
        <w:numPr>
          <w:ilvl w:val="1"/>
          <w:numId w:val="1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company’s internal control over financial reporting.</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Date: April 28, 2022</w:t>
      </w:r>
    </w:p>
    <w:p>
      <w:pPr>
        <w:spacing w:after="0" w:line="181" w:lineRule="exact"/>
        <w:rPr>
          <w:sz w:val="20"/>
          <w:szCs w:val="20"/>
          <w:color w:val="auto"/>
        </w:rPr>
      </w:pPr>
    </w:p>
    <w:tbl>
      <w:tblPr>
        <w:tblLayout w:type="fixed"/>
        <w:tblInd w:w="540" w:type="dxa"/>
        <w:tblCellMar>
          <w:top w:w="0" w:type="dxa"/>
          <w:left w:w="0" w:type="dxa"/>
          <w:bottom w:w="0" w:type="dxa"/>
          <w:right w:w="0" w:type="dxa"/>
        </w:tblCellMar>
      </w:tblPr>
      <w:tr>
        <w:trPr>
          <w:trHeight w:val="168"/>
        </w:trPr>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Richard Jian Liu</w:t>
            </w:r>
          </w:p>
        </w:tc>
      </w:tr>
      <w:tr>
        <w:trPr>
          <w:trHeight w:val="143"/>
        </w:trPr>
        <w:tc>
          <w:tcPr>
            <w:tcW w:w="44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Name:</w:t>
            </w:r>
          </w:p>
        </w:tc>
        <w:tc>
          <w:tcPr>
            <w:tcW w:w="274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Richard Jian Liu</w:t>
            </w:r>
          </w:p>
        </w:tc>
      </w:tr>
      <w:tr>
        <w:trPr>
          <w:trHeight w:val="168"/>
        </w:trPr>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Chief Financial Officer</w:t>
            </w:r>
          </w:p>
        </w:tc>
      </w:tr>
    </w:tbl>
    <w:p>
      <w:pPr>
        <w:sectPr>
          <w:pgSz w:w="11900" w:h="16838" w:orient="portrait"/>
          <w:cols w:equalWidth="0" w:num="1">
            <w:col w:w="9019"/>
          </w:cols>
          <w:pgMar w:left="1440" w:top="125" w:right="1440" w:bottom="1440" w:gutter="0" w:footer="0" w:header="0"/>
        </w:sectPr>
      </w:pPr>
    </w:p>
    <w:bookmarkStart w:id="233" w:name="page234"/>
    <w:bookmarkEnd w:id="233"/>
    <w:p>
      <w:pPr>
        <w:jc w:val="right"/>
        <w:ind w:right="539"/>
        <w:spacing w:after="0"/>
        <w:rPr>
          <w:sz w:val="20"/>
          <w:szCs w:val="20"/>
          <w:color w:val="auto"/>
        </w:rPr>
      </w:pPr>
      <w:r>
        <w:rPr>
          <w:rFonts w:ascii="Times New Roman" w:cs="Times New Roman" w:eastAsia="Times New Roman" w:hAnsi="Times New Roman"/>
          <w:sz w:val="13"/>
          <w:szCs w:val="13"/>
          <w:b w:val="1"/>
          <w:bCs w:val="1"/>
          <w:color w:val="auto"/>
        </w:rPr>
        <w:t>Exhibit 13.1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w:t>
      </w:r>
    </w:p>
    <w:p>
      <w:pPr>
        <w:spacing w:after="0" w:line="150" w:lineRule="exact"/>
        <w:rPr>
          <w:sz w:val="20"/>
          <w:szCs w:val="20"/>
          <w:color w:val="auto"/>
        </w:rPr>
      </w:pPr>
    </w:p>
    <w:p>
      <w:pPr>
        <w:ind w:left="540" w:right="599" w:firstLine="317"/>
        <w:spacing w:after="0" w:line="264" w:lineRule="auto"/>
        <w:rPr>
          <w:sz w:val="20"/>
          <w:szCs w:val="20"/>
          <w:color w:val="auto"/>
        </w:rPr>
      </w:pPr>
      <w:r>
        <w:rPr>
          <w:rFonts w:ascii="Times New Roman" w:cs="Times New Roman" w:eastAsia="Times New Roman" w:hAnsi="Times New Roman"/>
          <w:sz w:val="13"/>
          <w:szCs w:val="13"/>
          <w:color w:val="auto"/>
        </w:rPr>
        <w:t>In connection with the Annual Report of EHang Holdings Limited (the “Company”) on Form 20-F for the year ended December 31, 2021 as filed with the Securities and Exchange Commission on the date hereof (the “Report”), I, Huazhi Hu, Chief Executive Officer of the Company, certify, pursuant to 18 U.S.C. Section 1350, as adopted pursuant to Section 906 of the Sarbanes-Oxley Act of 2002, that to my knowledge:</w:t>
      </w:r>
    </w:p>
    <w:p>
      <w:pPr>
        <w:spacing w:after="0" w:line="51" w:lineRule="exact"/>
        <w:rPr>
          <w:sz w:val="20"/>
          <w:szCs w:val="20"/>
          <w:color w:val="auto"/>
        </w:rPr>
      </w:pPr>
    </w:p>
    <w:p>
      <w:pPr>
        <w:ind w:left="1040" w:hanging="187"/>
        <w:spacing w:after="0"/>
        <w:tabs>
          <w:tab w:leader="none" w:pos="1040"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15(d) of the Securities Exchange Act of 1934; and</w:t>
      </w:r>
    </w:p>
    <w:p>
      <w:pPr>
        <w:spacing w:after="0" w:line="83" w:lineRule="exact"/>
        <w:rPr>
          <w:rFonts w:ascii="Times New Roman" w:cs="Times New Roman" w:eastAsia="Times New Roman" w:hAnsi="Times New Roman"/>
          <w:sz w:val="13"/>
          <w:szCs w:val="13"/>
          <w:color w:val="auto"/>
        </w:rPr>
      </w:pPr>
    </w:p>
    <w:p>
      <w:pPr>
        <w:ind w:left="540" w:right="1019" w:firstLine="313"/>
        <w:spacing w:after="0" w:line="278" w:lineRule="auto"/>
        <w:tabs>
          <w:tab w:leader="none" w:pos="1041"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Company.</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Date: April 28, 2022</w:t>
      </w:r>
    </w:p>
    <w:p>
      <w:pPr>
        <w:spacing w:after="0" w:line="181" w:lineRule="exact"/>
        <w:rPr>
          <w:sz w:val="20"/>
          <w:szCs w:val="20"/>
          <w:color w:val="auto"/>
        </w:rPr>
      </w:pPr>
    </w:p>
    <w:tbl>
      <w:tblPr>
        <w:tblLayout w:type="fixed"/>
        <w:tblInd w:w="540" w:type="dxa"/>
        <w:tblCellMar>
          <w:top w:w="0" w:type="dxa"/>
          <w:left w:w="0" w:type="dxa"/>
          <w:bottom w:w="0" w:type="dxa"/>
          <w:right w:w="0" w:type="dxa"/>
        </w:tblCellMar>
      </w:tblPr>
      <w:tr>
        <w:trPr>
          <w:trHeight w:val="168"/>
        </w:trPr>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Huazhi Hu</w:t>
            </w:r>
          </w:p>
        </w:tc>
      </w:tr>
      <w:tr>
        <w:trPr>
          <w:trHeight w:val="143"/>
        </w:trPr>
        <w:tc>
          <w:tcPr>
            <w:tcW w:w="44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Name:</w:t>
            </w:r>
          </w:p>
        </w:tc>
        <w:tc>
          <w:tcPr>
            <w:tcW w:w="274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Huazhi Hu</w:t>
            </w:r>
          </w:p>
        </w:tc>
      </w:tr>
      <w:tr>
        <w:trPr>
          <w:trHeight w:val="168"/>
        </w:trPr>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Chief Executive Officer</w:t>
            </w:r>
          </w:p>
        </w:tc>
      </w:tr>
    </w:tbl>
    <w:p>
      <w:pPr>
        <w:sectPr>
          <w:pgSz w:w="11900" w:h="16838" w:orient="portrait"/>
          <w:cols w:equalWidth="0" w:num="1">
            <w:col w:w="9019"/>
          </w:cols>
          <w:pgMar w:left="1440" w:top="125" w:right="1440" w:bottom="1440" w:gutter="0" w:footer="0" w:header="0"/>
        </w:sectPr>
      </w:pPr>
    </w:p>
    <w:bookmarkStart w:id="234" w:name="page235"/>
    <w:bookmarkEnd w:id="234"/>
    <w:p>
      <w:pPr>
        <w:jc w:val="right"/>
        <w:ind w:right="539"/>
        <w:spacing w:after="0"/>
        <w:rPr>
          <w:sz w:val="20"/>
          <w:szCs w:val="20"/>
          <w:color w:val="auto"/>
        </w:rPr>
      </w:pPr>
      <w:r>
        <w:rPr>
          <w:rFonts w:ascii="Times New Roman" w:cs="Times New Roman" w:eastAsia="Times New Roman" w:hAnsi="Times New Roman"/>
          <w:sz w:val="13"/>
          <w:szCs w:val="13"/>
          <w:b w:val="1"/>
          <w:bCs w:val="1"/>
          <w:color w:val="auto"/>
        </w:rPr>
        <w:t>Exhibit 13.2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w:t>
      </w:r>
    </w:p>
    <w:p>
      <w:pPr>
        <w:spacing w:after="0" w:line="150" w:lineRule="exact"/>
        <w:rPr>
          <w:sz w:val="20"/>
          <w:szCs w:val="20"/>
          <w:color w:val="auto"/>
        </w:rPr>
      </w:pPr>
    </w:p>
    <w:p>
      <w:pPr>
        <w:ind w:left="540" w:right="599" w:firstLine="317"/>
        <w:spacing w:after="0" w:line="264" w:lineRule="auto"/>
        <w:rPr>
          <w:sz w:val="20"/>
          <w:szCs w:val="20"/>
          <w:color w:val="auto"/>
        </w:rPr>
      </w:pPr>
      <w:r>
        <w:rPr>
          <w:rFonts w:ascii="Times New Roman" w:cs="Times New Roman" w:eastAsia="Times New Roman" w:hAnsi="Times New Roman"/>
          <w:sz w:val="13"/>
          <w:szCs w:val="13"/>
          <w:color w:val="auto"/>
        </w:rPr>
        <w:t>In connection with the Annual Report of EHang Holdings Limited (the “Company”) on Form 20-F for the year ended December 31, 2021 as filed with the Securities and Exchange Commission on the date hereof (the “Report”), I, Richard Jian Liu, Chief Financial Officer of the Company, certify, pursuant to 18 U.S.C. Section 1350, as adopted pursuant to Section 906 of the Sarbanes-Oxley Act of 2002, that to my knowledge:</w:t>
      </w:r>
    </w:p>
    <w:p>
      <w:pPr>
        <w:spacing w:after="0" w:line="61" w:lineRule="exact"/>
        <w:rPr>
          <w:sz w:val="20"/>
          <w:szCs w:val="20"/>
          <w:color w:val="auto"/>
        </w:rPr>
      </w:pPr>
    </w:p>
    <w:p>
      <w:pPr>
        <w:ind w:left="1240" w:hanging="393"/>
        <w:spacing w:after="0"/>
        <w:tabs>
          <w:tab w:leader="none" w:pos="1240" w:val="left"/>
        </w:tabs>
        <w:numPr>
          <w:ilvl w:val="0"/>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15(d) of the Securities Exchange Act of 1934; and</w:t>
      </w:r>
    </w:p>
    <w:p>
      <w:pPr>
        <w:spacing w:after="0" w:line="93" w:lineRule="exact"/>
        <w:rPr>
          <w:rFonts w:ascii="Times New Roman" w:cs="Times New Roman" w:eastAsia="Times New Roman" w:hAnsi="Times New Roman"/>
          <w:sz w:val="13"/>
          <w:szCs w:val="13"/>
          <w:color w:val="auto"/>
        </w:rPr>
      </w:pPr>
    </w:p>
    <w:p>
      <w:pPr>
        <w:ind w:left="1240" w:right="819" w:hanging="393"/>
        <w:spacing w:after="0" w:line="278" w:lineRule="auto"/>
        <w:tabs>
          <w:tab w:leader="none" w:pos="1240" w:val="left"/>
        </w:tabs>
        <w:numPr>
          <w:ilvl w:val="0"/>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Company.</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Date: April 28, 2022</w:t>
      </w:r>
    </w:p>
    <w:p>
      <w:pPr>
        <w:spacing w:after="0" w:line="181" w:lineRule="exact"/>
        <w:rPr>
          <w:sz w:val="20"/>
          <w:szCs w:val="20"/>
          <w:color w:val="auto"/>
        </w:rPr>
      </w:pPr>
    </w:p>
    <w:tbl>
      <w:tblPr>
        <w:tblLayout w:type="fixed"/>
        <w:tblInd w:w="540" w:type="dxa"/>
        <w:tblCellMar>
          <w:top w:w="0" w:type="dxa"/>
          <w:left w:w="0" w:type="dxa"/>
          <w:bottom w:w="0" w:type="dxa"/>
          <w:right w:w="0" w:type="dxa"/>
        </w:tblCellMar>
      </w:tblPr>
      <w:tr>
        <w:trPr>
          <w:trHeight w:val="168"/>
        </w:trPr>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Richard Jian Liu</w:t>
            </w:r>
          </w:p>
        </w:tc>
      </w:tr>
      <w:tr>
        <w:trPr>
          <w:trHeight w:val="143"/>
        </w:trPr>
        <w:tc>
          <w:tcPr>
            <w:tcW w:w="44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Name:</w:t>
            </w:r>
          </w:p>
        </w:tc>
        <w:tc>
          <w:tcPr>
            <w:tcW w:w="274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Richard Jian Liu</w:t>
            </w:r>
          </w:p>
        </w:tc>
      </w:tr>
      <w:tr>
        <w:trPr>
          <w:trHeight w:val="168"/>
        </w:trPr>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Chief Financial Officer</w:t>
            </w:r>
          </w:p>
        </w:tc>
      </w:tr>
    </w:tbl>
    <w:p>
      <w:pPr>
        <w:sectPr>
          <w:pgSz w:w="11900" w:h="16838" w:orient="portrait"/>
          <w:cols w:equalWidth="0" w:num="1">
            <w:col w:w="9019"/>
          </w:cols>
          <w:pgMar w:left="1440" w:top="125" w:right="1440" w:bottom="1440" w:gutter="0" w:footer="0" w:header="0"/>
        </w:sectPr>
      </w:pPr>
    </w:p>
    <w:bookmarkStart w:id="235" w:name="page236"/>
    <w:bookmarkEnd w:id="235"/>
    <w:p>
      <w:pPr>
        <w:jc w:val="right"/>
        <w:ind w:right="539"/>
        <w:spacing w:after="0"/>
        <w:rPr>
          <w:sz w:val="20"/>
          <w:szCs w:val="20"/>
          <w:color w:val="auto"/>
        </w:rPr>
      </w:pPr>
      <w:r>
        <w:rPr>
          <w:rFonts w:ascii="Times New Roman" w:cs="Times New Roman" w:eastAsia="Times New Roman" w:hAnsi="Times New Roman"/>
          <w:sz w:val="13"/>
          <w:szCs w:val="13"/>
          <w:b w:val="1"/>
          <w:bCs w:val="1"/>
          <w:color w:val="auto"/>
        </w:rPr>
        <w:t>Exhibit 15.1</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Consent of Independent Registered Public Accounting Firm</w:t>
      </w:r>
    </w:p>
    <w:p>
      <w:pPr>
        <w:spacing w:after="0" w:line="162" w:lineRule="exact"/>
        <w:rPr>
          <w:sz w:val="20"/>
          <w:szCs w:val="20"/>
          <w:color w:val="auto"/>
        </w:rPr>
      </w:pPr>
    </w:p>
    <w:p>
      <w:pPr>
        <w:ind w:left="540" w:right="559" w:firstLine="317"/>
        <w:spacing w:after="0" w:line="264" w:lineRule="auto"/>
        <w:rPr>
          <w:sz w:val="20"/>
          <w:szCs w:val="20"/>
          <w:color w:val="auto"/>
        </w:rPr>
      </w:pPr>
      <w:r>
        <w:rPr>
          <w:rFonts w:ascii="Times New Roman" w:cs="Times New Roman" w:eastAsia="Times New Roman" w:hAnsi="Times New Roman"/>
          <w:sz w:val="13"/>
          <w:szCs w:val="13"/>
          <w:color w:val="auto"/>
        </w:rPr>
        <w:t>We consent to the incorporation by reference in the Registration Statement (Form S-8 File No. 333-237769) pertaining to the 2015 Share Incentive Plan and 2019 Share Incentive Plan of EHang Holdings Limited of our report dated June 15, 2021 with respect to the consolidated financial statements of EHang Holdings Limited included in this Annual Report (Form 20-F) for the year ended December 31, 2021.</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/s/ Ernst &amp; Young Hua Ming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12065</wp:posOffset>
            </wp:positionV>
            <wp:extent cx="2013585" cy="63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1">
                      <a:extLst>
                        <a:ext uri="{28A0092B-C50C-407E-A947-70E740481C1C}"/>
                      </a:extLst>
                    </a:blip>
                    <a:srcRect/>
                    <a:stretch>
                      <a:fillRect/>
                    </a:stretch>
                  </pic:blipFill>
                  <pic:spPr bwMode="auto">
                    <a:xfrm>
                      <a:off x="0" y="0"/>
                      <a:ext cx="2013585" cy="6350"/>
                    </a:xfrm>
                    <a:prstGeom prst="rect">
                      <a:avLst/>
                    </a:prstGeom>
                    <a:noFill/>
                  </pic:spPr>
                </pic:pic>
              </a:graphicData>
            </a:graphic>
          </wp:anchor>
        </w:drawing>
      </w:r>
    </w:p>
    <w:p>
      <w:pPr>
        <w:spacing w:after="0" w:line="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Shanghai, the People’s Republic of China</w:t>
      </w:r>
    </w:p>
    <w:p>
      <w:pPr>
        <w:spacing w:after="0" w:line="1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April 28, 2022</w:t>
      </w:r>
    </w:p>
    <w:p>
      <w:pPr>
        <w:sectPr>
          <w:pgSz w:w="11900" w:h="16838" w:orient="portrait"/>
          <w:cols w:equalWidth="0" w:num="1">
            <w:col w:w="9019"/>
          </w:cols>
          <w:pgMar w:left="1440" w:top="125" w:right="1440" w:bottom="1440" w:gutter="0" w:footer="0" w:header="0"/>
        </w:sectPr>
      </w:pPr>
    </w:p>
    <w:bookmarkStart w:id="236" w:name="page237"/>
    <w:bookmarkEnd w:id="236"/>
    <w:p>
      <w:pPr>
        <w:jc w:val="right"/>
        <w:ind w:right="539"/>
        <w:spacing w:after="0"/>
        <w:rPr>
          <w:sz w:val="20"/>
          <w:szCs w:val="20"/>
          <w:color w:val="auto"/>
        </w:rPr>
      </w:pPr>
      <w:r>
        <w:rPr>
          <w:rFonts w:ascii="Times New Roman" w:cs="Times New Roman" w:eastAsia="Times New Roman" w:hAnsi="Times New Roman"/>
          <w:sz w:val="13"/>
          <w:szCs w:val="13"/>
          <w:b w:val="1"/>
          <w:bCs w:val="1"/>
          <w:color w:val="auto"/>
        </w:rPr>
        <w:t>Exhibit 15.2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Consent of Independent Registered Public Accounting Firm</w:t>
      </w:r>
    </w:p>
    <w:p>
      <w:pPr>
        <w:spacing w:after="0" w:line="164" w:lineRule="exact"/>
        <w:rPr>
          <w:sz w:val="20"/>
          <w:szCs w:val="20"/>
          <w:color w:val="auto"/>
        </w:rPr>
      </w:pPr>
    </w:p>
    <w:p>
      <w:pPr>
        <w:ind w:left="540" w:right="639" w:firstLine="317"/>
        <w:spacing w:after="0" w:line="278" w:lineRule="auto"/>
        <w:rPr>
          <w:sz w:val="20"/>
          <w:szCs w:val="20"/>
          <w:color w:val="auto"/>
        </w:rPr>
      </w:pPr>
      <w:r>
        <w:rPr>
          <w:rFonts w:ascii="Times New Roman" w:cs="Times New Roman" w:eastAsia="Times New Roman" w:hAnsi="Times New Roman"/>
          <w:sz w:val="13"/>
          <w:szCs w:val="13"/>
          <w:color w:val="auto"/>
        </w:rPr>
        <w:t>We hereby consent to the incorporation by reference in the Registration Statement on Form S-8 (No. 333-237769) of EHang Holdings Limited of our report dated April 28, 2022 relating to the financial statements, which appears in this Form 20-F.</w:t>
      </w:r>
    </w:p>
    <w:p>
      <w:pPr>
        <w:spacing w:after="0" w:line="1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/s/ PricewaterhouseCoopers Zhong Tian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12065</wp:posOffset>
            </wp:positionV>
            <wp:extent cx="2013585" cy="63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2">
                      <a:extLst>
                        <a:ext uri="{28A0092B-C50C-407E-A947-70E740481C1C}"/>
                      </a:extLst>
                    </a:blip>
                    <a:srcRect/>
                    <a:stretch>
                      <a:fillRect/>
                    </a:stretch>
                  </pic:blipFill>
                  <pic:spPr bwMode="auto">
                    <a:xfrm>
                      <a:off x="0" y="0"/>
                      <a:ext cx="2013585" cy="6350"/>
                    </a:xfrm>
                    <a:prstGeom prst="rect">
                      <a:avLst/>
                    </a:prstGeom>
                    <a:noFill/>
                  </pic:spPr>
                </pic:pic>
              </a:graphicData>
            </a:graphic>
          </wp:anchor>
        </w:drawing>
      </w:r>
    </w:p>
    <w:p>
      <w:pPr>
        <w:spacing w:after="0" w:line="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Guangzhou, the People’s Republic of China</w:t>
      </w:r>
    </w:p>
    <w:p>
      <w:pPr>
        <w:spacing w:after="0" w:line="1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April 28, 2022</w:t>
      </w:r>
    </w:p>
    <w:p>
      <w:pPr>
        <w:sectPr>
          <w:pgSz w:w="11900" w:h="16838" w:orient="portrait"/>
          <w:cols w:equalWidth="0" w:num="1">
            <w:col w:w="9019"/>
          </w:cols>
          <w:pgMar w:left="1440" w:top="125" w:right="1440" w:bottom="1440" w:gutter="0" w:footer="0" w:header="0"/>
        </w:sectPr>
      </w:pPr>
    </w:p>
    <w:bookmarkStart w:id="237" w:name="page238"/>
    <w:bookmarkEnd w:id="237"/>
    <w:p>
      <w:pPr>
        <w:jc w:val="right"/>
        <w:ind w:right="539"/>
        <w:spacing w:after="0"/>
        <w:rPr>
          <w:sz w:val="20"/>
          <w:szCs w:val="20"/>
          <w:color w:val="auto"/>
        </w:rPr>
      </w:pPr>
      <w:r>
        <w:rPr>
          <w:rFonts w:ascii="Times New Roman" w:cs="Times New Roman" w:eastAsia="Times New Roman" w:hAnsi="Times New Roman"/>
          <w:sz w:val="13"/>
          <w:szCs w:val="13"/>
          <w:b w:val="1"/>
          <w:bCs w:val="1"/>
          <w:color w:val="auto"/>
        </w:rPr>
        <w:t>Exhibit 15.3</w:t>
      </w:r>
    </w:p>
    <w:p>
      <w:pPr>
        <w:spacing w:after="0" w:line="16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Date: April 28, 2022</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Building C, Yixiang Technology Park</w:t>
      </w:r>
    </w:p>
    <w:p>
      <w:pPr>
        <w:spacing w:after="0" w:line="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No. 72 Nanxiang Second Road, Huangpu District</w:t>
      </w:r>
    </w:p>
    <w:p>
      <w:pPr>
        <w:spacing w:after="0" w:line="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Guangzhou, 510700</w:t>
      </w:r>
    </w:p>
    <w:p>
      <w:pPr>
        <w:spacing w:after="0" w:line="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People’s Republic of China</w:t>
      </w:r>
    </w:p>
    <w:p>
      <w:pPr>
        <w:spacing w:after="0" w:line="1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Dear Sir/Madam:</w:t>
      </w:r>
    </w:p>
    <w:p>
      <w:pPr>
        <w:spacing w:after="0" w:line="8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We hereby consent to the reference to our firm and the summary of our opinion under the headings, “Item 3. Key Information—Our Corporate</w:t>
      </w:r>
    </w:p>
    <w:p>
      <w:pPr>
        <w:spacing w:after="0" w:line="1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Structure and Its Related Risks”, “Item 3. Key Information—D. Risk Factors—Risks Relating to Our Corporate Structure”, “Item 4. Information on the</w:t>
      </w:r>
    </w:p>
    <w:p>
      <w:pPr>
        <w:spacing w:after="0" w:line="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Company—C. Organizational Structure”, “Item 4. Information on the Company—B. Business Overview—PRC Regulation” and “Item 10. Additional</w:t>
      </w:r>
    </w:p>
    <w:p>
      <w:pPr>
        <w:spacing w:after="0" w:line="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Information—E. Taxation—PRC Taxation” in EHang Holdings Limited’s Annual Report on Form 20-F for the year ended December 31, 2021 (the</w:t>
      </w:r>
    </w:p>
    <w:p>
      <w:pPr>
        <w:spacing w:after="0" w:line="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Annual Report</w:t>
      </w:r>
      <w:r>
        <w:rPr>
          <w:rFonts w:ascii="Times New Roman" w:cs="Times New Roman" w:eastAsia="Times New Roman" w:hAnsi="Times New Roman"/>
          <w:sz w:val="13"/>
          <w:szCs w:val="13"/>
          <w:color w:val="auto"/>
        </w:rPr>
        <w:t>”), which will be filed with the Securities and Exchange Commission (the “</w:t>
      </w:r>
      <w:r>
        <w:rPr>
          <w:rFonts w:ascii="Times New Roman" w:cs="Times New Roman" w:eastAsia="Times New Roman" w:hAnsi="Times New Roman"/>
          <w:sz w:val="13"/>
          <w:szCs w:val="13"/>
          <w:b w:val="1"/>
          <w:bCs w:val="1"/>
          <w:color w:val="auto"/>
        </w:rPr>
        <w:t>SEC</w:t>
      </w:r>
      <w:r>
        <w:rPr>
          <w:rFonts w:ascii="Times New Roman" w:cs="Times New Roman" w:eastAsia="Times New Roman" w:hAnsi="Times New Roman"/>
          <w:sz w:val="13"/>
          <w:szCs w:val="13"/>
          <w:color w:val="auto"/>
        </w:rPr>
        <w:t>”) in the month of April 2022, and further consent to</w:t>
      </w:r>
    </w:p>
    <w:p>
      <w:pPr>
        <w:spacing w:after="0" w:line="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incorporation by reference of the summary of our opinion under these headings into the Registration Statement on Form S-8 (File No. 333-237769)</w:t>
      </w:r>
    </w:p>
    <w:p>
      <w:pPr>
        <w:spacing w:after="0" w:line="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pertaining to EHang Holdings Limited’s 2015 Share Incentive Plan and 2019 Share Incentive Plan. We also consent to the filing of this consent letter</w:t>
      </w:r>
    </w:p>
    <w:p>
      <w:pPr>
        <w:spacing w:after="0" w:line="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with the SEC as an exhibit to the Annual Report.</w:t>
      </w:r>
    </w:p>
    <w:p>
      <w:pPr>
        <w:spacing w:after="0" w:line="150" w:lineRule="exact"/>
        <w:rPr>
          <w:sz w:val="20"/>
          <w:szCs w:val="20"/>
          <w:color w:val="auto"/>
        </w:rPr>
      </w:pPr>
    </w:p>
    <w:p>
      <w:pPr>
        <w:ind w:left="540" w:right="799" w:firstLine="317"/>
        <w:spacing w:after="0" w:line="278" w:lineRule="auto"/>
        <w:rPr>
          <w:sz w:val="20"/>
          <w:szCs w:val="20"/>
          <w:color w:val="auto"/>
        </w:rPr>
      </w:pPr>
      <w:r>
        <w:rPr>
          <w:rFonts w:ascii="Times New Roman" w:cs="Times New Roman" w:eastAsia="Times New Roman" w:hAnsi="Times New Roman"/>
          <w:sz w:val="13"/>
          <w:szCs w:val="13"/>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Yours Sincerely,</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/s/ AllBright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12065</wp:posOffset>
            </wp:positionV>
            <wp:extent cx="2013585" cy="63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3">
                      <a:extLst>
                        <a:ext uri="{28A0092B-C50C-407E-A947-70E740481C1C}"/>
                      </a:extLst>
                    </a:blip>
                    <a:srcRect/>
                    <a:stretch>
                      <a:fillRect/>
                    </a:stretch>
                  </pic:blipFill>
                  <pic:spPr bwMode="auto">
                    <a:xfrm>
                      <a:off x="0" y="0"/>
                      <a:ext cx="2013585" cy="6350"/>
                    </a:xfrm>
                    <a:prstGeom prst="rect">
                      <a:avLst/>
                    </a:prstGeom>
                    <a:noFill/>
                  </pic:spPr>
                </pic:pic>
              </a:graphicData>
            </a:graphic>
          </wp:anchor>
        </w:drawing>
      </w:r>
    </w:p>
    <w:p>
      <w:pPr>
        <w:spacing w:after="0" w:line="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AllBright Law Offices</w:t>
      </w:r>
    </w:p>
    <w:p>
      <w:pPr>
        <w:sectPr>
          <w:pgSz w:w="11900" w:h="16838" w:orient="portrait"/>
          <w:cols w:equalWidth="0" w:num="1">
            <w:col w:w="9019"/>
          </w:cols>
          <w:pgMar w:left="1440" w:top="125" w:right="1440" w:bottom="1440" w:gutter="0" w:footer="0" w:header="0"/>
        </w:sectPr>
      </w:pPr>
    </w:p>
    <w:bookmarkStart w:id="238" w:name="page239"/>
    <w:bookmarkEnd w:id="238"/>
    <w:p>
      <w:pPr>
        <w:jc w:val="right"/>
        <w:ind w:right="539"/>
        <w:spacing w:after="0"/>
        <w:rPr>
          <w:sz w:val="20"/>
          <w:szCs w:val="20"/>
          <w:color w:val="auto"/>
        </w:rPr>
      </w:pPr>
      <w:r>
        <w:rPr>
          <w:rFonts w:ascii="Times New Roman" w:cs="Times New Roman" w:eastAsia="Times New Roman" w:hAnsi="Times New Roman"/>
          <w:sz w:val="13"/>
          <w:szCs w:val="13"/>
          <w:b w:val="1"/>
          <w:bCs w:val="1"/>
          <w:color w:val="auto"/>
        </w:rPr>
        <w:t>Exhibit 15.4</w:t>
      </w:r>
    </w:p>
    <w:p>
      <w:pPr>
        <w:spacing w:after="0" w:line="162"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3"/>
          <w:szCs w:val="13"/>
          <w:b w:val="1"/>
          <w:bCs w:val="1"/>
          <w:color w:val="auto"/>
        </w:rPr>
        <w:t>Our ref</w:t>
      </w:r>
      <w:r>
        <w:rPr>
          <w:sz w:val="20"/>
          <w:szCs w:val="20"/>
          <w:color w:val="auto"/>
        </w:rPr>
        <w:tab/>
      </w:r>
      <w:r>
        <w:rPr>
          <w:rFonts w:ascii="Times New Roman" w:cs="Times New Roman" w:eastAsia="Times New Roman" w:hAnsi="Times New Roman"/>
          <w:sz w:val="12"/>
          <w:szCs w:val="12"/>
          <w:color w:val="auto"/>
        </w:rPr>
        <w:t>VSL/752797-000001/22158133v2</w:t>
      </w:r>
    </w:p>
    <w:p>
      <w:pPr>
        <w:spacing w:after="0" w:line="16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EHang Holdings Limited</w:t>
      </w:r>
    </w:p>
    <w:p>
      <w:pPr>
        <w:spacing w:after="0" w:line="1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Building C, Yixiang Technology Park</w:t>
      </w:r>
    </w:p>
    <w:p>
      <w:pPr>
        <w:spacing w:after="0" w:line="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No.72 Nanxiang Second Road, Huangpu District</w:t>
      </w:r>
    </w:p>
    <w:p>
      <w:pPr>
        <w:spacing w:after="0" w:line="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Guangzhou, 510700</w:t>
      </w:r>
    </w:p>
    <w:p>
      <w:pPr>
        <w:spacing w:after="0" w:line="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People’s Republic of China</w:t>
      </w:r>
    </w:p>
    <w:p>
      <w:pPr>
        <w:spacing w:after="0" w:line="1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April 28, 2022</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Dear Sirs</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b w:val="1"/>
          <w:bCs w:val="1"/>
          <w:color w:val="auto"/>
        </w:rPr>
        <w:t>EHang Holdings Limited</w:t>
      </w:r>
    </w:p>
    <w:p>
      <w:pPr>
        <w:spacing w:after="0" w:line="86" w:lineRule="exact"/>
        <w:rPr>
          <w:sz w:val="20"/>
          <w:szCs w:val="20"/>
          <w:color w:val="auto"/>
        </w:rPr>
      </w:pPr>
    </w:p>
    <w:p>
      <w:pPr>
        <w:ind w:left="540" w:right="679" w:firstLine="317"/>
        <w:spacing w:after="0" w:line="264" w:lineRule="auto"/>
        <w:rPr>
          <w:sz w:val="20"/>
          <w:szCs w:val="20"/>
          <w:color w:val="auto"/>
        </w:rPr>
      </w:pPr>
      <w:r>
        <w:rPr>
          <w:rFonts w:ascii="Times New Roman" w:cs="Times New Roman" w:eastAsia="Times New Roman" w:hAnsi="Times New Roman"/>
          <w:sz w:val="13"/>
          <w:szCs w:val="13"/>
          <w:color w:val="auto"/>
        </w:rPr>
        <w:t>We have acted as legal advisers as to the laws of the Cayman Islands to EHang Holdings Limited, an exempted company incorporated in the Cayman Islands with limited liability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in connection with the filing by the Company with the United States Securities and Exchange Commission (the “</w:t>
      </w:r>
      <w:r>
        <w:rPr>
          <w:rFonts w:ascii="Times New Roman" w:cs="Times New Roman" w:eastAsia="Times New Roman" w:hAnsi="Times New Roman"/>
          <w:sz w:val="13"/>
          <w:szCs w:val="13"/>
          <w:b w:val="1"/>
          <w:bCs w:val="1"/>
          <w:color w:val="auto"/>
        </w:rPr>
        <w:t>SEC</w:t>
      </w:r>
      <w:r>
        <w:rPr>
          <w:rFonts w:ascii="Times New Roman" w:cs="Times New Roman" w:eastAsia="Times New Roman" w:hAnsi="Times New Roman"/>
          <w:sz w:val="13"/>
          <w:szCs w:val="13"/>
          <w:color w:val="auto"/>
        </w:rPr>
        <w:t>”) of an annual report on Form 20-F for the year ended 31 December 2021 (the “</w:t>
      </w:r>
      <w:r>
        <w:rPr>
          <w:rFonts w:ascii="Times New Roman" w:cs="Times New Roman" w:eastAsia="Times New Roman" w:hAnsi="Times New Roman"/>
          <w:sz w:val="13"/>
          <w:szCs w:val="13"/>
          <w:b w:val="1"/>
          <w:bCs w:val="1"/>
          <w:color w:val="auto"/>
        </w:rPr>
        <w:t>Annual Report</w:t>
      </w:r>
      <w:r>
        <w:rPr>
          <w:rFonts w:ascii="Times New Roman" w:cs="Times New Roman" w:eastAsia="Times New Roman" w:hAnsi="Times New Roman"/>
          <w:sz w:val="13"/>
          <w:szCs w:val="13"/>
          <w:color w:val="auto"/>
        </w:rPr>
        <w:t>”).</w:t>
      </w:r>
    </w:p>
    <w:p>
      <w:pPr>
        <w:spacing w:after="0" w:line="129" w:lineRule="exact"/>
        <w:rPr>
          <w:sz w:val="20"/>
          <w:szCs w:val="20"/>
          <w:color w:val="auto"/>
        </w:rPr>
      </w:pPr>
    </w:p>
    <w:p>
      <w:pPr>
        <w:ind w:left="540" w:right="659" w:firstLine="317"/>
        <w:spacing w:after="0" w:line="259" w:lineRule="auto"/>
        <w:rPr>
          <w:sz w:val="20"/>
          <w:szCs w:val="20"/>
          <w:color w:val="auto"/>
        </w:rPr>
      </w:pPr>
      <w:r>
        <w:rPr>
          <w:rFonts w:ascii="Times New Roman" w:cs="Times New Roman" w:eastAsia="Times New Roman" w:hAnsi="Times New Roman"/>
          <w:sz w:val="13"/>
          <w:szCs w:val="13"/>
          <w:color w:val="auto"/>
        </w:rPr>
        <w:t>We hereby consent to the reference to our firm under the heading “Item 10. Additional Information—E. Taxation—Cayman Islands Taxation” in the Annual Report, and further consent to the incorporation by reference into the Registration Statement on Form S-8 (File No. 333-237769) filed on 21 April 2020 of the summary of our opinion under the heading “Item 10. Additional Information—E. Taxation—Cayman Islands Taxation” in the Annual Report.</w:t>
      </w:r>
    </w:p>
    <w:p>
      <w:pPr>
        <w:spacing w:after="0" w:line="133" w:lineRule="exact"/>
        <w:rPr>
          <w:sz w:val="20"/>
          <w:szCs w:val="20"/>
          <w:color w:val="auto"/>
        </w:rPr>
      </w:pPr>
    </w:p>
    <w:p>
      <w:pPr>
        <w:ind w:left="540" w:right="659" w:firstLine="317"/>
        <w:spacing w:after="0" w:line="264" w:lineRule="auto"/>
        <w:rPr>
          <w:sz w:val="20"/>
          <w:szCs w:val="20"/>
          <w:color w:val="auto"/>
        </w:rPr>
      </w:pPr>
      <w:r>
        <w:rPr>
          <w:rFonts w:ascii="Times New Roman" w:cs="Times New Roman" w:eastAsia="Times New Roman" w:hAnsi="Times New Roman"/>
          <w:sz w:val="13"/>
          <w:szCs w:val="13"/>
          <w:color w:val="auto"/>
        </w:rPr>
        <w:t>We consent to the filing with the SEC of this consent letter as an exhibit to the Annual Report. 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Yours faithfully,</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/s/ Maples and Calder (Hong Kong)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12065</wp:posOffset>
            </wp:positionV>
            <wp:extent cx="2013585" cy="63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4">
                      <a:extLst>
                        <a:ext uri="{28A0092B-C50C-407E-A947-70E740481C1C}"/>
                      </a:extLst>
                    </a:blip>
                    <a:srcRect/>
                    <a:stretch>
                      <a:fillRect/>
                    </a:stretch>
                  </pic:blipFill>
                  <pic:spPr bwMode="auto">
                    <a:xfrm>
                      <a:off x="0" y="0"/>
                      <a:ext cx="2013585" cy="6350"/>
                    </a:xfrm>
                    <a:prstGeom prst="rect">
                      <a:avLst/>
                    </a:prstGeom>
                    <a:noFill/>
                  </pic:spPr>
                </pic:pic>
              </a:graphicData>
            </a:graphic>
          </wp:anchor>
        </w:drawing>
      </w:r>
    </w:p>
    <w:p>
      <w:pPr>
        <w:spacing w:after="0" w:line="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Maples and Calder (Hong Kong) LLP</w:t>
      </w:r>
    </w:p>
    <w:p>
      <w:pPr>
        <w:sectPr>
          <w:pgSz w:w="11900" w:h="16838" w:orient="portrait"/>
          <w:cols w:equalWidth="0" w:num="1">
            <w:col w:w="9019"/>
          </w:cols>
          <w:pgMar w:left="1440" w:top="125" w:right="1440" w:bottom="1440" w:gutter="0" w:footer="0" w:header="0"/>
        </w:sectPr>
      </w:pPr>
    </w:p>
    <w:bookmarkStart w:id="239" w:name="page240"/>
    <w:bookmarkEnd w:id="239"/>
    <w:p>
      <w:pPr>
        <w:jc w:val="right"/>
        <w:ind w:right="539"/>
        <w:spacing w:after="0"/>
        <w:rPr>
          <w:sz w:val="20"/>
          <w:szCs w:val="20"/>
          <w:color w:val="auto"/>
        </w:rPr>
      </w:pPr>
      <w:r>
        <w:rPr>
          <w:rFonts w:ascii="Times New Roman" w:cs="Times New Roman" w:eastAsia="Times New Roman" w:hAnsi="Times New Roman"/>
          <w:sz w:val="13"/>
          <w:szCs w:val="13"/>
          <w:b w:val="1"/>
          <w:bCs w:val="1"/>
          <w:color w:val="auto"/>
        </w:rPr>
        <w:t>Exhibit 16.1</w:t>
      </w:r>
    </w:p>
    <w:p>
      <w:pPr>
        <w:spacing w:after="0" w:line="16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April 28, 2022</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Securities and Exchange Commission</w:t>
      </w:r>
    </w:p>
    <w:p>
      <w:pPr>
        <w:spacing w:after="0" w:line="1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100 F Street, N.E.</w:t>
      </w:r>
    </w:p>
    <w:p>
      <w:pPr>
        <w:spacing w:after="0" w:line="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Washington, DC 20549</w:t>
      </w:r>
    </w:p>
    <w:p>
      <w:pPr>
        <w:spacing w:after="0" w:line="1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Ladies and Gentlemen:</w:t>
      </w:r>
    </w:p>
    <w:p>
      <w:pPr>
        <w:spacing w:after="0" w:line="84" w:lineRule="exact"/>
        <w:rPr>
          <w:sz w:val="20"/>
          <w:szCs w:val="20"/>
          <w:color w:val="auto"/>
        </w:rPr>
      </w:pPr>
    </w:p>
    <w:p>
      <w:pPr>
        <w:ind w:left="540" w:right="599"/>
        <w:spacing w:after="0" w:line="264" w:lineRule="auto"/>
        <w:rPr>
          <w:sz w:val="20"/>
          <w:szCs w:val="20"/>
          <w:color w:val="auto"/>
        </w:rPr>
      </w:pPr>
      <w:r>
        <w:rPr>
          <w:rFonts w:ascii="Times New Roman" w:cs="Times New Roman" w:eastAsia="Times New Roman" w:hAnsi="Times New Roman"/>
          <w:sz w:val="13"/>
          <w:szCs w:val="13"/>
          <w:color w:val="auto"/>
        </w:rPr>
        <w:t>We have read the statements made by EHang Holdings Limited in Item 16F in its Form 20-F dated April 28, 2022 and are in agreement with the statements contained in the first to fifth paragraphs of Item 16F with reference to us therein. We have no basis to agree or disagree with other statements of the registrant contained therein.</w:t>
      </w:r>
    </w:p>
    <w:p>
      <w:pPr>
        <w:spacing w:after="0" w:line="129" w:lineRule="exact"/>
        <w:rPr>
          <w:sz w:val="20"/>
          <w:szCs w:val="20"/>
          <w:color w:val="auto"/>
        </w:rPr>
      </w:pPr>
    </w:p>
    <w:p>
      <w:pPr>
        <w:ind w:left="540" w:right="559"/>
        <w:spacing w:after="0" w:line="278" w:lineRule="auto"/>
        <w:rPr>
          <w:sz w:val="20"/>
          <w:szCs w:val="20"/>
          <w:color w:val="auto"/>
        </w:rPr>
      </w:pPr>
      <w:r>
        <w:rPr>
          <w:rFonts w:ascii="Times New Roman" w:cs="Times New Roman" w:eastAsia="Times New Roman" w:hAnsi="Times New Roman"/>
          <w:sz w:val="13"/>
          <w:szCs w:val="13"/>
          <w:color w:val="auto"/>
        </w:rPr>
        <w:t>Regarding the registrant’s statement concerning the material weaknesses, included in the fourth paragraph of Item 16F, we had considered such matter in determining the nature, timing and extent of procedures performed in our audit of the registrant’s 2019 and 2020 financial statements, respectively.</w:t>
      </w:r>
    </w:p>
    <w:p>
      <w:pPr>
        <w:spacing w:after="0" w:line="1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/s/ Ernst &amp; Young Hua Ming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12065</wp:posOffset>
            </wp:positionV>
            <wp:extent cx="1932940" cy="63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5">
                      <a:extLst>
                        <a:ext uri="{28A0092B-C50C-407E-A947-70E740481C1C}"/>
                      </a:extLst>
                    </a:blip>
                    <a:srcRect/>
                    <a:stretch>
                      <a:fillRect/>
                    </a:stretch>
                  </pic:blipFill>
                  <pic:spPr bwMode="auto">
                    <a:xfrm>
                      <a:off x="0" y="0"/>
                      <a:ext cx="1932940" cy="6350"/>
                    </a:xfrm>
                    <a:prstGeom prst="rect">
                      <a:avLst/>
                    </a:prstGeom>
                    <a:noFill/>
                  </pic:spPr>
                </pic:pic>
              </a:graphicData>
            </a:graphic>
          </wp:anchor>
        </w:drawing>
      </w:r>
    </w:p>
    <w:p>
      <w:pPr>
        <w:spacing w:after="0" w:line="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Shanghai, the People’s Republic of China</w:t>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62813B"/>
    <w:multiLevelType w:val="hybridMultilevel"/>
    <w:lvl w:ilvl="0">
      <w:lvlJc w:val="left"/>
      <w:lvlText w:val="☐"/>
      <w:numFmt w:val="bullet"/>
      <w:start w:val="1"/>
    </w:lvl>
  </w:abstractNum>
  <w:abstractNum w:abstractNumId="1">
    <w:nsid w:val="60B6DF70"/>
    <w:multiLevelType w:val="hybridMultilevel"/>
    <w:lvl w:ilvl="0">
      <w:lvlJc w:val="left"/>
      <w:lvlText w:val="☒"/>
      <w:numFmt w:val="bullet"/>
      <w:start w:val="1"/>
    </w:lvl>
  </w:abstractNum>
  <w:abstractNum w:abstractNumId="2">
    <w:nsid w:val="6A5EE64"/>
    <w:multiLevelType w:val="hybridMultilevel"/>
    <w:lvl w:ilvl="0">
      <w:lvlJc w:val="left"/>
      <w:lvlText w:val="☐"/>
      <w:numFmt w:val="bullet"/>
      <w:start w:val="1"/>
    </w:lvl>
  </w:abstractNum>
  <w:abstractNum w:abstractNumId="3">
    <w:nsid w:val="14330624"/>
    <w:multiLevelType w:val="hybridMultilevel"/>
    <w:lvl w:ilvl="0">
      <w:lvlJc w:val="left"/>
      <w:lvlText w:val="☐"/>
      <w:numFmt w:val="bullet"/>
      <w:start w:val="1"/>
    </w:lvl>
  </w:abstractNum>
  <w:abstractNum w:abstractNumId="4">
    <w:nsid w:val="7FFFCA11"/>
    <w:multiLevelType w:val="hybridMultilevel"/>
    <w:lvl w:ilvl="0">
      <w:lvlJc w:val="left"/>
      <w:lvlText w:val="*"/>
      <w:numFmt w:val="bullet"/>
      <w:start w:val="1"/>
    </w:lvl>
  </w:abstractNum>
  <w:abstractNum w:abstractNumId="5">
    <w:nsid w:val="1A27709E"/>
    <w:multiLevelType w:val="hybridMultilevel"/>
    <w:lvl w:ilvl="0">
      <w:lvlJc w:val="left"/>
      <w:lvlText w:val="†"/>
      <w:numFmt w:val="bullet"/>
      <w:start w:val="1"/>
    </w:lvl>
  </w:abstractNum>
  <w:abstractNum w:abstractNumId="6">
    <w:nsid w:val="71EA1109"/>
    <w:multiLevelType w:val="hybridMultilevel"/>
    <w:lvl w:ilvl="0">
      <w:lvlJc w:val="left"/>
      <w:lvlText w:val="•"/>
      <w:numFmt w:val="bullet"/>
      <w:start w:val="1"/>
    </w:lvl>
  </w:abstractNum>
  <w:abstractNum w:abstractNumId="7">
    <w:nsid w:val="100F59DC"/>
    <w:multiLevelType w:val="hybridMultilevel"/>
    <w:lvl w:ilvl="0">
      <w:lvlJc w:val="left"/>
      <w:lvlText w:val="•"/>
      <w:numFmt w:val="bullet"/>
      <w:start w:val="1"/>
    </w:lvl>
  </w:abstractNum>
  <w:abstractNum w:abstractNumId="8">
    <w:nsid w:val="7FB7E0AA"/>
    <w:multiLevelType w:val="hybridMultilevel"/>
    <w:lvl w:ilvl="0">
      <w:lvlJc w:val="left"/>
      <w:lvlText w:val="•"/>
      <w:numFmt w:val="bullet"/>
      <w:start w:val="1"/>
    </w:lvl>
  </w:abstractNum>
  <w:abstractNum w:abstractNumId="9">
    <w:nsid w:val="6EB5BD4"/>
    <w:multiLevelType w:val="hybridMultilevel"/>
    <w:lvl w:ilvl="0">
      <w:lvlJc w:val="left"/>
      <w:lvlText w:val="(%1)"/>
      <w:numFmt w:val="decimal"/>
      <w:start w:val="1"/>
    </w:lvl>
  </w:abstractNum>
  <w:abstractNum w:abstractNumId="10">
    <w:nsid w:val="6F6DD9AC"/>
    <w:multiLevelType w:val="hybridMultilevel"/>
    <w:lvl w:ilvl="0">
      <w:lvlJc w:val="left"/>
      <w:lvlText w:val="%1."/>
      <w:numFmt w:val="upperLetter"/>
      <w:start w:val="1"/>
    </w:lvl>
  </w:abstractNum>
  <w:abstractNum w:abstractNumId="11">
    <w:nsid w:val="94211F2"/>
    <w:multiLevelType w:val="hybridMultilevel"/>
    <w:lvl w:ilvl="0">
      <w:lvlJc w:val="left"/>
      <w:lvlText w:val="•"/>
      <w:numFmt w:val="bullet"/>
      <w:start w:val="1"/>
    </w:lvl>
  </w:abstractNum>
  <w:abstractNum w:abstractNumId="12">
    <w:nsid w:val="885E1B"/>
    <w:multiLevelType w:val="hybridMultilevel"/>
    <w:lvl w:ilvl="0">
      <w:lvlJc w:val="left"/>
      <w:lvlText w:val="•"/>
      <w:numFmt w:val="bullet"/>
      <w:start w:val="1"/>
    </w:lvl>
  </w:abstractNum>
  <w:abstractNum w:abstractNumId="13">
    <w:nsid w:val="76272110"/>
    <w:multiLevelType w:val="hybridMultilevel"/>
    <w:lvl w:ilvl="0">
      <w:lvlJc w:val="left"/>
      <w:lvlText w:val="•"/>
      <w:numFmt w:val="bullet"/>
      <w:start w:val="1"/>
    </w:lvl>
  </w:abstractNum>
  <w:abstractNum w:abstractNumId="14">
    <w:nsid w:val="4C04A8AF"/>
    <w:multiLevelType w:val="hybridMultilevel"/>
    <w:lvl w:ilvl="0">
      <w:lvlJc w:val="left"/>
      <w:lvlText w:val="•"/>
      <w:numFmt w:val="bullet"/>
      <w:start w:val="1"/>
    </w:lvl>
  </w:abstractNum>
  <w:abstractNum w:abstractNumId="15">
    <w:nsid w:val="1716703B"/>
    <w:multiLevelType w:val="hybridMultilevel"/>
    <w:lvl w:ilvl="0">
      <w:lvlJc w:val="left"/>
      <w:lvlText w:val="•"/>
      <w:numFmt w:val="bullet"/>
      <w:start w:val="1"/>
    </w:lvl>
  </w:abstractNum>
  <w:abstractNum w:abstractNumId="16">
    <w:nsid w:val="14E17E33"/>
    <w:multiLevelType w:val="hybridMultilevel"/>
    <w:lvl w:ilvl="0">
      <w:lvlJc w:val="left"/>
      <w:lvlText w:val="•"/>
      <w:numFmt w:val="bullet"/>
      <w:start w:val="1"/>
    </w:lvl>
  </w:abstractNum>
  <w:abstractNum w:abstractNumId="17">
    <w:nsid w:val="3222E7CD"/>
    <w:multiLevelType w:val="hybridMultilevel"/>
    <w:lvl w:ilvl="0">
      <w:lvlJc w:val="left"/>
      <w:lvlText w:val="•"/>
      <w:numFmt w:val="bullet"/>
      <w:start w:val="1"/>
    </w:lvl>
  </w:abstractNum>
  <w:abstractNum w:abstractNumId="18">
    <w:nsid w:val="74DE0EE3"/>
    <w:multiLevelType w:val="hybridMultilevel"/>
    <w:lvl w:ilvl="0">
      <w:lvlJc w:val="left"/>
      <w:lvlText w:val="•"/>
      <w:numFmt w:val="bullet"/>
      <w:start w:val="1"/>
    </w:lvl>
  </w:abstractNum>
  <w:abstractNum w:abstractNumId="19">
    <w:nsid w:val="68EBC550"/>
    <w:multiLevelType w:val="hybridMultilevel"/>
    <w:lvl w:ilvl="0">
      <w:lvlJc w:val="left"/>
      <w:lvlText w:val="•"/>
      <w:numFmt w:val="bullet"/>
      <w:start w:val="1"/>
    </w:lvl>
  </w:abstractNum>
  <w:abstractNum w:abstractNumId="20">
    <w:nsid w:val="2DF6D648"/>
    <w:multiLevelType w:val="hybridMultilevel"/>
    <w:lvl w:ilvl="0">
      <w:lvlJc w:val="left"/>
      <w:lvlText w:val="•"/>
      <w:numFmt w:val="bullet"/>
      <w:start w:val="1"/>
    </w:lvl>
  </w:abstractNum>
  <w:abstractNum w:abstractNumId="21">
    <w:nsid w:val="46B7D447"/>
    <w:multiLevelType w:val="hybridMultilevel"/>
    <w:lvl w:ilvl="0">
      <w:lvlJc w:val="left"/>
      <w:lvlText w:val="(%1)"/>
      <w:numFmt w:val="lowerLetter"/>
      <w:start w:val="3"/>
    </w:lvl>
  </w:abstractNum>
  <w:abstractNum w:abstractNumId="22">
    <w:nsid w:val="4A2AC315"/>
    <w:multiLevelType w:val="hybridMultilevel"/>
    <w:lvl w:ilvl="0">
      <w:lvlJc w:val="left"/>
      <w:lvlText w:val="•"/>
      <w:numFmt w:val="bullet"/>
      <w:start w:val="1"/>
    </w:lvl>
  </w:abstractNum>
  <w:abstractNum w:abstractNumId="23">
    <w:nsid w:val="39EE015C"/>
    <w:multiLevelType w:val="hybridMultilevel"/>
    <w:lvl w:ilvl="0">
      <w:lvlJc w:val="left"/>
      <w:lvlText w:val="•"/>
      <w:numFmt w:val="bullet"/>
      <w:start w:val="1"/>
    </w:lvl>
  </w:abstractNum>
  <w:abstractNum w:abstractNumId="24">
    <w:nsid w:val="57FC4FBB"/>
    <w:multiLevelType w:val="hybridMultilevel"/>
    <w:lvl w:ilvl="0">
      <w:lvlJc w:val="left"/>
      <w:lvlText w:val="•"/>
      <w:numFmt w:val="bullet"/>
      <w:start w:val="1"/>
    </w:lvl>
  </w:abstractNum>
  <w:abstractNum w:abstractNumId="25">
    <w:nsid w:val="CC1016F"/>
    <w:multiLevelType w:val="hybridMultilevel"/>
    <w:lvl w:ilvl="0">
      <w:lvlJc w:val="left"/>
      <w:lvlText w:val="(%1)"/>
      <w:numFmt w:val="lowerRoman"/>
      <w:start w:val="2"/>
    </w:lvl>
  </w:abstractNum>
  <w:abstractNum w:abstractNumId="26">
    <w:nsid w:val="43F18422"/>
    <w:multiLevelType w:val="hybridMultilevel"/>
    <w:lvl w:ilvl="0">
      <w:lvlJc w:val="left"/>
      <w:lvlText w:val="(%1)"/>
      <w:numFmt w:val="lowerRoman"/>
      <w:start w:val="2"/>
    </w:lvl>
  </w:abstractNum>
  <w:abstractNum w:abstractNumId="27">
    <w:nsid w:val="60EF0119"/>
    <w:multiLevelType w:val="hybridMultilevel"/>
    <w:lvl w:ilvl="0">
      <w:lvlJc w:val="left"/>
      <w:lvlText w:val="•"/>
      <w:numFmt w:val="bullet"/>
      <w:start w:val="1"/>
    </w:lvl>
  </w:abstractNum>
  <w:abstractNum w:abstractNumId="28">
    <w:nsid w:val="26F324BA"/>
    <w:multiLevelType w:val="hybridMultilevel"/>
    <w:lvl w:ilvl="0">
      <w:lvlJc w:val="left"/>
      <w:lvlText w:val="•"/>
      <w:numFmt w:val="bullet"/>
      <w:start w:val="1"/>
    </w:lvl>
  </w:abstractNum>
  <w:abstractNum w:abstractNumId="29">
    <w:nsid w:val="7F01579B"/>
    <w:multiLevelType w:val="hybridMultilevel"/>
    <w:lvl w:ilvl="0">
      <w:lvlJc w:val="left"/>
      <w:lvlText w:val="•"/>
      <w:numFmt w:val="bullet"/>
      <w:start w:val="1"/>
    </w:lvl>
  </w:abstractNum>
  <w:abstractNum w:abstractNumId="30">
    <w:nsid w:val="49DA307D"/>
    <w:multiLevelType w:val="hybridMultilevel"/>
    <w:lvl w:ilvl="0">
      <w:lvlJc w:val="left"/>
      <w:lvlText w:val="•"/>
      <w:numFmt w:val="bullet"/>
      <w:start w:val="1"/>
    </w:lvl>
  </w:abstractNum>
  <w:abstractNum w:abstractNumId="31">
    <w:nsid w:val="7055A5F5"/>
    <w:multiLevelType w:val="hybridMultilevel"/>
    <w:lvl w:ilvl="0">
      <w:lvlJc w:val="left"/>
      <w:lvlText w:val="•"/>
      <w:numFmt w:val="bullet"/>
      <w:start w:val="1"/>
    </w:lvl>
  </w:abstractNum>
  <w:abstractNum w:abstractNumId="32">
    <w:nsid w:val="5FB8370B"/>
    <w:multiLevelType w:val="hybridMultilevel"/>
    <w:lvl w:ilvl="0">
      <w:lvlJc w:val="left"/>
      <w:lvlText w:val="•"/>
      <w:numFmt w:val="bullet"/>
      <w:start w:val="1"/>
    </w:lvl>
  </w:abstractNum>
  <w:abstractNum w:abstractNumId="33">
    <w:nsid w:val="50801EE1"/>
    <w:multiLevelType w:val="hybridMultilevel"/>
    <w:lvl w:ilvl="0">
      <w:lvlJc w:val="left"/>
      <w:lvlText w:val="%1"/>
      <w:numFmt w:val="decimal"/>
      <w:start w:val="100"/>
    </w:lvl>
  </w:abstractNum>
  <w:abstractNum w:abstractNumId="34">
    <w:nsid w:val="488AC1A"/>
    <w:multiLevelType w:val="hybridMultilevel"/>
    <w:lvl w:ilvl="0">
      <w:lvlJc w:val="left"/>
      <w:lvlText w:val="%1"/>
      <w:numFmt w:val="decimal"/>
      <w:start w:val="300"/>
    </w:lvl>
  </w:abstractNum>
  <w:abstractNum w:abstractNumId="35">
    <w:nsid w:val="5FB8011C"/>
    <w:multiLevelType w:val="hybridMultilevel"/>
    <w:lvl w:ilvl="0">
      <w:lvlJc w:val="left"/>
      <w:lvlText w:val="•"/>
      <w:numFmt w:val="bullet"/>
      <w:start w:val="1"/>
    </w:lvl>
  </w:abstractNum>
  <w:abstractNum w:abstractNumId="36">
    <w:nsid w:val="6AA78F7F"/>
    <w:multiLevelType w:val="hybridMultilevel"/>
    <w:lvl w:ilvl="0">
      <w:lvlJc w:val="left"/>
      <w:lvlText w:val="•"/>
      <w:numFmt w:val="bullet"/>
      <w:start w:val="1"/>
    </w:lvl>
  </w:abstractNum>
  <w:abstractNum w:abstractNumId="37">
    <w:nsid w:val="7672BD23"/>
    <w:multiLevelType w:val="hybridMultilevel"/>
    <w:lvl w:ilvl="0">
      <w:lvlJc w:val="left"/>
      <w:lvlText w:val="%1."/>
      <w:numFmt w:val="decimal"/>
      <w:start w:val="3"/>
    </w:lvl>
  </w:abstractNum>
  <w:abstractNum w:abstractNumId="38">
    <w:nsid w:val="6FC75AF8"/>
    <w:multiLevelType w:val="hybridMultilevel"/>
    <w:lvl w:ilvl="0">
      <w:lvlJc w:val="left"/>
      <w:lvlText w:val="(%1)"/>
      <w:numFmt w:val="lowerRoman"/>
      <w:start w:val="4"/>
    </w:lvl>
  </w:abstractNum>
  <w:abstractNum w:abstractNumId="39">
    <w:nsid w:val="6A5F7029"/>
    <w:multiLevelType w:val="hybridMultilevel"/>
    <w:lvl w:ilvl="0">
      <w:lvlJc w:val="left"/>
      <w:lvlText w:val="(%1)"/>
      <w:numFmt w:val="lowerRoman"/>
      <w:start w:val="3"/>
    </w:lvl>
  </w:abstractNum>
  <w:abstractNum w:abstractNumId="40">
    <w:nsid w:val="7D5E18F8"/>
    <w:multiLevelType w:val="hybridMultilevel"/>
    <w:lvl w:ilvl="0">
      <w:lvlJc w:val="left"/>
      <w:lvlText w:val="(%1)"/>
      <w:numFmt w:val="decimal"/>
      <w:start w:val="1"/>
    </w:lvl>
  </w:abstractNum>
  <w:abstractNum w:abstractNumId="41">
    <w:nsid w:val="5F3534A4"/>
    <w:multiLevelType w:val="hybridMultilevel"/>
    <w:lvl w:ilvl="0">
      <w:lvlJc w:val="left"/>
      <w:lvlText w:val="•"/>
      <w:numFmt w:val="bullet"/>
      <w:start w:val="1"/>
    </w:lvl>
  </w:abstractNum>
  <w:abstractNum w:abstractNumId="42">
    <w:nsid w:val="73A1821B"/>
    <w:multiLevelType w:val="hybridMultilevel"/>
    <w:lvl w:ilvl="0">
      <w:lvlJc w:val="left"/>
      <w:lvlText w:val="(%1)"/>
      <w:numFmt w:val="decimal"/>
      <w:start w:val="1"/>
    </w:lvl>
  </w:abstractNum>
  <w:abstractNum w:abstractNumId="43">
    <w:nsid w:val="7DE67713"/>
    <w:multiLevelType w:val="hybridMultilevel"/>
    <w:lvl w:ilvl="0">
      <w:lvlJc w:val="left"/>
      <w:lvlText w:val="%1."/>
      <w:numFmt w:val="upperLetter"/>
      <w:start w:val="2"/>
    </w:lvl>
  </w:abstractNum>
  <w:abstractNum w:abstractNumId="44">
    <w:nsid w:val="555C55B5"/>
    <w:multiLevelType w:val="hybridMultilevel"/>
    <w:lvl w:ilvl="0">
      <w:lvlJc w:val="left"/>
      <w:lvlText w:val="*"/>
      <w:numFmt w:val="bullet"/>
      <w:start w:val="1"/>
    </w:lvl>
  </w:abstractNum>
  <w:abstractNum w:abstractNumId="45">
    <w:nsid w:val="3FA62ACA"/>
    <w:multiLevelType w:val="hybridMultilevel"/>
    <w:lvl w:ilvl="0">
      <w:lvlJc w:val="left"/>
      <w:lvlText w:val="•"/>
      <w:numFmt w:val="bullet"/>
      <w:start w:val="1"/>
    </w:lvl>
  </w:abstractNum>
  <w:abstractNum w:abstractNumId="46">
    <w:nsid w:val="14FCE74E"/>
    <w:multiLevelType w:val="hybridMultilevel"/>
    <w:lvl w:ilvl="0">
      <w:lvlJc w:val="left"/>
      <w:lvlText w:val="•"/>
      <w:numFmt w:val="bullet"/>
      <w:start w:val="1"/>
    </w:lvl>
  </w:abstractNum>
  <w:abstractNum w:abstractNumId="47">
    <w:nsid w:val="6A3DD3E8"/>
    <w:multiLevelType w:val="hybridMultilevel"/>
    <w:lvl w:ilvl="0">
      <w:lvlJc w:val="left"/>
      <w:lvlText w:val="•"/>
      <w:numFmt w:val="bullet"/>
      <w:start w:val="1"/>
    </w:lvl>
  </w:abstractNum>
  <w:abstractNum w:abstractNumId="48">
    <w:nsid w:val="71C91298"/>
    <w:multiLevelType w:val="hybridMultilevel"/>
    <w:lvl w:ilvl="0">
      <w:lvlJc w:val="left"/>
      <w:lvlText w:val="•"/>
      <w:numFmt w:val="bullet"/>
      <w:start w:val="1"/>
    </w:lvl>
  </w:abstractNum>
  <w:abstractNum w:abstractNumId="49">
    <w:nsid w:val="9DAF632"/>
    <w:multiLevelType w:val="hybridMultilevel"/>
    <w:lvl w:ilvl="0">
      <w:lvlJc w:val="left"/>
      <w:lvlText w:val="•"/>
      <w:numFmt w:val="bullet"/>
      <w:start w:val="1"/>
    </w:lvl>
  </w:abstractNum>
  <w:abstractNum w:abstractNumId="50">
    <w:nsid w:val="53299938"/>
    <w:multiLevelType w:val="hybridMultilevel"/>
    <w:lvl w:ilvl="0">
      <w:lvlJc w:val="left"/>
      <w:lvlText w:val="(%1)"/>
      <w:numFmt w:val="lowerRoman"/>
      <w:start w:val="4"/>
    </w:lvl>
  </w:abstractNum>
  <w:abstractNum w:abstractNumId="51">
    <w:nsid w:val="1FBFE8E0"/>
    <w:multiLevelType w:val="hybridMultilevel"/>
    <w:lvl w:ilvl="0">
      <w:lvlJc w:val="left"/>
      <w:lvlText w:val="%1."/>
      <w:numFmt w:val="upperLetter"/>
      <w:start w:val="4"/>
    </w:lvl>
  </w:abstractNum>
  <w:abstractNum w:abstractNumId="52">
    <w:nsid w:val="5092CA79"/>
    <w:multiLevelType w:val="hybridMultilevel"/>
    <w:lvl w:ilvl="0">
      <w:lvlJc w:val="left"/>
      <w:lvlText w:val="•"/>
      <w:numFmt w:val="bullet"/>
      <w:start w:val="1"/>
    </w:lvl>
  </w:abstractNum>
  <w:abstractNum w:abstractNumId="53">
    <w:nsid w:val="1D545C4D"/>
    <w:multiLevelType w:val="hybridMultilevel"/>
    <w:lvl w:ilvl="0">
      <w:lvlJc w:val="left"/>
      <w:lvlText w:val="*"/>
      <w:numFmt w:val="bullet"/>
      <w:start w:val="1"/>
    </w:lvl>
  </w:abstractNum>
  <w:abstractNum w:abstractNumId="54">
    <w:nsid w:val="59ADEA3D"/>
    <w:multiLevelType w:val="hybridMultilevel"/>
    <w:lvl w:ilvl="0">
      <w:lvlJc w:val="left"/>
      <w:lvlText w:val="**"/>
      <w:numFmt w:val="bullet"/>
      <w:start w:val="1"/>
    </w:lvl>
  </w:abstractNum>
  <w:abstractNum w:abstractNumId="55">
    <w:nsid w:val="288F1A34"/>
    <w:multiLevelType w:val="hybridMultilevel"/>
    <w:lvl w:ilvl="0">
      <w:lvlJc w:val="left"/>
      <w:lvlText w:val="***"/>
      <w:numFmt w:val="bullet"/>
      <w:start w:val="1"/>
    </w:lvl>
  </w:abstractNum>
  <w:abstractNum w:abstractNumId="56">
    <w:nsid w:val="2A155DBC"/>
    <w:multiLevelType w:val="hybridMultilevel"/>
    <w:lvl w:ilvl="0">
      <w:lvlJc w:val="left"/>
      <w:lvlText w:val="(%1)"/>
      <w:numFmt w:val="decimal"/>
      <w:start w:val="1"/>
    </w:lvl>
  </w:abstractNum>
  <w:abstractNum w:abstractNumId="57">
    <w:nsid w:val="1D9F6E5F"/>
    <w:multiLevelType w:val="hybridMultilevel"/>
    <w:lvl w:ilvl="0">
      <w:lvlJc w:val="left"/>
      <w:lvlText w:val="(%1)"/>
      <w:numFmt w:val="decimal"/>
      <w:start w:val="2"/>
    </w:lvl>
  </w:abstractNum>
  <w:abstractNum w:abstractNumId="58">
    <w:nsid w:val="97E1B4E"/>
    <w:multiLevelType w:val="hybridMultilevel"/>
    <w:lvl w:ilvl="0">
      <w:lvlJc w:val="left"/>
      <w:lvlText w:val="%1."/>
      <w:numFmt w:val="upperLetter"/>
      <w:start w:val="3"/>
    </w:lvl>
  </w:abstractNum>
  <w:abstractNum w:abstractNumId="59">
    <w:nsid w:val="51088277"/>
    <w:multiLevelType w:val="hybridMultilevel"/>
    <w:lvl w:ilvl="0">
      <w:lvlJc w:val="left"/>
      <w:lvlText w:val="%1."/>
      <w:numFmt w:val="upperLetter"/>
      <w:start w:val="5"/>
    </w:lvl>
  </w:abstractNum>
  <w:abstractNum w:abstractNumId="60">
    <w:nsid w:val="1CA0C5FA"/>
    <w:multiLevelType w:val="hybridMultilevel"/>
    <w:lvl w:ilvl="0">
      <w:lvlJc w:val="left"/>
      <w:lvlText w:val="•"/>
      <w:numFmt w:val="bullet"/>
      <w:start w:val="1"/>
    </w:lvl>
  </w:abstractNum>
  <w:abstractNum w:abstractNumId="61">
    <w:nsid w:val="53584BCB"/>
    <w:multiLevelType w:val="hybridMultilevel"/>
    <w:lvl w:ilvl="0">
      <w:lvlJc w:val="left"/>
      <w:lvlText w:val="•"/>
      <w:numFmt w:val="bullet"/>
      <w:start w:val="1"/>
    </w:lvl>
  </w:abstractNum>
  <w:abstractNum w:abstractNumId="62">
    <w:nsid w:val="415E286C"/>
    <w:multiLevelType w:val="hybridMultilevel"/>
    <w:lvl w:ilvl="0">
      <w:lvlJc w:val="left"/>
      <w:lvlText w:val="•"/>
      <w:numFmt w:val="bullet"/>
      <w:start w:val="1"/>
    </w:lvl>
  </w:abstractNum>
  <w:abstractNum w:abstractNumId="63">
    <w:nsid w:val="7C58FD05"/>
    <w:multiLevelType w:val="hybridMultilevel"/>
    <w:lvl w:ilvl="0">
      <w:lvlJc w:val="left"/>
      <w:lvlText w:val="•"/>
      <w:numFmt w:val="bullet"/>
      <w:start w:val="1"/>
    </w:lvl>
  </w:abstractNum>
  <w:abstractNum w:abstractNumId="64">
    <w:nsid w:val="23D86AAC"/>
    <w:multiLevelType w:val="hybridMultilevel"/>
    <w:lvl w:ilvl="0">
      <w:lvlJc w:val="left"/>
      <w:lvlText w:val="•"/>
      <w:numFmt w:val="bullet"/>
      <w:start w:val="1"/>
    </w:lvl>
  </w:abstractNum>
  <w:abstractNum w:abstractNumId="65">
    <w:nsid w:val="45E6D486"/>
    <w:multiLevelType w:val="hybridMultilevel"/>
    <w:lvl w:ilvl="0">
      <w:lvlJc w:val="left"/>
      <w:lvlText w:val="(%1)"/>
      <w:numFmt w:val="lowerLetter"/>
      <w:start w:val="2"/>
    </w:lvl>
  </w:abstractNum>
  <w:abstractNum w:abstractNumId="66">
    <w:nsid w:val="5C10FE21"/>
    <w:multiLevelType w:val="hybridMultilevel"/>
    <w:lvl w:ilvl="0">
      <w:lvlJc w:val="left"/>
      <w:lvlText w:val="•"/>
      <w:numFmt w:val="bullet"/>
      <w:start w:val="1"/>
    </w:lvl>
  </w:abstractNum>
  <w:abstractNum w:abstractNumId="67">
    <w:nsid w:val="E7FFA2B"/>
    <w:multiLevelType w:val="hybridMultilevel"/>
    <w:lvl w:ilvl="0">
      <w:lvlJc w:val="left"/>
      <w:lvlText w:val="•"/>
      <w:numFmt w:val="bullet"/>
      <w:start w:val="1"/>
    </w:lvl>
  </w:abstractNum>
  <w:abstractNum w:abstractNumId="68">
    <w:nsid w:val="3C5991AA"/>
    <w:multiLevelType w:val="hybridMultilevel"/>
    <w:lvl w:ilvl="0">
      <w:lvlJc w:val="left"/>
      <w:lvlText w:val="%1."/>
      <w:numFmt w:val="upperLetter"/>
      <w:start w:val="5"/>
    </w:lvl>
  </w:abstractNum>
  <w:abstractNum w:abstractNumId="69">
    <w:nsid w:val="4BD8591A"/>
    <w:multiLevelType w:val="hybridMultilevel"/>
    <w:lvl w:ilvl="0">
      <w:lvlJc w:val="left"/>
      <w:lvlText w:val="•"/>
      <w:numFmt w:val="bullet"/>
      <w:start w:val="1"/>
    </w:lvl>
  </w:abstractNum>
  <w:abstractNum w:abstractNumId="70">
    <w:nsid w:val="78DF6A55"/>
    <w:multiLevelType w:val="hybridMultilevel"/>
    <w:lvl w:ilvl="0">
      <w:lvlJc w:val="left"/>
      <w:lvlText w:val="•"/>
      <w:numFmt w:val="bullet"/>
      <w:start w:val="1"/>
    </w:lvl>
  </w:abstractNum>
  <w:abstractNum w:abstractNumId="71">
    <w:nsid w:val="39B7AAA2"/>
    <w:multiLevelType w:val="hybridMultilevel"/>
    <w:lvl w:ilvl="0">
      <w:lvlJc w:val="left"/>
      <w:lvlText w:val="•"/>
      <w:numFmt w:val="bullet"/>
      <w:start w:val="1"/>
    </w:lvl>
  </w:abstractNum>
  <w:abstractNum w:abstractNumId="72">
    <w:nsid w:val="2B0D8DBE"/>
    <w:multiLevelType w:val="hybridMultilevel"/>
    <w:lvl w:ilvl="0">
      <w:lvlJc w:val="left"/>
      <w:lvlText w:val="•"/>
      <w:numFmt w:val="bullet"/>
      <w:start w:val="1"/>
    </w:lvl>
  </w:abstractNum>
  <w:abstractNum w:abstractNumId="73">
    <w:nsid w:val="6C80EC70"/>
    <w:multiLevelType w:val="hybridMultilevel"/>
    <w:lvl w:ilvl="0">
      <w:lvlJc w:val="left"/>
      <w:lvlText w:val="(%1)"/>
      <w:numFmt w:val="decimal"/>
      <w:start w:val="1"/>
    </w:lvl>
  </w:abstractNum>
  <w:abstractNum w:abstractNumId="74">
    <w:nsid w:val="379E21B5"/>
    <w:multiLevelType w:val="hybridMultilevel"/>
    <w:lvl w:ilvl="0">
      <w:lvlJc w:val="left"/>
      <w:lvlText w:val="(%1)"/>
      <w:numFmt w:val="lowerLetter"/>
      <w:start w:val="1"/>
    </w:lvl>
    <w:lvl w:ilvl="1">
      <w:lvlJc w:val="left"/>
      <w:lvlText w:val="(%2)"/>
      <w:numFmt w:val="lowerRoman"/>
      <w:start w:val="1"/>
    </w:lvl>
  </w:abstractNum>
  <w:abstractNum w:abstractNumId="75">
    <w:nsid w:val="69E373"/>
    <w:multiLevelType w:val="hybridMultilevel"/>
    <w:lvl w:ilvl="0">
      <w:lvlJc w:val="left"/>
      <w:lvlText w:val="(%1)"/>
      <w:numFmt w:val="lowerRoman"/>
      <w:start w:val="3"/>
    </w:lvl>
  </w:abstractNum>
  <w:abstractNum w:abstractNumId="76">
    <w:nsid w:val="2C27173B"/>
    <w:multiLevelType w:val="hybridMultilevel"/>
    <w:lvl w:ilvl="0">
      <w:lvlJc w:val="left"/>
      <w:lvlText w:val="•"/>
      <w:numFmt w:val="bullet"/>
      <w:start w:val="1"/>
    </w:lvl>
  </w:abstractNum>
  <w:abstractNum w:abstractNumId="77">
    <w:nsid w:val="4C9B0904"/>
    <w:multiLevelType w:val="hybridMultilevel"/>
    <w:lvl w:ilvl="0">
      <w:lvlJc w:val="left"/>
      <w:lvlText w:val="*"/>
      <w:numFmt w:val="bullet"/>
      <w:start w:val="1"/>
    </w:lvl>
  </w:abstractNum>
  <w:abstractNum w:abstractNumId="78">
    <w:nsid w:val="6AA7B75C"/>
    <w:multiLevelType w:val="hybridMultilevel"/>
    <w:lvl w:ilvl="0">
      <w:lvlJc w:val="left"/>
      <w:lvlText w:val="**"/>
      <w:numFmt w:val="bullet"/>
      <w:start w:val="1"/>
    </w:lvl>
  </w:abstractNum>
  <w:abstractNum w:abstractNumId="79">
    <w:nsid w:val="1DF029D3"/>
    <w:multiLevelType w:val="hybridMultilevel"/>
    <w:lvl w:ilvl="0">
      <w:lvlJc w:val="left"/>
      <w:lvlText w:val="%1."/>
      <w:numFmt w:val="decimal"/>
      <w:start w:val="1"/>
    </w:lvl>
  </w:abstractNum>
  <w:abstractNum w:abstractNumId="80">
    <w:nsid w:val="5675FF36"/>
    <w:multiLevelType w:val="hybridMultilevel"/>
    <w:lvl w:ilvl="0">
      <w:lvlJc w:val="left"/>
      <w:lvlText w:val="%1."/>
      <w:numFmt w:val="decimal"/>
      <w:start w:val="1"/>
    </w:lvl>
  </w:abstractNum>
  <w:abstractNum w:abstractNumId="81">
    <w:nsid w:val="3DD15094"/>
    <w:multiLevelType w:val="hybridMultilevel"/>
    <w:lvl w:ilvl="0">
      <w:lvlJc w:val="left"/>
      <w:lvlText w:val="(%1)"/>
      <w:numFmt w:val="lowerLetter"/>
      <w:start w:val="1"/>
    </w:lvl>
  </w:abstractNum>
  <w:abstractNum w:abstractNumId="82">
    <w:nsid w:val="3DB012B3"/>
    <w:multiLevelType w:val="hybridMultilevel"/>
    <w:lvl w:ilvl="0">
      <w:lvlJc w:val="left"/>
      <w:lvlText w:val="%1."/>
      <w:numFmt w:val="decimal"/>
      <w:start w:val="1"/>
    </w:lvl>
  </w:abstractNum>
  <w:abstractNum w:abstractNumId="83">
    <w:nsid w:val="2708C9AF"/>
    <w:multiLevelType w:val="hybridMultilevel"/>
    <w:lvl w:ilvl="0">
      <w:lvlJc w:val="left"/>
      <w:lvlText w:val="%1."/>
      <w:numFmt w:val="decimal"/>
      <w:start w:val="1"/>
    </w:lvl>
  </w:abstractNum>
  <w:abstractNum w:abstractNumId="84">
    <w:nsid w:val="5B25ACE2"/>
    <w:multiLevelType w:val="hybridMultilevel"/>
    <w:lvl w:ilvl="0">
      <w:lvlJc w:val="left"/>
      <w:lvlText w:val="%1."/>
      <w:numFmt w:val="decimal"/>
      <w:start w:val="1"/>
    </w:lvl>
  </w:abstractNum>
  <w:abstractNum w:abstractNumId="85">
    <w:nsid w:val="175DFCF0"/>
    <w:multiLevelType w:val="hybridMultilevel"/>
    <w:lvl w:ilvl="0">
      <w:lvlJc w:val="left"/>
      <w:lvlText w:val="%1."/>
      <w:numFmt w:val="decimal"/>
      <w:start w:val="1"/>
    </w:lvl>
  </w:abstractNum>
  <w:abstractNum w:abstractNumId="86">
    <w:nsid w:val="4F97E3E4"/>
    <w:multiLevelType w:val="hybridMultilevel"/>
    <w:lvl w:ilvl="0">
      <w:lvlJc w:val="left"/>
      <w:lvlText w:val="%1."/>
      <w:numFmt w:val="decimal"/>
      <w:start w:val="2"/>
    </w:lvl>
  </w:abstractNum>
  <w:abstractNum w:abstractNumId="87">
    <w:nsid w:val="53B0A9E"/>
    <w:multiLevelType w:val="hybridMultilevel"/>
    <w:lvl w:ilvl="0">
      <w:lvlJc w:val="left"/>
      <w:lvlText w:val="(%1)"/>
      <w:numFmt w:val="lowerLetter"/>
      <w:start w:val="1"/>
    </w:lvl>
  </w:abstractNum>
  <w:abstractNum w:abstractNumId="88">
    <w:nsid w:val="34FD6B4F"/>
    <w:multiLevelType w:val="hybridMultilevel"/>
    <w:lvl w:ilvl="0">
      <w:lvlJc w:val="left"/>
      <w:lvlText w:val="%1."/>
      <w:numFmt w:val="decimal"/>
      <w:start w:val="2"/>
    </w:lvl>
  </w:abstractNum>
  <w:abstractNum w:abstractNumId="89">
    <w:nsid w:val="5915FF32"/>
    <w:multiLevelType w:val="hybridMultilevel"/>
    <w:lvl w:ilvl="0">
      <w:lvlJc w:val="left"/>
      <w:lvlText w:val="(%1)"/>
      <w:numFmt w:val="lowerLetter"/>
      <w:start w:val="5"/>
    </w:lvl>
  </w:abstractNum>
  <w:abstractNum w:abstractNumId="90">
    <w:nsid w:val="56438D15"/>
    <w:multiLevelType w:val="hybridMultilevel"/>
    <w:lvl w:ilvl="0">
      <w:lvlJc w:val="left"/>
      <w:lvlText w:val="%1."/>
      <w:numFmt w:val="decimal"/>
      <w:start w:val="2"/>
    </w:lvl>
  </w:abstractNum>
  <w:abstractNum w:abstractNumId="91">
    <w:nsid w:val="519E3149"/>
    <w:multiLevelType w:val="hybridMultilevel"/>
    <w:lvl w:ilvl="0">
      <w:lvlJc w:val="left"/>
      <w:lvlText w:val="(%1)"/>
      <w:numFmt w:val="lowerLetter"/>
      <w:start w:val="10"/>
    </w:lvl>
  </w:abstractNum>
  <w:abstractNum w:abstractNumId="92">
    <w:nsid w:val="2C6E4AFD"/>
    <w:multiLevelType w:val="hybridMultilevel"/>
    <w:lvl w:ilvl="0">
      <w:lvlJc w:val="left"/>
      <w:lvlText w:val="%1."/>
      <w:numFmt w:val="decimal"/>
      <w:start w:val="2"/>
    </w:lvl>
  </w:abstractNum>
  <w:abstractNum w:abstractNumId="93">
    <w:nsid w:val="17A1B582"/>
    <w:multiLevelType w:val="hybridMultilevel"/>
    <w:lvl w:ilvl="0">
      <w:lvlJc w:val="left"/>
      <w:lvlText w:val="(%1)"/>
      <w:numFmt w:val="lowerLetter"/>
      <w:start w:val="12"/>
    </w:lvl>
  </w:abstractNum>
  <w:abstractNum w:abstractNumId="94">
    <w:nsid w:val="4DF72E4E"/>
    <w:multiLevelType w:val="hybridMultilevel"/>
    <w:lvl w:ilvl="0">
      <w:lvlJc w:val="left"/>
      <w:lvlText w:val="(%1)"/>
      <w:numFmt w:val="lowerLetter"/>
      <w:start w:val="14"/>
    </w:lvl>
  </w:abstractNum>
  <w:abstractNum w:abstractNumId="95">
    <w:nsid w:val="5046B5A9"/>
    <w:multiLevelType w:val="hybridMultilevel"/>
    <w:lvl w:ilvl="0">
      <w:lvlJc w:val="left"/>
      <w:lvlText w:val="%1."/>
      <w:numFmt w:val="decimal"/>
      <w:start w:val="2"/>
    </w:lvl>
  </w:abstractNum>
  <w:abstractNum w:abstractNumId="96">
    <w:nsid w:val="5D888A08"/>
    <w:multiLevelType w:val="hybridMultilevel"/>
    <w:lvl w:ilvl="0">
      <w:lvlJc w:val="left"/>
      <w:lvlText w:val="(%1)"/>
      <w:numFmt w:val="lowerLetter"/>
      <w:start w:val="15"/>
    </w:lvl>
  </w:abstractNum>
  <w:abstractNum w:abstractNumId="97">
    <w:nsid w:val="2A082C70"/>
    <w:multiLevelType w:val="hybridMultilevel"/>
    <w:lvl w:ilvl="0">
      <w:lvlJc w:val="left"/>
      <w:lvlText w:val="%1."/>
      <w:numFmt w:val="decimal"/>
      <w:start w:val="2"/>
    </w:lvl>
  </w:abstractNum>
  <w:abstractNum w:abstractNumId="98">
    <w:nsid w:val="5EC6AFD4"/>
    <w:multiLevelType w:val="hybridMultilevel"/>
    <w:lvl w:ilvl="0">
      <w:lvlJc w:val="left"/>
      <w:lvlText w:val="(%1)"/>
      <w:numFmt w:val="lowerLetter"/>
      <w:start w:val="16"/>
    </w:lvl>
  </w:abstractNum>
  <w:abstractNum w:abstractNumId="99">
    <w:nsid w:val="19E21BB2"/>
    <w:multiLevelType w:val="hybridMultilevel"/>
    <w:lvl w:ilvl="0">
      <w:lvlJc w:val="left"/>
      <w:lvlText w:val="%1."/>
      <w:numFmt w:val="decimal"/>
      <w:start w:val="2"/>
    </w:lvl>
  </w:abstractNum>
  <w:abstractNum w:abstractNumId="100">
    <w:nsid w:val="75E0858A"/>
    <w:multiLevelType w:val="hybridMultilevel"/>
    <w:lvl w:ilvl="0">
      <w:lvlJc w:val="left"/>
      <w:lvlText w:val="(%1)"/>
      <w:numFmt w:val="lowerLetter"/>
      <w:start w:val="18"/>
    </w:lvl>
  </w:abstractNum>
  <w:abstractNum w:abstractNumId="101">
    <w:nsid w:val="57A61A29"/>
    <w:multiLevelType w:val="hybridMultilevel"/>
    <w:lvl w:ilvl="0">
      <w:lvlJc w:val="left"/>
      <w:lvlText w:val="%1."/>
      <w:numFmt w:val="decimal"/>
      <w:start w:val="2"/>
    </w:lvl>
  </w:abstractNum>
  <w:abstractNum w:abstractNumId="102">
    <w:nsid w:val="5399C654"/>
    <w:multiLevelType w:val="hybridMultilevel"/>
    <w:lvl w:ilvl="0">
      <w:lvlJc w:val="left"/>
      <w:lvlText w:val="(%1)"/>
      <w:numFmt w:val="lowerLetter"/>
      <w:start w:val="18"/>
    </w:lvl>
  </w:abstractNum>
  <w:abstractNum w:abstractNumId="103">
    <w:nsid w:val="20EE1348"/>
    <w:multiLevelType w:val="hybridMultilevel"/>
    <w:lvl w:ilvl="0">
      <w:lvlJc w:val="left"/>
      <w:lvlText w:val="%1."/>
      <w:numFmt w:val="decimal"/>
      <w:start w:val="2"/>
    </w:lvl>
  </w:abstractNum>
  <w:abstractNum w:abstractNumId="104">
    <w:nsid w:val="4427069A"/>
    <w:multiLevelType w:val="hybridMultilevel"/>
    <w:lvl w:ilvl="0">
      <w:lvlJc w:val="left"/>
      <w:lvlText w:val="(%1)"/>
      <w:numFmt w:val="lowerLetter"/>
      <w:start w:val="18"/>
    </w:lvl>
  </w:abstractNum>
  <w:abstractNum w:abstractNumId="105">
    <w:nsid w:val="B37E80A"/>
    <w:multiLevelType w:val="hybridMultilevel"/>
    <w:lvl w:ilvl="0">
      <w:lvlJc w:val="left"/>
      <w:lvlText w:val="%1."/>
      <w:numFmt w:val="decimal"/>
      <w:start w:val="2"/>
    </w:lvl>
  </w:abstractNum>
  <w:abstractNum w:abstractNumId="106">
    <w:nsid w:val="2157F6BC"/>
    <w:multiLevelType w:val="hybridMultilevel"/>
    <w:lvl w:ilvl="0">
      <w:lvlJc w:val="left"/>
      <w:lvlText w:val="(%1)"/>
      <w:numFmt w:val="lowerLetter"/>
      <w:start w:val="21"/>
    </w:lvl>
  </w:abstractNum>
  <w:abstractNum w:abstractNumId="107">
    <w:nsid w:val="704E1DD5"/>
    <w:multiLevelType w:val="hybridMultilevel"/>
    <w:lvl w:ilvl="0">
      <w:lvlJc w:val="left"/>
      <w:lvlText w:val="%1."/>
      <w:numFmt w:val="decimal"/>
      <w:start w:val="2"/>
    </w:lvl>
  </w:abstractNum>
  <w:abstractNum w:abstractNumId="108">
    <w:nsid w:val="57D2F10E"/>
    <w:multiLevelType w:val="hybridMultilevel"/>
    <w:lvl w:ilvl="0">
      <w:lvlJc w:val="left"/>
      <w:lvlText w:val="(%1)"/>
      <w:numFmt w:val="lowerLetter"/>
      <w:start w:val="25"/>
    </w:lvl>
  </w:abstractNum>
  <w:abstractNum w:abstractNumId="109">
    <w:nsid w:val="BFFAE18"/>
    <w:multiLevelType w:val="hybridMultilevel"/>
    <w:lvl w:ilvl="0">
      <w:lvlJc w:val="left"/>
      <w:lvlText w:val="(%1)"/>
      <w:numFmt w:val="lowerLetter"/>
      <w:start w:val="27"/>
    </w:lvl>
  </w:abstractNum>
  <w:abstractNum w:abstractNumId="110">
    <w:nsid w:val="E3E47A8"/>
    <w:multiLevelType w:val="hybridMultilevel"/>
    <w:lvl w:ilvl="0">
      <w:lvlJc w:val="left"/>
      <w:lvlText w:val="%1."/>
      <w:numFmt w:val="decimal"/>
      <w:start w:val="2"/>
    </w:lvl>
  </w:abstractNum>
  <w:abstractNum w:abstractNumId="111">
    <w:nsid w:val="2E48F044"/>
    <w:multiLevelType w:val="hybridMultilevel"/>
    <w:lvl w:ilvl="0">
      <w:lvlJc w:val="left"/>
      <w:lvlText w:val="%1."/>
      <w:numFmt w:val="decimal"/>
      <w:start w:val="2"/>
    </w:lvl>
  </w:abstractNum>
  <w:abstractNum w:abstractNumId="112">
    <w:nsid w:val="49D0FEAC"/>
    <w:multiLevelType w:val="hybridMultilevel"/>
    <w:lvl w:ilvl="0">
      <w:lvlJc w:val="left"/>
      <w:lvlText w:val="%1."/>
      <w:numFmt w:val="decimal"/>
      <w:start w:val="2"/>
    </w:lvl>
  </w:abstractNum>
  <w:abstractNum w:abstractNumId="113">
    <w:nsid w:val="4BEE5A5B"/>
    <w:multiLevelType w:val="hybridMultilevel"/>
    <w:lvl w:ilvl="0">
      <w:lvlJc w:val="left"/>
      <w:lvlText w:val="%1."/>
      <w:numFmt w:val="decimal"/>
      <w:start w:val="2"/>
    </w:lvl>
  </w:abstractNum>
  <w:abstractNum w:abstractNumId="114">
    <w:nsid w:val="5551B9F3"/>
    <w:multiLevelType w:val="hybridMultilevel"/>
    <w:lvl w:ilvl="0">
      <w:lvlJc w:val="left"/>
      <w:lvlText w:val="%1."/>
      <w:numFmt w:val="decimal"/>
      <w:start w:val="2"/>
    </w:lvl>
  </w:abstractNum>
  <w:abstractNum w:abstractNumId="115">
    <w:nsid w:val="24F6AB8E"/>
    <w:multiLevelType w:val="hybridMultilevel"/>
    <w:lvl w:ilvl="0">
      <w:lvlJc w:val="left"/>
      <w:lvlText w:val="%1."/>
      <w:numFmt w:val="decimal"/>
      <w:start w:val="3"/>
    </w:lvl>
  </w:abstractNum>
  <w:abstractNum w:abstractNumId="116">
    <w:nsid w:val="634C574C"/>
    <w:multiLevelType w:val="hybridMultilevel"/>
    <w:lvl w:ilvl="0">
      <w:lvlJc w:val="left"/>
      <w:lvlText w:val="(%1)"/>
      <w:numFmt w:val="lowerLetter"/>
      <w:start w:val="1"/>
    </w:lvl>
  </w:abstractNum>
  <w:abstractNum w:abstractNumId="117">
    <w:nsid w:val="24E99DD7"/>
    <w:multiLevelType w:val="hybridMultilevel"/>
    <w:lvl w:ilvl="0">
      <w:lvlJc w:val="left"/>
      <w:lvlText w:val="%1."/>
      <w:numFmt w:val="decimal"/>
      <w:start w:val="3"/>
    </w:lvl>
  </w:abstractNum>
  <w:abstractNum w:abstractNumId="118">
    <w:nsid w:val="2A31B62D"/>
    <w:multiLevelType w:val="hybridMultilevel"/>
    <w:lvl w:ilvl="0">
      <w:lvlJc w:val="left"/>
      <w:lvlText w:val="(%1)"/>
      <w:numFmt w:val="lowerLetter"/>
      <w:start w:val="2"/>
    </w:lvl>
  </w:abstractNum>
  <w:abstractNum w:abstractNumId="119">
    <w:nsid w:val="1849C29B"/>
    <w:multiLevelType w:val="hybridMultilevel"/>
    <w:lvl w:ilvl="0">
      <w:lvlJc w:val="left"/>
      <w:lvlText w:val="(%1)"/>
      <w:numFmt w:val="lowerLetter"/>
      <w:start w:val="3"/>
    </w:lvl>
  </w:abstractNum>
  <w:abstractNum w:abstractNumId="120">
    <w:nsid w:val="7DFF9D09"/>
    <w:multiLevelType w:val="hybridMultilevel"/>
    <w:lvl w:ilvl="0">
      <w:lvlJc w:val="left"/>
      <w:lvlText w:val="%1."/>
      <w:numFmt w:val="decimal"/>
      <w:start w:val="3"/>
    </w:lvl>
  </w:abstractNum>
  <w:abstractNum w:abstractNumId="121">
    <w:nsid w:val="754342"/>
    <w:multiLevelType w:val="hybridMultilevel"/>
    <w:lvl w:ilvl="0">
      <w:lvlJc w:val="left"/>
      <w:lvlText w:val="(%1)"/>
      <w:numFmt w:val="lowerLetter"/>
      <w:start w:val="3"/>
    </w:lvl>
  </w:abstractNum>
  <w:abstractNum w:abstractNumId="122">
    <w:nsid w:val="69E7F3E5"/>
    <w:multiLevelType w:val="hybridMultilevel"/>
    <w:lvl w:ilvl="0">
      <w:lvlJc w:val="left"/>
      <w:lvlText w:val="%1."/>
      <w:numFmt w:val="decimal"/>
      <w:start w:val="4"/>
    </w:lvl>
  </w:abstractNum>
  <w:abstractNum w:abstractNumId="123">
    <w:nsid w:val="2A6DE806"/>
    <w:multiLevelType w:val="hybridMultilevel"/>
    <w:lvl w:ilvl="0">
      <w:lvlJc w:val="left"/>
      <w:lvlText w:val="%1."/>
      <w:numFmt w:val="decimal"/>
      <w:start w:val="4"/>
    </w:lvl>
  </w:abstractNum>
  <w:abstractNum w:abstractNumId="124">
    <w:nsid w:val="1816F8C4"/>
    <w:multiLevelType w:val="hybridMultilevel"/>
    <w:lvl w:ilvl="0">
      <w:lvlJc w:val="left"/>
      <w:lvlText w:val="%1."/>
      <w:numFmt w:val="decimal"/>
      <w:start w:val="6"/>
    </w:lvl>
  </w:abstractNum>
  <w:abstractNum w:abstractNumId="125">
    <w:nsid w:val="37DF2233"/>
    <w:multiLevelType w:val="hybridMultilevel"/>
    <w:lvl w:ilvl="0">
      <w:lvlJc w:val="left"/>
      <w:lvlText w:val="%1."/>
      <w:numFmt w:val="decimal"/>
      <w:start w:val="7"/>
    </w:lvl>
  </w:abstractNum>
  <w:abstractNum w:abstractNumId="126">
    <w:nsid w:val="7AB49DAF"/>
    <w:multiLevelType w:val="hybridMultilevel"/>
    <w:lvl w:ilvl="0">
      <w:lvlJc w:val="left"/>
      <w:lvlText w:val="%1."/>
      <w:numFmt w:val="decimal"/>
      <w:start w:val="9"/>
    </w:lvl>
  </w:abstractNum>
  <w:abstractNum w:abstractNumId="127">
    <w:nsid w:val="759F82CD"/>
    <w:multiLevelType w:val="hybridMultilevel"/>
    <w:lvl w:ilvl="0">
      <w:lvlJc w:val="left"/>
      <w:lvlText w:val="(%1)"/>
      <w:numFmt w:val="lowerLetter"/>
      <w:start w:val="1"/>
    </w:lvl>
  </w:abstractNum>
  <w:abstractNum w:abstractNumId="128">
    <w:nsid w:val="61E74EA3"/>
    <w:multiLevelType w:val="hybridMultilevel"/>
    <w:lvl w:ilvl="0">
      <w:lvlJc w:val="left"/>
      <w:lvlText w:val="%1"/>
      <w:numFmt w:val="decimal"/>
      <w:start w:val="1"/>
    </w:lvl>
    <w:lvl w:ilvl="1">
      <w:lvlJc w:val="left"/>
      <w:lvlText w:val="(%2)"/>
      <w:numFmt w:val="lowerLetter"/>
      <w:start w:val="1"/>
    </w:lvl>
  </w:abstractNum>
  <w:abstractNum w:abstractNumId="129">
    <w:nsid w:val="597B4D84"/>
    <w:multiLevelType w:val="hybridMultilevel"/>
    <w:lvl w:ilvl="0">
      <w:lvlJc w:val="left"/>
      <w:lvlText w:val="%1."/>
      <w:numFmt w:val="decimal"/>
      <w:start w:val="12"/>
    </w:lvl>
    <w:lvl w:ilvl="1">
      <w:lvlJc w:val="left"/>
      <w:lvlText w:val="%2"/>
      <w:numFmt w:val="lowerLetter"/>
      <w:start w:val="1"/>
    </w:lvl>
  </w:abstractNum>
  <w:abstractNum w:abstractNumId="130">
    <w:nsid w:val="F819E7F"/>
    <w:multiLevelType w:val="hybridMultilevel"/>
    <w:lvl w:ilvl="0">
      <w:lvlJc w:val="left"/>
      <w:lvlText w:val="%1."/>
      <w:numFmt w:val="decimal"/>
      <w:start w:val="12"/>
    </w:lvl>
  </w:abstractNum>
  <w:abstractNum w:abstractNumId="131">
    <w:nsid w:val="57C7D42D"/>
    <w:multiLevelType w:val="hybridMultilevel"/>
    <w:lvl w:ilvl="0">
      <w:lvlJc w:val="left"/>
      <w:lvlText w:val="%1."/>
      <w:numFmt w:val="decimal"/>
      <w:start w:val="14"/>
    </w:lvl>
  </w:abstractNum>
  <w:abstractNum w:abstractNumId="132">
    <w:nsid w:val="312167AD"/>
    <w:multiLevelType w:val="hybridMultilevel"/>
    <w:lvl w:ilvl="0">
      <w:lvlJc w:val="left"/>
      <w:lvlText w:val="%1."/>
      <w:numFmt w:val="decimal"/>
      <w:start w:val="15"/>
    </w:lvl>
  </w:abstractNum>
  <w:abstractNum w:abstractNumId="133">
    <w:nsid w:val="631B64D4"/>
    <w:multiLevelType w:val="hybridMultilevel"/>
    <w:lvl w:ilvl="0">
      <w:lvlJc w:val="left"/>
      <w:lvlText w:val="%1."/>
      <w:numFmt w:val="decimal"/>
      <w:start w:val="15"/>
    </w:lvl>
  </w:abstractNum>
  <w:abstractNum w:abstractNumId="134">
    <w:nsid w:val="78B5E776"/>
    <w:multiLevelType w:val="hybridMultilevel"/>
    <w:lvl w:ilvl="0">
      <w:lvlJc w:val="left"/>
      <w:lvlText w:val="%1."/>
      <w:numFmt w:val="decimal"/>
      <w:start w:val="16"/>
    </w:lvl>
  </w:abstractNum>
  <w:abstractNum w:abstractNumId="135">
    <w:nsid w:val="75486E47"/>
    <w:multiLevelType w:val="hybridMultilevel"/>
    <w:lvl w:ilvl="0">
      <w:lvlJc w:val="left"/>
      <w:lvlText w:val="%1."/>
      <w:numFmt w:val="decimal"/>
      <w:start w:val="16"/>
    </w:lvl>
  </w:abstractNum>
  <w:abstractNum w:abstractNumId="136">
    <w:nsid w:val="6E534CDE"/>
    <w:multiLevelType w:val="hybridMultilevel"/>
    <w:lvl w:ilvl="0">
      <w:lvlJc w:val="left"/>
      <w:lvlText w:val="%1."/>
      <w:numFmt w:val="decimal"/>
      <w:start w:val="16"/>
    </w:lvl>
  </w:abstractNum>
  <w:abstractNum w:abstractNumId="137">
    <w:nsid w:val="1A0DDE32"/>
    <w:multiLevelType w:val="hybridMultilevel"/>
    <w:lvl w:ilvl="0">
      <w:lvlJc w:val="left"/>
      <w:lvlText w:val="%1."/>
      <w:numFmt w:val="decimal"/>
      <w:start w:val="16"/>
    </w:lvl>
  </w:abstractNum>
  <w:abstractNum w:abstractNumId="138">
    <w:nsid w:val="65968C1C"/>
    <w:multiLevelType w:val="hybridMultilevel"/>
    <w:lvl w:ilvl="0">
      <w:lvlJc w:val="left"/>
      <w:lvlText w:val="%1."/>
      <w:numFmt w:val="decimal"/>
      <w:start w:val="17"/>
    </w:lvl>
  </w:abstractNum>
  <w:abstractNum w:abstractNumId="139">
    <w:nsid w:val="46263DEC"/>
    <w:multiLevelType w:val="hybridMultilevel"/>
    <w:lvl w:ilvl="0">
      <w:lvlJc w:val="left"/>
      <w:lvlText w:val="(%1)"/>
      <w:numFmt w:val="decimal"/>
      <w:start w:val="1"/>
    </w:lvl>
  </w:abstractNum>
  <w:abstractNum w:abstractNumId="140">
    <w:nsid w:val="260D8C4A"/>
    <w:multiLevelType w:val="hybridMultilevel"/>
    <w:lvl w:ilvl="0">
      <w:lvlJc w:val="left"/>
      <w:lvlText w:val="(%1)"/>
      <w:numFmt w:val="decimal"/>
      <w:start w:val="2"/>
    </w:lvl>
  </w:abstractNum>
  <w:abstractNum w:abstractNumId="141">
    <w:nsid w:val="73D4D3C4"/>
    <w:multiLevelType w:val="hybridMultilevel"/>
    <w:lvl w:ilvl="0">
      <w:lvlJc w:val="left"/>
      <w:lvlText w:val="(%1)"/>
      <w:numFmt w:val="decimal"/>
      <w:start w:val="3"/>
    </w:lvl>
  </w:abstractNum>
  <w:abstractNum w:abstractNumId="142">
    <w:nsid w:val="746F2E30"/>
    <w:multiLevelType w:val="hybridMultilevel"/>
    <w:lvl w:ilvl="0">
      <w:lvlJc w:val="left"/>
      <w:lvlText w:val="%1."/>
      <w:numFmt w:val="decimal"/>
      <w:start w:val="18"/>
    </w:lvl>
  </w:abstractNum>
  <w:abstractNum w:abstractNumId="143">
    <w:nsid w:val="6FDE8AF6"/>
    <w:multiLevelType w:val="hybridMultilevel"/>
    <w:lvl w:ilvl="0">
      <w:lvlJc w:val="left"/>
      <w:lvlText w:val="%1."/>
      <w:numFmt w:val="decimal"/>
      <w:start w:val="18"/>
    </w:lvl>
  </w:abstractNum>
  <w:abstractNum w:abstractNumId="144">
    <w:nsid w:val="3FC32E20"/>
    <w:multiLevelType w:val="hybridMultilevel"/>
    <w:lvl w:ilvl="0">
      <w:lvlJc w:val="left"/>
      <w:lvlText w:val="%1."/>
      <w:numFmt w:val="decimal"/>
      <w:start w:val="18"/>
    </w:lvl>
    <w:lvl w:ilvl="1">
      <w:lvlJc w:val="left"/>
      <w:lvlText w:val="•"/>
      <w:numFmt w:val="bullet"/>
      <w:start w:val="1"/>
    </w:lvl>
  </w:abstractNum>
  <w:abstractNum w:abstractNumId="145">
    <w:nsid w:val="49C0E823"/>
    <w:multiLevelType w:val="hybridMultilevel"/>
    <w:lvl w:ilvl="0">
      <w:lvlJc w:val="left"/>
      <w:lvlText w:val="%1."/>
      <w:numFmt w:val="decimal"/>
      <w:start w:val="18"/>
    </w:lvl>
  </w:abstractNum>
  <w:abstractNum w:abstractNumId="146">
    <w:nsid w:val="14D53685"/>
    <w:multiLevelType w:val="hybridMultilevel"/>
    <w:lvl w:ilvl="0">
      <w:lvlJc w:val="left"/>
      <w:lvlText w:val="%1."/>
      <w:numFmt w:val="decimal"/>
      <w:start w:val="18"/>
    </w:lvl>
  </w:abstractNum>
  <w:abstractNum w:abstractNumId="147">
    <w:nsid w:val="230F856C"/>
    <w:multiLevelType w:val="hybridMultilevel"/>
    <w:lvl w:ilvl="0">
      <w:lvlJc w:val="left"/>
      <w:lvlText w:val="%1."/>
      <w:numFmt w:val="decimal"/>
      <w:start w:val="19"/>
    </w:lvl>
  </w:abstractNum>
  <w:abstractNum w:abstractNumId="148">
    <w:nsid w:val="6EAA85FB"/>
    <w:multiLevelType w:val="hybridMultilevel"/>
    <w:lvl w:ilvl="0">
      <w:lvlJc w:val="left"/>
      <w:lvlText w:val="%1."/>
      <w:numFmt w:val="decimal"/>
      <w:start w:val="20"/>
    </w:lvl>
  </w:abstractNum>
  <w:abstractNum w:abstractNumId="149">
    <w:nsid w:val="3F06ECB2"/>
    <w:multiLevelType w:val="hybridMultilevel"/>
    <w:lvl w:ilvl="0">
      <w:lvlJc w:val="left"/>
      <w:lvlText w:val="%1."/>
      <w:numFmt w:val="decimal"/>
      <w:start w:val="21"/>
    </w:lvl>
  </w:abstractNum>
  <w:abstractNum w:abstractNumId="150">
    <w:nsid w:val="3B594807"/>
    <w:multiLevelType w:val="hybridMultilevel"/>
    <w:lvl w:ilvl="0">
      <w:lvlJc w:val="left"/>
      <w:lvlText w:val="%1."/>
      <w:numFmt w:val="decimal"/>
      <w:start w:val="21"/>
    </w:lvl>
  </w:abstractNum>
  <w:abstractNum w:abstractNumId="151">
    <w:nsid w:val="6CAA2304"/>
    <w:multiLevelType w:val="hybridMultilevel"/>
    <w:lvl w:ilvl="0">
      <w:lvlJc w:val="left"/>
      <w:lvlText w:val="%1."/>
      <w:numFmt w:val="decimal"/>
      <w:start w:val="22"/>
    </w:lvl>
  </w:abstractNum>
  <w:abstractNum w:abstractNumId="152">
    <w:nsid w:val="3F7C2FF4"/>
    <w:multiLevelType w:val="hybridMultilevel"/>
    <w:lvl w:ilvl="0">
      <w:lvlJc w:val="left"/>
      <w:lvlText w:val="(%1)"/>
      <w:numFmt w:val="lowerLetter"/>
      <w:start w:val="1"/>
    </w:lvl>
  </w:abstractNum>
  <w:abstractNum w:abstractNumId="153">
    <w:nsid w:val="25413BEC"/>
    <w:multiLevelType w:val="hybridMultilevel"/>
    <w:lvl w:ilvl="0">
      <w:lvlJc w:val="left"/>
      <w:lvlText w:val="(%1)"/>
      <w:numFmt w:val="lowerLetter"/>
      <w:start w:val="2"/>
    </w:lvl>
  </w:abstractNum>
  <w:abstractNum w:abstractNumId="154">
    <w:nsid w:val="17180B0B"/>
    <w:multiLevelType w:val="hybridMultilevel"/>
    <w:lvl w:ilvl="0">
      <w:lvlJc w:val="left"/>
      <w:lvlText w:val="%1."/>
      <w:numFmt w:val="decimal"/>
      <w:start w:val="23"/>
    </w:lvl>
  </w:abstractNum>
  <w:abstractNum w:abstractNumId="155">
    <w:nsid w:val="579328B9"/>
    <w:multiLevelType w:val="hybridMultilevel"/>
    <w:lvl w:ilvl="0">
      <w:lvlJc w:val="left"/>
      <w:lvlText w:val="(%1)"/>
      <w:numFmt w:val="lowerLetter"/>
      <w:start w:val="3"/>
    </w:lvl>
  </w:abstractNum>
  <w:abstractNum w:abstractNumId="156">
    <w:nsid w:val="5D205E20"/>
    <w:multiLevelType w:val="hybridMultilevel"/>
    <w:lvl w:ilvl="0">
      <w:lvlJc w:val="left"/>
      <w:lvlText w:val="%1."/>
      <w:numFmt w:val="decimal"/>
      <w:start w:val="1"/>
    </w:lvl>
    <w:lvl w:ilvl="1">
      <w:lvlJc w:val="left"/>
      <w:lvlText w:val="(%2)"/>
      <w:numFmt w:val="lowerLetter"/>
      <w:start w:val="1"/>
    </w:lvl>
  </w:abstractNum>
  <w:abstractNum w:abstractNumId="157">
    <w:nsid w:val="11CCA8BA"/>
    <w:multiLevelType w:val="hybridMultilevel"/>
    <w:lvl w:ilvl="0">
      <w:lvlJc w:val="left"/>
      <w:lvlText w:val="%1."/>
      <w:numFmt w:val="decimal"/>
      <w:start w:val="1"/>
    </w:lvl>
    <w:lvl w:ilvl="1">
      <w:lvlJc w:val="left"/>
      <w:lvlText w:val="(%2)"/>
      <w:numFmt w:val="lowerLetter"/>
      <w:start w:val="1"/>
    </w:lvl>
  </w:abstractNum>
  <w:abstractNum w:abstractNumId="158">
    <w:nsid w:val="4D32AB86"/>
    <w:multiLevelType w:val="hybridMultilevel"/>
    <w:lvl w:ilvl="0">
      <w:lvlJc w:val="left"/>
      <w:lvlText w:val="(%1)"/>
      <w:numFmt w:val="decimal"/>
      <w:start w:val="1"/>
    </w:lvl>
  </w:abstractNum>
  <w:abstractNum w:abstractNumId="159">
    <w:nsid w:val="3F07ACC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17" Type="http://schemas.openxmlformats.org/officeDocument/2006/relationships/image" Target="media/image199.png"/><Relationship Id="rId229" Type="http://schemas.openxmlformats.org/officeDocument/2006/relationships/image" Target="media/image200.png"/><Relationship Id="rId230" Type="http://schemas.openxmlformats.org/officeDocument/2006/relationships/image" Target="media/image201.png"/><Relationship Id="rId231" Type="http://schemas.openxmlformats.org/officeDocument/2006/relationships/image" Target="media/image202.png"/><Relationship Id="rId232" Type="http://schemas.openxmlformats.org/officeDocument/2006/relationships/image" Target="media/image203.png"/><Relationship Id="rId233" Type="http://schemas.openxmlformats.org/officeDocument/2006/relationships/image" Target="media/image204.png"/><Relationship Id="rId234" Type="http://schemas.openxmlformats.org/officeDocument/2006/relationships/image" Target="media/image205.png"/><Relationship Id="rId235" Type="http://schemas.openxmlformats.org/officeDocument/2006/relationships/image" Target="media/image206.png"/><Relationship Id="rId236" Type="http://schemas.openxmlformats.org/officeDocument/2006/relationships/image" Target="media/image207.png"/><Relationship Id="rId237" Type="http://schemas.openxmlformats.org/officeDocument/2006/relationships/image" Target="media/image208.png"/><Relationship Id="rId238" Type="http://schemas.openxmlformats.org/officeDocument/2006/relationships/image" Target="media/image209.png"/><Relationship Id="rId239" Type="http://schemas.openxmlformats.org/officeDocument/2006/relationships/image" Target="media/image210.png"/><Relationship Id="rId240" Type="http://schemas.openxmlformats.org/officeDocument/2006/relationships/image" Target="media/image211.png"/><Relationship Id="rId241" Type="http://schemas.openxmlformats.org/officeDocument/2006/relationships/image" Target="media/image212.png"/><Relationship Id="rId242" Type="http://schemas.openxmlformats.org/officeDocument/2006/relationships/image" Target="media/image213.png"/><Relationship Id="rId243" Type="http://schemas.openxmlformats.org/officeDocument/2006/relationships/image" Target="media/image214.png"/><Relationship Id="rId244" Type="http://schemas.openxmlformats.org/officeDocument/2006/relationships/image" Target="media/image215.png"/><Relationship Id="rId245" Type="http://schemas.openxmlformats.org/officeDocument/2006/relationships/image" Target="media/image216.png"/><Relationship Id="rId246" Type="http://schemas.openxmlformats.org/officeDocument/2006/relationships/image" Target="media/image217.png"/><Relationship Id="rId247" Type="http://schemas.openxmlformats.org/officeDocument/2006/relationships/image" Target="media/image218.png"/><Relationship Id="rId248" Type="http://schemas.openxmlformats.org/officeDocument/2006/relationships/image" Target="media/image219.png"/><Relationship Id="rId249" Type="http://schemas.openxmlformats.org/officeDocument/2006/relationships/image" Target="media/image220.png"/><Relationship Id="rId250" Type="http://schemas.openxmlformats.org/officeDocument/2006/relationships/image" Target="media/image221.png"/><Relationship Id="rId251" Type="http://schemas.openxmlformats.org/officeDocument/2006/relationships/image" Target="media/image222.png"/><Relationship Id="rId252" Type="http://schemas.openxmlformats.org/officeDocument/2006/relationships/image" Target="media/image223.png"/><Relationship Id="rId253" Type="http://schemas.openxmlformats.org/officeDocument/2006/relationships/image" Target="media/image224.png"/><Relationship Id="rId254" Type="http://schemas.openxmlformats.org/officeDocument/2006/relationships/image" Target="media/image225.png"/><Relationship Id="rId255" Type="http://schemas.openxmlformats.org/officeDocument/2006/relationships/image" Target="media/image226.png"/><Relationship Id="rId256" Type="http://schemas.openxmlformats.org/officeDocument/2006/relationships/image" Target="media/image227.png"/><Relationship Id="rId257" Type="http://schemas.openxmlformats.org/officeDocument/2006/relationships/image" Target="media/image228.png"/><Relationship Id="rId258" Type="http://schemas.openxmlformats.org/officeDocument/2006/relationships/image" Target="media/image229.png"/><Relationship Id="rId259" Type="http://schemas.openxmlformats.org/officeDocument/2006/relationships/image" Target="media/image230.png"/><Relationship Id="rId260" Type="http://schemas.openxmlformats.org/officeDocument/2006/relationships/image" Target="media/image231.png"/><Relationship Id="rId261" Type="http://schemas.openxmlformats.org/officeDocument/2006/relationships/image" Target="media/image232.png"/><Relationship Id="rId262" Type="http://schemas.openxmlformats.org/officeDocument/2006/relationships/image" Target="media/image233.png"/><Relationship Id="rId263" Type="http://schemas.openxmlformats.org/officeDocument/2006/relationships/image" Target="media/image234.png"/><Relationship Id="rId264" Type="http://schemas.openxmlformats.org/officeDocument/2006/relationships/image" Target="media/image235.png"/><Relationship Id="rId265" Type="http://schemas.openxmlformats.org/officeDocument/2006/relationships/image" Target="media/image236.png"/><Relationship Id="rId266" Type="http://schemas.openxmlformats.org/officeDocument/2006/relationships/image" Target="media/image237.png"/><Relationship Id="rId267" Type="http://schemas.openxmlformats.org/officeDocument/2006/relationships/image" Target="media/image238.png"/><Relationship Id="rId268" Type="http://schemas.openxmlformats.org/officeDocument/2006/relationships/image" Target="media/image239.png"/><Relationship Id="rId269" Type="http://schemas.openxmlformats.org/officeDocument/2006/relationships/image" Target="media/image240.png"/><Relationship Id="rId270" Type="http://schemas.openxmlformats.org/officeDocument/2006/relationships/image" Target="media/image241.png"/><Relationship Id="rId271" Type="http://schemas.openxmlformats.org/officeDocument/2006/relationships/image" Target="media/image242.png"/><Relationship Id="rId272" Type="http://schemas.openxmlformats.org/officeDocument/2006/relationships/image" Target="media/image243.png"/><Relationship Id="rId273" Type="http://schemas.openxmlformats.org/officeDocument/2006/relationships/image" Target="media/image244.png"/><Relationship Id="rId274" Type="http://schemas.openxmlformats.org/officeDocument/2006/relationships/image" Target="media/image245.png"/><Relationship Id="rId275" Type="http://schemas.openxmlformats.org/officeDocument/2006/relationships/image" Target="media/image246.png"/><Relationship Id="rId276" Type="http://schemas.openxmlformats.org/officeDocument/2006/relationships/image" Target="media/image247.png"/><Relationship Id="rId277" Type="http://schemas.openxmlformats.org/officeDocument/2006/relationships/image" Target="media/image248.png"/><Relationship Id="rId278" Type="http://schemas.openxmlformats.org/officeDocument/2006/relationships/image" Target="media/image249.png"/><Relationship Id="rId279" Type="http://schemas.openxmlformats.org/officeDocument/2006/relationships/image" Target="media/image250.png"/><Relationship Id="rId280" Type="http://schemas.openxmlformats.org/officeDocument/2006/relationships/image" Target="media/image251.png"/><Relationship Id="rId281" Type="http://schemas.openxmlformats.org/officeDocument/2006/relationships/image" Target="media/image252.png"/><Relationship Id="rId282" Type="http://schemas.openxmlformats.org/officeDocument/2006/relationships/image" Target="media/image253.png"/><Relationship Id="rId283" Type="http://schemas.openxmlformats.org/officeDocument/2006/relationships/image" Target="media/image254.png"/><Relationship Id="rId284" Type="http://schemas.openxmlformats.org/officeDocument/2006/relationships/image" Target="media/image255.png"/><Relationship Id="rId285" Type="http://schemas.openxmlformats.org/officeDocument/2006/relationships/image" Target="media/image256.png"/><Relationship Id="rId286" Type="http://schemas.openxmlformats.org/officeDocument/2006/relationships/image" Target="media/image257.png"/><Relationship Id="rId287" Type="http://schemas.openxmlformats.org/officeDocument/2006/relationships/image" Target="media/image258.png"/><Relationship Id="rId288" Type="http://schemas.openxmlformats.org/officeDocument/2006/relationships/image" Target="media/image259.png"/><Relationship Id="rId289" Type="http://schemas.openxmlformats.org/officeDocument/2006/relationships/image" Target="media/image260.png"/><Relationship Id="rId290" Type="http://schemas.openxmlformats.org/officeDocument/2006/relationships/image" Target="media/image261.png"/><Relationship Id="rId291" Type="http://schemas.openxmlformats.org/officeDocument/2006/relationships/image" Target="media/image262.png"/><Relationship Id="rId292" Type="http://schemas.openxmlformats.org/officeDocument/2006/relationships/image" Target="media/image263.png"/><Relationship Id="rId293" Type="http://schemas.openxmlformats.org/officeDocument/2006/relationships/image" Target="media/image264.png"/><Relationship Id="rId294" Type="http://schemas.openxmlformats.org/officeDocument/2006/relationships/image" Target="media/image265.png"/><Relationship Id="rId295" Type="http://schemas.openxmlformats.org/officeDocument/2006/relationships/image" Target="media/image266.png"/><Relationship Id="rId296" Type="http://schemas.openxmlformats.org/officeDocument/2006/relationships/image" Target="media/image267.png"/><Relationship Id="rId297" Type="http://schemas.openxmlformats.org/officeDocument/2006/relationships/image" Target="media/image268.png"/><Relationship Id="rId298" Type="http://schemas.openxmlformats.org/officeDocument/2006/relationships/image" Target="media/image269.png"/><Relationship Id="rId299" Type="http://schemas.openxmlformats.org/officeDocument/2006/relationships/image" Target="media/image270.png"/><Relationship Id="rId300" Type="http://schemas.openxmlformats.org/officeDocument/2006/relationships/image" Target="media/image271.png"/><Relationship Id="rId301" Type="http://schemas.openxmlformats.org/officeDocument/2006/relationships/image" Target="media/image272.png"/><Relationship Id="rId302" Type="http://schemas.openxmlformats.org/officeDocument/2006/relationships/image" Target="media/image273.png"/><Relationship Id="rId303" Type="http://schemas.openxmlformats.org/officeDocument/2006/relationships/image" Target="media/image274.png"/><Relationship Id="rId304" Type="http://schemas.openxmlformats.org/officeDocument/2006/relationships/image" Target="media/image275.png"/><Relationship Id="rId305" Type="http://schemas.openxmlformats.org/officeDocument/2006/relationships/image" Target="media/image276.png"/><Relationship Id="rId306" Type="http://schemas.openxmlformats.org/officeDocument/2006/relationships/image" Target="media/image277.png"/><Relationship Id="rId307" Type="http://schemas.openxmlformats.org/officeDocument/2006/relationships/image" Target="media/image278.png"/><Relationship Id="rId308" Type="http://schemas.openxmlformats.org/officeDocument/2006/relationships/image" Target="media/image279.png"/><Relationship Id="rId309" Type="http://schemas.openxmlformats.org/officeDocument/2006/relationships/image" Target="media/image280.png"/><Relationship Id="rId310" Type="http://schemas.openxmlformats.org/officeDocument/2006/relationships/image" Target="media/image281.png"/><Relationship Id="rId311" Type="http://schemas.openxmlformats.org/officeDocument/2006/relationships/image" Target="media/image282.png"/><Relationship Id="rId312" Type="http://schemas.openxmlformats.org/officeDocument/2006/relationships/image" Target="media/image283.png"/><Relationship Id="rId313" Type="http://schemas.openxmlformats.org/officeDocument/2006/relationships/image" Target="media/image284.png"/><Relationship Id="rId314" Type="http://schemas.openxmlformats.org/officeDocument/2006/relationships/image" Target="media/image285.png"/><Relationship Id="rId315" Type="http://schemas.openxmlformats.org/officeDocument/2006/relationships/image" Target="media/image286.png"/><Relationship Id="rId316" Type="http://schemas.openxmlformats.org/officeDocument/2006/relationships/image" Target="media/image287.png"/><Relationship Id="rId317" Type="http://schemas.openxmlformats.org/officeDocument/2006/relationships/image" Target="media/image288.png"/><Relationship Id="rId318" Type="http://schemas.openxmlformats.org/officeDocument/2006/relationships/image" Target="media/image289.png"/><Relationship Id="rId319" Type="http://schemas.openxmlformats.org/officeDocument/2006/relationships/image" Target="media/image290.png"/><Relationship Id="rId320" Type="http://schemas.openxmlformats.org/officeDocument/2006/relationships/image" Target="media/image291.png"/><Relationship Id="rId321" Type="http://schemas.openxmlformats.org/officeDocument/2006/relationships/image" Target="media/image292.png"/><Relationship Id="rId322" Type="http://schemas.openxmlformats.org/officeDocument/2006/relationships/image" Target="media/image293.png"/><Relationship Id="rId323" Type="http://schemas.openxmlformats.org/officeDocument/2006/relationships/image" Target="media/image294.png"/><Relationship Id="rId324" Type="http://schemas.openxmlformats.org/officeDocument/2006/relationships/image" Target="media/image295.png"/><Relationship Id="rId325" Type="http://schemas.openxmlformats.org/officeDocument/2006/relationships/image" Target="media/image296.png"/><Relationship Id="rId326" Type="http://schemas.openxmlformats.org/officeDocument/2006/relationships/image" Target="media/image297.png"/><Relationship Id="rId327" Type="http://schemas.openxmlformats.org/officeDocument/2006/relationships/image" Target="media/image298.png"/><Relationship Id="rId328" Type="http://schemas.openxmlformats.org/officeDocument/2006/relationships/image" Target="media/image299.png"/><Relationship Id="rId329" Type="http://schemas.openxmlformats.org/officeDocument/2006/relationships/image" Target="media/image300.png"/><Relationship Id="rId330" Type="http://schemas.openxmlformats.org/officeDocument/2006/relationships/image" Target="media/image301.png"/><Relationship Id="rId331" Type="http://schemas.openxmlformats.org/officeDocument/2006/relationships/image" Target="media/image302.png"/><Relationship Id="rId332" Type="http://schemas.openxmlformats.org/officeDocument/2006/relationships/image" Target="media/image303.png"/><Relationship Id="rId333" Type="http://schemas.openxmlformats.org/officeDocument/2006/relationships/image" Target="media/image304.png"/><Relationship Id="rId334" Type="http://schemas.openxmlformats.org/officeDocument/2006/relationships/image" Target="media/image305.png"/><Relationship Id="rId335" Type="http://schemas.openxmlformats.org/officeDocument/2006/relationships/image" Target="media/image306.png"/><Relationship Id="rId336" Type="http://schemas.openxmlformats.org/officeDocument/2006/relationships/image" Target="media/image307.png"/><Relationship Id="rId337" Type="http://schemas.openxmlformats.org/officeDocument/2006/relationships/image" Target="media/image308.png"/><Relationship Id="rId338" Type="http://schemas.openxmlformats.org/officeDocument/2006/relationships/image" Target="media/image309.png"/><Relationship Id="rId339" Type="http://schemas.openxmlformats.org/officeDocument/2006/relationships/image" Target="media/image310.png"/><Relationship Id="rId340" Type="http://schemas.openxmlformats.org/officeDocument/2006/relationships/image" Target="media/image311.png"/><Relationship Id="rId341" Type="http://schemas.openxmlformats.org/officeDocument/2006/relationships/image" Target="media/image312.png"/><Relationship Id="rId342" Type="http://schemas.openxmlformats.org/officeDocument/2006/relationships/image" Target="media/image313.png"/><Relationship Id="rId343" Type="http://schemas.openxmlformats.org/officeDocument/2006/relationships/image" Target="media/image314.png"/><Relationship Id="rId344" Type="http://schemas.openxmlformats.org/officeDocument/2006/relationships/image" Target="media/image315.png"/><Relationship Id="rId345" Type="http://schemas.openxmlformats.org/officeDocument/2006/relationships/image" Target="media/image316.png"/><Relationship Id="rId346" Type="http://schemas.openxmlformats.org/officeDocument/2006/relationships/image" Target="media/image317.png"/><Relationship Id="rId347" Type="http://schemas.openxmlformats.org/officeDocument/2006/relationships/image" Target="media/image318.png"/><Relationship Id="rId348" Type="http://schemas.openxmlformats.org/officeDocument/2006/relationships/image" Target="media/image319.png"/><Relationship Id="rId349" Type="http://schemas.openxmlformats.org/officeDocument/2006/relationships/image" Target="media/image320.png"/><Relationship Id="rId350" Type="http://schemas.openxmlformats.org/officeDocument/2006/relationships/image" Target="media/image321.png"/><Relationship Id="rId351" Type="http://schemas.openxmlformats.org/officeDocument/2006/relationships/image" Target="media/image322.png"/><Relationship Id="rId352" Type="http://schemas.openxmlformats.org/officeDocument/2006/relationships/image" Target="media/image323.png"/><Relationship Id="rId353" Type="http://schemas.openxmlformats.org/officeDocument/2006/relationships/image" Target="media/image324.png"/><Relationship Id="rId354" Type="http://schemas.openxmlformats.org/officeDocument/2006/relationships/image" Target="media/image325.png"/><Relationship Id="rId355" Type="http://schemas.openxmlformats.org/officeDocument/2006/relationships/image" Target="media/image326.png"/><Relationship Id="rId356" Type="http://schemas.openxmlformats.org/officeDocument/2006/relationships/image" Target="media/image327.png"/><Relationship Id="rId357" Type="http://schemas.openxmlformats.org/officeDocument/2006/relationships/image" Target="media/image328.png"/><Relationship Id="rId358" Type="http://schemas.openxmlformats.org/officeDocument/2006/relationships/image" Target="media/image329.png"/><Relationship Id="rId359" Type="http://schemas.openxmlformats.org/officeDocument/2006/relationships/image" Target="media/image330.png"/><Relationship Id="rId360" Type="http://schemas.openxmlformats.org/officeDocument/2006/relationships/image" Target="media/image331.png"/><Relationship Id="rId361" Type="http://schemas.openxmlformats.org/officeDocument/2006/relationships/image" Target="media/image332.png"/><Relationship Id="rId362" Type="http://schemas.openxmlformats.org/officeDocument/2006/relationships/image" Target="media/image333.png"/><Relationship Id="rId363" Type="http://schemas.openxmlformats.org/officeDocument/2006/relationships/image" Target="media/image334.png"/><Relationship Id="rId364" Type="http://schemas.openxmlformats.org/officeDocument/2006/relationships/image" Target="media/image335.png"/><Relationship Id="rId365" Type="http://schemas.openxmlformats.org/officeDocument/2006/relationships/image" Target="media/image336.png"/><Relationship Id="rId206" Type="http://schemas.openxmlformats.org/officeDocument/2006/relationships/hyperlink" Target="http://www.sec.gov/Archives/edgar/data/1759783/000119312519280594/d515413dex32.htm" TargetMode="External"/><Relationship Id="rId207" Type="http://schemas.openxmlformats.org/officeDocument/2006/relationships/hyperlink" Target="http://www.sec.gov/Archives/edgar/data/1759783/000119312520113512/d882202dex43.htm" TargetMode="External"/><Relationship Id="rId208" Type="http://schemas.openxmlformats.org/officeDocument/2006/relationships/hyperlink" Target="http://www.sec.gov/Archives/edgar/data/1759783/000119312519280594/d515413dex42.htm" TargetMode="External"/><Relationship Id="rId209" Type="http://schemas.openxmlformats.org/officeDocument/2006/relationships/hyperlink" Target="http://www.sec.gov/Archives/edgar/data/1759783/000119312519280594/d515413dex44.htm" TargetMode="External"/><Relationship Id="rId210" Type="http://schemas.openxmlformats.org/officeDocument/2006/relationships/hyperlink" Target="http://www.sec.gov/Archives/edgar/data/1759783/000119312520112223/d863414dex25.htm" TargetMode="External"/><Relationship Id="rId211" Type="http://schemas.openxmlformats.org/officeDocument/2006/relationships/hyperlink" Target="http://www.sec.gov/Archives/edgar/data/1759783/000119312519280594/d515413dex101.htm" TargetMode="External"/><Relationship Id="rId212" Type="http://schemas.openxmlformats.org/officeDocument/2006/relationships/hyperlink" Target="http://www.sec.gov/Archives/edgar/data/1759783/000119312519280594/d515413dex102.htm" TargetMode="External"/><Relationship Id="rId213" Type="http://schemas.openxmlformats.org/officeDocument/2006/relationships/hyperlink" Target="http://www.sec.gov/Archives/edgar/data/1759783/000119312519280594/d515413dex103.htm" TargetMode="External"/><Relationship Id="rId214" Type="http://schemas.openxmlformats.org/officeDocument/2006/relationships/hyperlink" Target="http://www.sec.gov/Archives/edgar/data/1759783/000119312519280594/d515413dex104.htm" TargetMode="External"/><Relationship Id="rId215" Type="http://schemas.openxmlformats.org/officeDocument/2006/relationships/hyperlink" Target="http://www.sec.gov/Archives/edgar/data/0001759783/000119312521190578/d71703dex45.htm" TargetMode="External"/><Relationship Id="rId216" Type="http://schemas.openxmlformats.org/officeDocument/2006/relationships/hyperlink" Target="http://www.sec.gov/Archives/edgar/data/0001759783/000119312521190578/d71703dex46.htm" TargetMode="External"/><Relationship Id="rId218" Type="http://schemas.openxmlformats.org/officeDocument/2006/relationships/hyperlink" Target="http://www.sec.gov/Archives/edgar/data/1759783/000119312519280594/d515413dex109.htm" TargetMode="External"/><Relationship Id="rId219" Type="http://schemas.openxmlformats.org/officeDocument/2006/relationships/hyperlink" Target="http://www.sec.gov/Archives/edgar/data/1759783/000119312519280594/d515413dex1010.htm" TargetMode="External"/><Relationship Id="rId220" Type="http://schemas.openxmlformats.org/officeDocument/2006/relationships/hyperlink" Target="http://www.sec.gov/Archives/edgar/data/0001759783/000119312521190578/d71703dex49.htm" TargetMode="External"/><Relationship Id="rId221" Type="http://schemas.openxmlformats.org/officeDocument/2006/relationships/hyperlink" Target="http://www.sec.gov/Archives/edgar/data/1759783/000119312519280594/d515413dex1014.htm" TargetMode="External"/><Relationship Id="rId222" Type="http://schemas.openxmlformats.org/officeDocument/2006/relationships/hyperlink" Target="http://www.sec.gov/Archives/edgar/data/0001759783/000119312521190578/d71703dex411.htm" TargetMode="External"/><Relationship Id="rId223" Type="http://schemas.openxmlformats.org/officeDocument/2006/relationships/hyperlink" Target="http://www.sec.gov/Archives/edgar/data/1759783/000119312519280594/d515413dex1015.htm" TargetMode="External"/><Relationship Id="rId224" Type="http://schemas.openxmlformats.org/officeDocument/2006/relationships/hyperlink" Target="http://www.sec.gov/Archives/edgar/data/1759783/000119312519280594/d515413dex1016.htm" TargetMode="External"/><Relationship Id="rId225" Type="http://schemas.openxmlformats.org/officeDocument/2006/relationships/hyperlink" Target="http://www.sec.gov/Archives/edgar/data/1759783/000119312519280594/d515413dex1017.htm" TargetMode="External"/><Relationship Id="rId226" Type="http://schemas.openxmlformats.org/officeDocument/2006/relationships/hyperlink" Target="http://www.sec.gov/Archives/edgar/data/1759783/000119312519280594/d515413dex1018.htm" TargetMode="External"/><Relationship Id="rId227" Type="http://schemas.openxmlformats.org/officeDocument/2006/relationships/hyperlink" Target="http://www.sec.gov/Archives/edgar/data/0001759783/000119312521190578/d71703dex416.htm" TargetMode="External"/><Relationship Id="rId228" Type="http://schemas.openxmlformats.org/officeDocument/2006/relationships/hyperlink" Target="http://www.sec.gov/Archives/edgar/data/1759783/000119312519280594/d515413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2022-04-28T05:54:32Z</dcterms:created>
  <dcterms:modified xsi:type="dcterms:W3CDTF">2022-04-28T05:54:32Z</dcterms:modified>
</cp:coreProperties>
</file>