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307d20f.htm"/>
        <w:bookmarkStart w:id="1" w:name="ksd39307d20f"/>
        <w:bookmarkEnd w:id="0"/>
        <w:bookmarkEnd w:id="1"/>
        <w:r>
          <w:rPr>
            <w:rStyle w:val="InternetLink"/>
            <w:b/>
            <w:sz w:val="20"/>
          </w:rPr>
          <w:t>Table of Contents</w:t>
        </w:r>
      </w:hyperlink>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TextBody"/>
        <w:bidi w:val="0"/>
        <w:spacing w:before="8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bidi w:val="0"/>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20-F</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REGISTRATION STATEMENT PURSUANT TO SECTION 12(b) OR (g) OF THE SECURITIES EXCHANGE ACT OF 1934 </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OR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For the fiscal year ended December 31, 2025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OR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to</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OR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pacing w:val="0"/>
                <w:sz w:val="24"/>
              </w:rPr>
            </w:pPr>
            <w:r>
              <w:rPr>
                <w:rFonts w:ascii="Times New Roman" w:hAnsi="Times New Roman"/>
                <w:b/>
                <w:spacing w:val="0"/>
                <w:sz w:val="24"/>
              </w:rPr>
              <w:t xml:space="preserve">SHELL COMPANY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Date of event requiring this shell company report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001-39151</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48"/>
        </w:rPr>
      </w:pPr>
      <w:r>
        <w:rPr>
          <w:rFonts w:ascii="Times New Roman" w:hAnsi="Times New Roman"/>
          <w:b/>
          <w:spacing w:val="0"/>
          <w:sz w:val="48"/>
        </w:rPr>
        <w:t xml:space="preserve">EHang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N/A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Cayman Islands </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(Jurisdiction of incorporation or organization)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EHang Future City (Group Headquarters)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 118 Dongjiang Avenue, Huangpu District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Guangzhou, 510730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People’s Republic of China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(Address of principal executive offices)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Conor Chia-hung Yang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Chief Financial Officer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Telephone: +86 20 2902 8899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EHang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EHang Future City (Group Headquarters)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 118 Dongjiang Avenue, Huangpu District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Guangzhou, 510730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(Name, Telephone,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E-mail</w:t>
      </w:r>
    </w:p>
    <w:p>
      <w:pPr>
        <w:pStyle w:val="TextBody"/>
        <w:bidi w:val="0"/>
        <w:spacing w:before="0" w:after="0"/>
        <w:jc w:val="center"/>
        <w:rPr>
          <w:rFonts w:ascii="Times New Roman" w:hAnsi="Times New Roman"/>
          <w:b/>
          <w:sz w:val="16"/>
        </w:rPr>
      </w:pPr>
      <w:r>
        <w:rPr>
          <w:rFonts w:ascii="Times New Roman" w:hAnsi="Times New Roman"/>
          <w:b/>
          <w:sz w:val="16"/>
        </w:rPr>
        <w:t xml:space="preserve">and/or Facsimile number and Address of Company Contact Person)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Securities registered or to be registered pursuant to Section 12(b) of the Act: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42"/>
        <w:gridCol w:w="60"/>
        <w:gridCol w:w="711"/>
        <w:gridCol w:w="60"/>
        <w:gridCol w:w="2132"/>
      </w:tblGrid>
      <w:tr>
        <w:trPr/>
        <w:tc>
          <w:tcPr>
            <w:tcW w:w="72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724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1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7242" w:type="dxa"/>
            <w:tcBorders/>
            <w:vAlign w:val="center"/>
          </w:tcPr>
          <w:p>
            <w:pPr>
              <w:pStyle w:val="TableContents"/>
              <w:bidi w:val="0"/>
              <w:spacing w:before="0" w:after="0"/>
              <w:jc w:val="center"/>
              <w:rPr>
                <w:b/>
                <w:spacing w:val="0"/>
              </w:rPr>
            </w:pPr>
            <w:r>
              <w:rPr>
                <w:b/>
                <w:spacing w:val="0"/>
              </w:rPr>
              <w:t>American depositary shares, each representing two Class A ordinary shares, par value US$0.0001 per share</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0"/>
              <w:jc w:val="center"/>
              <w:rPr>
                <w:b/>
                <w:spacing w:val="0"/>
              </w:rPr>
            </w:pPr>
            <w:r>
              <w:rPr>
                <w:b/>
                <w:spacing w:val="0"/>
              </w:rPr>
              <w:t>EH</w:t>
            </w:r>
          </w:p>
        </w:tc>
        <w:tc>
          <w:tcPr>
            <w:tcW w:w="60" w:type="dxa"/>
            <w:tcBorders/>
            <w:vAlign w:val="center"/>
          </w:tcPr>
          <w:p>
            <w:pPr>
              <w:pStyle w:val="TableContents"/>
              <w:bidi w:val="0"/>
              <w:spacing w:before="0" w:after="283"/>
              <w:jc w:val="left"/>
              <w:rPr/>
            </w:pPr>
            <w:r>
              <w:rPr/>
              <w:t> </w:t>
            </w:r>
          </w:p>
        </w:tc>
        <w:tc>
          <w:tcPr>
            <w:tcW w:w="2132" w:type="dxa"/>
            <w:tcBorders/>
            <w:vAlign w:val="center"/>
          </w:tcPr>
          <w:p>
            <w:pPr>
              <w:pStyle w:val="TableContents"/>
              <w:bidi w:val="0"/>
              <w:spacing w:before="0" w:after="0"/>
              <w:jc w:val="center"/>
              <w:rPr>
                <w:b/>
                <w:spacing w:val="0"/>
              </w:rPr>
            </w:pPr>
            <w:r>
              <w:rPr>
                <w:b/>
                <w:spacing w:val="0"/>
              </w:rPr>
              <w:t>The Nasdaq Global Market</w:t>
            </w:r>
          </w:p>
        </w:tc>
      </w:tr>
      <w:tr>
        <w:trPr/>
        <w:tc>
          <w:tcPr>
            <w:tcW w:w="7242" w:type="dxa"/>
            <w:tcBorders/>
            <w:vAlign w:val="center"/>
          </w:tcPr>
          <w:p>
            <w:pPr>
              <w:pStyle w:val="TableContents"/>
              <w:bidi w:val="0"/>
              <w:spacing w:before="0" w:after="0"/>
              <w:jc w:val="center"/>
              <w:rPr>
                <w:b/>
                <w:spacing w:val="0"/>
              </w:rPr>
            </w:pPr>
            <w:r>
              <w:rPr>
                <w:b/>
                <w:spacing w:val="0"/>
              </w:rPr>
              <w:t>Class A ordinary shares, par value US$0.0001 per share*</w:t>
            </w:r>
          </w:p>
        </w:tc>
        <w:tc>
          <w:tcPr>
            <w:tcW w:w="60"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32" w:type="dxa"/>
            <w:tcBorders/>
            <w:vAlign w:val="center"/>
          </w:tcPr>
          <w:p>
            <w:pPr>
              <w:pStyle w:val="TableContents"/>
              <w:bidi w:val="0"/>
              <w:spacing w:before="0" w:after="0"/>
              <w:jc w:val="center"/>
              <w:rPr>
                <w:b/>
                <w:spacing w:val="0"/>
              </w:rPr>
            </w:pPr>
            <w:r>
              <w:rPr>
                <w:b/>
                <w:spacing w:val="0"/>
              </w:rPr>
              <w:t>The Nasdaq Global Market*</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Not for trading, but only in connection with the listing on the Nasdaq Global Market of American depository shares, each representing two Class A ordinary shares </w:t>
            </w:r>
          </w:p>
        </w:tc>
      </w:tr>
    </w:tbl>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Securities registered or to be registered pursuant to Section 12(g) of the Act: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None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(Title of Class)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Securities for which there is a reporting obligation pursuant to Section 15(d) of the Act: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None </w:t>
      </w:r>
    </w:p>
    <w:p>
      <w:pPr>
        <w:pStyle w:val="TextBody"/>
        <w:bidi w:val="0"/>
        <w:spacing w:before="0" w:after="0"/>
        <w:jc w:val="center"/>
        <w:rPr>
          <w:rFonts w:ascii="Times New Roman" w:hAnsi="Times New Roman"/>
          <w:b/>
          <w:spacing w:val="0"/>
          <w:sz w:val="16"/>
        </w:rPr>
      </w:pPr>
      <w:r>
        <w:rPr>
          <w:rFonts w:ascii="Times New Roman" w:hAnsi="Times New Roman"/>
          <w:b/>
          <w:spacing w:val="0"/>
          <w:sz w:val="16"/>
        </w:rPr>
        <w:t xml:space="preserve">(Title of Class) </w:t>
      </w:r>
    </w:p>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pPr>
      <w:r>
        <w:rPr/>
        <w: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the number of outstanding shares of each of the issuer’s classes of capital or common stock as of the close of the period covered by the annual report.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December 31, 2025, there were 150,242,174 ordinary shares outstanding, comprised of (i) 111,215,614 Class A ordinary shares (excluding Class A ordinary shares issued to the depositary bank for bulk issuance of ADSs reserved for future issuances upon the exercise or vesting of awards granted under our share incentive plans and treasury shares), par value of US$0.0001 per share, and (ii) 39,026,560 Class B ordinary shares outstanding, par value of US$0.0001 per share.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this report is an annual or transition report, indicate by check mark if the registrant is not required to file reports pursuant to Section 13 or 15(d) of the Securities Exchange Act of 1934. Yes ☐ No ☒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Note – Checking the box above will not relieve any registrant required to file reports pursuant to Section 13 or 15(d) of the Securities Exchange Act of 1934 from their obligations under those Sections.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or an emerging growth company. See the definitions of “large accelerated filer,” “accelerated filer”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ind w:left="0" w:right="0" w:hanging="0"/>
              <w:jc w:val="left"/>
              <w:rPr/>
            </w:pPr>
            <w:r>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spacing w:val="0"/>
              </w:rPr>
            </w:pPr>
            <w:r>
              <w:rPr>
                <w:spacing w:val="0"/>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If an emerging growth company that prepares its financial statements in accordance with U.S. GAAP, indicate by check mark if the registrant has elected not to use the extended transition period for complying with any new or revised financial accounting standards</w:t>
      </w:r>
    </w:p>
    <w:p>
      <w:pPr>
        <w:pStyle w:val="TextBody"/>
        <w:bidi w:val="0"/>
        <w:spacing w:before="240" w:after="0"/>
        <w:jc w:val="left"/>
        <w:rPr>
          <w:spacing w:val="0"/>
        </w:rPr>
      </w:pPr>
      <w:r>
        <w:rPr>
          <w:spacing w:val="0"/>
        </w:rPr>
        <w:t>†</w:t>
      </w:r>
    </w:p>
    <w:p>
      <w:pPr>
        <w:pStyle w:val="TextBody"/>
        <w:bidi w:val="0"/>
        <w:spacing w:before="240" w:after="0"/>
        <w:jc w:val="left"/>
        <w:rPr>
          <w:rFonts w:ascii="Times New Roman" w:hAnsi="Times New Roman"/>
          <w:sz w:val="20"/>
        </w:rPr>
      </w:pPr>
      <w:r>
        <w:rPr>
          <w:rFonts w:ascii="Times New Roman" w:hAnsi="Times New Roman"/>
          <w:sz w:val="20"/>
        </w:rPr>
        <w:t xml:space="preserve">provided pursuant to Section 13(a) of the Exchange Act. ☐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which basis of accounting the registrant has used to prepare the financial statements included in this filing: </w:t>
      </w:r>
    </w:p>
    <w:p>
      <w:pPr>
        <w:pStyle w:val="TextBody"/>
        <w:bidi w:val="0"/>
        <w:spacing w:before="0" w:after="0"/>
        <w:jc w:val="left"/>
        <w:rPr>
          <w:spacing w:val="0"/>
        </w:rPr>
      </w:pPr>
      <w:r>
        <w:rPr>
          <w:spacing w:val="0"/>
        </w:rPr>
        <w:t> </w:t>
      </w:r>
    </w:p>
    <w:tbl>
      <w:tblPr>
        <w:tblW w:w="7981" w:type="dxa"/>
        <w:jc w:val="left"/>
        <w:tblInd w:w="0" w:type="dxa"/>
        <w:tblLayout w:type="fixed"/>
        <w:tblCellMar>
          <w:top w:w="0" w:type="dxa"/>
          <w:left w:w="0" w:type="dxa"/>
          <w:bottom w:w="0" w:type="dxa"/>
          <w:right w:w="0" w:type="dxa"/>
        </w:tblCellMar>
      </w:tblPr>
      <w:tblGrid>
        <w:gridCol w:w="1535"/>
        <w:gridCol w:w="60"/>
        <w:gridCol w:w="5525"/>
        <w:gridCol w:w="60"/>
        <w:gridCol w:w="23"/>
        <w:gridCol w:w="60"/>
        <w:gridCol w:w="23"/>
        <w:gridCol w:w="120"/>
        <w:gridCol w:w="575"/>
      </w:tblGrid>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U.S. GAAP ☒</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r>
              <w:rPr/>
              <w:t>International Financial Reporting Standards as Issued</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right"/>
              <w:rPr/>
            </w:pPr>
            <w:r>
              <w:rPr/>
              <w:t>Other</w:t>
            </w:r>
          </w:p>
          <w:p>
            <w:pPr>
              <w:pStyle w:val="TableContents"/>
              <w:bidi w:val="0"/>
              <w:spacing w:before="0" w:after="0"/>
              <w:jc w:val="right"/>
              <w:rPr>
                <w:spacing w:val="0"/>
              </w:rPr>
            </w:pPr>
            <w:r>
              <w:rPr>
                <w:spacing w:val="0"/>
              </w:rPr>
              <w:t> </w:t>
            </w:r>
          </w:p>
          <w:p>
            <w:pPr>
              <w:pStyle w:val="TableContents"/>
              <w:bidi w:val="0"/>
              <w:spacing w:before="0" w:after="0"/>
              <w:jc w:val="right"/>
              <w:rPr/>
            </w:pPr>
            <w:r>
              <w:rPr/>
              <w:t>☐</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283"/>
              <w:jc w:val="left"/>
              <w:rPr/>
            </w:pPr>
            <w:r>
              <w:rPr/>
              <w:t>  </w:t>
            </w:r>
            <w:r>
              <w:rPr/>
              <w:t>by the International Accounting Standards Board ☐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“Other” has been checked in response to the previous question, indicate by check mark which financial statement item the registrant has elected to follow. ☐ Item 17 ☐ Item 18 </w:t>
      </w:r>
    </w:p>
    <w:p>
      <w:pPr>
        <w:pStyle w:val="TextBody"/>
        <w:bidi w:val="0"/>
        <w:spacing w:before="240" w:after="0"/>
        <w:jc w:val="left"/>
        <w:rPr>
          <w:rFonts w:ascii="Times New Roman" w:hAnsi="Times New Roman"/>
          <w:sz w:val="20"/>
        </w:rPr>
      </w:pPr>
      <w:r>
        <w:rPr>
          <w:rFonts w:ascii="Times New Roman" w:hAnsi="Times New Roman"/>
          <w:sz w:val="20"/>
        </w:rPr>
        <w:t xml:space="preserve">If this is an annual report, 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(APPLICABLE ONLY TO ISSUERS INVOLVED IN BANKRUPTCY PROCEEDINGS DURING THE PAST FIVE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bidi w:val="0"/>
        <w:spacing w:before="0" w:after="0"/>
        <w:jc w:val="left"/>
        <w:rPr>
          <w:spacing w:val="0"/>
        </w:rPr>
      </w:pPr>
      <w:r>
        <w:rPr>
          <w:spacing w:val="0"/>
        </w:rPr>
        <w:t> </w:t>
      </w:r>
    </w:p>
    <w:p>
      <w:pPr>
        <w:pStyle w:val="TextBody"/>
        <w:bidi w:val="0"/>
        <w:spacing w:lineRule="atLeast" w:line="142" w:before="0" w:after="0"/>
        <w:jc w:val="left"/>
        <w:rPr/>
      </w:pPr>
      <w:r>
        <w:rPr/>
        <w:t> </w:t>
      </w:r>
    </w:p>
    <w:p>
      <w:pPr>
        <w:pStyle w:val="TextBody"/>
        <w:bidi w:val="0"/>
        <w:spacing w:lineRule="atLeast" w:line="142" w:before="0" w:after="40"/>
        <w:jc w:val="left"/>
        <w:rPr/>
      </w:pPr>
      <w:r>
        <w:rPr/>
        <w:t> </w:t>
      </w:r>
    </w:p>
    <w:p>
      <w:pPr>
        <w:pStyle w:val="TextBody"/>
        <w:bidi w:val="0"/>
        <w:jc w:val="left"/>
        <w:rPr/>
      </w:pPr>
      <w: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830"/>
        <w:gridCol w:w="60"/>
        <w:gridCol w:w="7340"/>
        <w:gridCol w:w="120"/>
        <w:gridCol w:w="70"/>
        <w:gridCol w:w="445"/>
        <w:gridCol w:w="75"/>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0"/>
              <w:jc w:val="left"/>
              <w:rPr/>
            </w:pPr>
            <w:hyperlink w:anchor="txa39307_1">
              <w:r>
                <w:rPr>
                  <w:rStyle w:val="InternetLink"/>
                  <w:rFonts w:ascii="Times New Roman" w:hAnsi="Times New Roman"/>
                  <w:sz w:val="20"/>
                </w:rPr>
                <w:t xml:space="preserve">INTRODUCTION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230" w:type="dxa"/>
            <w:gridSpan w:val="3"/>
            <w:tcBorders/>
            <w:vAlign w:val="center"/>
          </w:tcPr>
          <w:p>
            <w:pPr>
              <w:pStyle w:val="TableContents"/>
              <w:bidi w:val="0"/>
              <w:spacing w:before="0" w:after="0"/>
              <w:jc w:val="left"/>
              <w:rPr/>
            </w:pPr>
            <w:hyperlink w:anchor="txa39307_2">
              <w:r>
                <w:rPr>
                  <w:rStyle w:val="InternetLink"/>
                  <w:rFonts w:ascii="Times New Roman" w:hAnsi="Times New Roman"/>
                  <w:sz w:val="20"/>
                </w:rPr>
                <w:t xml:space="preserve">FORWARD-LOOKING INFORMATION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230" w:type="dxa"/>
            <w:gridSpan w:val="3"/>
            <w:tcBorders/>
            <w:vAlign w:val="center"/>
          </w:tcPr>
          <w:p>
            <w:pPr>
              <w:pStyle w:val="TableContents"/>
              <w:bidi w:val="0"/>
              <w:spacing w:before="0" w:after="0"/>
              <w:jc w:val="left"/>
              <w:rPr/>
            </w:pPr>
            <w:hyperlink w:anchor="txa39307_3">
              <w:r>
                <w:rPr>
                  <w:rStyle w:val="InternetLink"/>
                  <w:rFonts w:ascii="Times New Roman" w:hAnsi="Times New Roman"/>
                  <w:sz w:val="20"/>
                </w:rPr>
                <w:t xml:space="preserve">PART I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4">
              <w:r>
                <w:rPr>
                  <w:rStyle w:val="InternetLink"/>
                </w:rPr>
                <w:t>Identity of Directors, Senior Management and Advisers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5">
              <w:r>
                <w:rPr>
                  <w:rStyle w:val="InternetLink"/>
                </w:rPr>
                <w:t>Offer Statistics and Expected Timetable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6">
              <w:r>
                <w:rPr>
                  <w:rStyle w:val="InternetLink"/>
                </w:rPr>
                <w:t>Key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7">
              <w:r>
                <w:rPr>
                  <w:rStyle w:val="InternetLink"/>
                </w:rPr>
                <w:t>Information on the Company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62</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4A.</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8">
              <w:r>
                <w:rPr>
                  <w:rStyle w:val="InternetLink"/>
                </w:rPr>
                <w:t>Unresolved Staff Comments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9">
              <w:r>
                <w:rPr>
                  <w:rStyle w:val="InternetLink"/>
                </w:rPr>
                <w:t>Operating and Financial Review Prospects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105</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230" w:type="dxa"/>
            <w:gridSpan w:val="3"/>
            <w:tcBorders/>
            <w:vAlign w:val="center"/>
          </w:tcPr>
          <w:p>
            <w:pPr>
              <w:pStyle w:val="TableContents"/>
              <w:bidi w:val="0"/>
              <w:spacing w:before="0" w:after="0"/>
              <w:jc w:val="left"/>
              <w:rPr/>
            </w:pPr>
            <w:hyperlink w:anchor="txa39307_10">
              <w:r>
                <w:rPr>
                  <w:rStyle w:val="InternetLink"/>
                  <w:rFonts w:ascii="Times New Roman" w:hAnsi="Times New Roman"/>
                  <w:sz w:val="20"/>
                </w:rPr>
                <w:t xml:space="preserve">Taxation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107</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1">
              <w:r>
                <w:rPr>
                  <w:rStyle w:val="InternetLink"/>
                </w:rPr>
                <w:t>Directors, Senior Management and Employees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119</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7.</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2">
              <w:r>
                <w:rPr>
                  <w:rStyle w:val="InternetLink"/>
                </w:rPr>
                <w:t>Major Shareholders and Related Party Transaction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129</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8.</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3">
              <w:r>
                <w:rPr>
                  <w:rStyle w:val="InternetLink"/>
                </w:rPr>
                <w:t>Financial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131</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9.</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4">
              <w:r>
                <w:rPr>
                  <w:rStyle w:val="InternetLink"/>
                </w:rPr>
                <w:t>The Offer and Listing</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10.</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5">
              <w:r>
                <w:rPr>
                  <w:rStyle w:val="InternetLink"/>
                </w:rPr>
                <w:t>Additional Information</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133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11.</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6">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149</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12.</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7">
              <w:r>
                <w:rPr>
                  <w:rStyle w:val="InternetLink"/>
                </w:rPr>
                <w:t>Description of Securities Other than Equity Securities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149</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230" w:type="dxa"/>
            <w:gridSpan w:val="3"/>
            <w:tcBorders/>
            <w:vAlign w:val="center"/>
          </w:tcPr>
          <w:p>
            <w:pPr>
              <w:pStyle w:val="TableContents"/>
              <w:bidi w:val="0"/>
              <w:spacing w:before="0" w:after="0"/>
              <w:jc w:val="left"/>
              <w:rPr/>
            </w:pPr>
            <w:hyperlink w:anchor="txa39307_18">
              <w:r>
                <w:rPr>
                  <w:rStyle w:val="InternetLink"/>
                  <w:rFonts w:ascii="Times New Roman" w:hAnsi="Times New Roman"/>
                  <w:sz w:val="20"/>
                </w:rPr>
                <w:t xml:space="preserve">PART II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13.</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19">
              <w:r>
                <w:rPr>
                  <w:rStyle w:val="InternetLink"/>
                </w:rPr>
                <w:t>Defaults, Dividend Arrearages and Delinquencies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14.</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0">
              <w:r>
                <w:rPr>
                  <w:rStyle w:val="InternetLink"/>
                </w:rPr>
                <w:t>Material Modifications to the Rights of Security Holders and Use of Proceeds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15.</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1">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152</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16A.</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2">
              <w:r>
                <w:rPr>
                  <w:rStyle w:val="InternetLink"/>
                </w:rPr>
                <w:t>Audit Committee Financial Expert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16B.</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3">
              <w:r>
                <w:rPr>
                  <w:rStyle w:val="InternetLink"/>
                </w:rPr>
                <w:t>Code of Ethics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16C.</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4">
              <w:r>
                <w:rPr>
                  <w:rStyle w:val="InternetLink"/>
                </w:rPr>
                <w:t>Principal Accountant Fees and Services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16D.</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5">
              <w:r>
                <w:rPr>
                  <w:rStyle w:val="InternetLink"/>
                </w:rPr>
                <w:t>Exemptions from the Listing Standards for Audit Committees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153</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16E.</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6">
              <w:r>
                <w:rPr>
                  <w:rStyle w:val="InternetLink"/>
                </w:rPr>
                <w:t>Purchases of Equity Securities by the Issuer and Affiliated Purchasers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154</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16F.</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7">
              <w:r>
                <w:rPr>
                  <w:rStyle w:val="InternetLink"/>
                </w:rPr>
                <w:t>Change in Registrant’s Certifying Accountant</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154</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16G.</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8">
              <w:r>
                <w:rPr>
                  <w:rStyle w:val="InternetLink"/>
                </w:rPr>
                <w:t>Corporate Governance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154</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16H.</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29">
              <w:r>
                <w:rPr>
                  <w:rStyle w:val="InternetLink"/>
                </w:rPr>
                <w:t>Mine Safety Disclosure</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16I.</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30">
              <w:r>
                <w:rPr>
                  <w:rStyle w:val="InternetLink"/>
                </w:rPr>
                <w:t>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155</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16J.</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31">
              <w:r>
                <w:rPr>
                  <w:rStyle w:val="InternetLink"/>
                </w:rPr>
                <w:t>Insider Trading Policies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156</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16K.</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32">
              <w:r>
                <w:rPr>
                  <w:rStyle w:val="InternetLink"/>
                </w:rPr>
                <w:t>Cybersecurity</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156</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230" w:type="dxa"/>
            <w:gridSpan w:val="3"/>
            <w:tcBorders/>
            <w:vAlign w:val="center"/>
          </w:tcPr>
          <w:p>
            <w:pPr>
              <w:pStyle w:val="TableContents"/>
              <w:bidi w:val="0"/>
              <w:spacing w:before="0" w:after="0"/>
              <w:jc w:val="left"/>
              <w:rPr/>
            </w:pPr>
            <w:hyperlink w:anchor="txa39307_33">
              <w:r>
                <w:rPr>
                  <w:rStyle w:val="InternetLink"/>
                  <w:rFonts w:ascii="Times New Roman" w:hAnsi="Times New Roman"/>
                  <w:sz w:val="20"/>
                </w:rPr>
                <w:t xml:space="preserve">PART III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158</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17.</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34">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158</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18.</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35">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158</w:t>
            </w:r>
          </w:p>
        </w:tc>
        <w:tc>
          <w:tcPr>
            <w:tcW w:w="75" w:type="dxa"/>
            <w:tcBorders/>
            <w:vAlign w:val="center"/>
          </w:tcPr>
          <w:p>
            <w:pPr>
              <w:pStyle w:val="TableContents"/>
              <w:bidi w:val="0"/>
              <w:spacing w:before="0" w:after="283"/>
              <w:jc w:val="left"/>
              <w:rPr/>
            </w:pPr>
            <w:r>
              <w:rPr/>
              <w:t> </w:t>
            </w:r>
          </w:p>
        </w:tc>
      </w:tr>
      <w:tr>
        <w:trPr/>
        <w:tc>
          <w:tcPr>
            <w:tcW w:w="830" w:type="dxa"/>
            <w:tcBorders/>
            <w:vAlign w:val="center"/>
          </w:tcPr>
          <w:p>
            <w:pPr>
              <w:pStyle w:val="TableContents"/>
              <w:bidi w:val="0"/>
              <w:spacing w:before="0" w:after="283"/>
              <w:jc w:val="left"/>
              <w:rPr>
                <w:sz w:val="4"/>
                <w:szCs w:val="4"/>
              </w:rPr>
            </w:pPr>
            <w:r>
              <w:rPr>
                <w:sz w:val="4"/>
                <w:szCs w:val="4"/>
              </w:rPr>
            </w:r>
          </w:p>
        </w:tc>
        <w:tc>
          <w:tcPr>
            <w:tcW w:w="7400" w:type="dxa"/>
            <w:gridSpan w:val="2"/>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19.</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283"/>
              <w:jc w:val="left"/>
              <w:rPr/>
            </w:pPr>
            <w:hyperlink w:anchor="txa39307_36">
              <w:r>
                <w:rPr>
                  <w:rStyle w:val="InternetLink"/>
                </w:rPr>
                <w:t>Exhibits</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158</w:t>
            </w:r>
          </w:p>
        </w:tc>
        <w:tc>
          <w:tcPr>
            <w:tcW w:w="75" w:type="dxa"/>
            <w:tcBorders/>
            <w:vAlign w:val="center"/>
          </w:tcPr>
          <w:p>
            <w:pPr>
              <w:pStyle w:val="TableContents"/>
              <w:bidi w:val="0"/>
              <w:spacing w:before="0" w:after="283"/>
              <w:jc w:val="left"/>
              <w:rPr/>
            </w:pPr>
            <w:r>
              <w:rPr/>
              <w:t> </w:t>
            </w:r>
          </w:p>
        </w:tc>
      </w:tr>
      <w:tr>
        <w:trPr/>
        <w:tc>
          <w:tcPr>
            <w:tcW w:w="8230" w:type="dxa"/>
            <w:gridSpan w:val="3"/>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8230" w:type="dxa"/>
            <w:gridSpan w:val="3"/>
            <w:tcBorders/>
            <w:vAlign w:val="center"/>
          </w:tcPr>
          <w:p>
            <w:pPr>
              <w:pStyle w:val="TableContents"/>
              <w:bidi w:val="0"/>
              <w:spacing w:before="0" w:after="0"/>
              <w:jc w:val="left"/>
              <w:rPr/>
            </w:pPr>
            <w:hyperlink w:anchor="txa39307_37">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right"/>
              <w:rPr/>
            </w:pPr>
            <w:r>
              <w:rPr/>
              <w:t>162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a39307_1"/>
      <w:bookmarkEnd w:id="3"/>
      <w:r>
        <w:rPr>
          <w:rFonts w:ascii="Times New Roman" w:hAnsi="Times New Roman"/>
          <w:b/>
          <w:sz w:val="20"/>
        </w:rPr>
        <w:t xml:space="preserve">INTRODUCTION </w:t>
      </w:r>
    </w:p>
    <w:p>
      <w:pPr>
        <w:pStyle w:val="TextBody"/>
        <w:bidi w:val="0"/>
        <w:spacing w:before="240" w:after="0"/>
        <w:jc w:val="left"/>
        <w:rPr>
          <w:rFonts w:ascii="Times New Roman" w:hAnsi="Times New Roman"/>
          <w:b/>
          <w:sz w:val="20"/>
        </w:rPr>
      </w:pPr>
      <w:r>
        <w:rPr>
          <w:rFonts w:ascii="Times New Roman" w:hAnsi="Times New Roman"/>
          <w:b/>
          <w:sz w:val="20"/>
        </w:rPr>
        <w:t xml:space="preserve">Conventions Used in this Annual Report </w:t>
      </w:r>
    </w:p>
    <w:p>
      <w:pPr>
        <w:pStyle w:val="TextBody"/>
        <w:bidi w:val="0"/>
        <w:spacing w:before="120" w:after="0"/>
        <w:jc w:val="left"/>
        <w:rPr>
          <w:rFonts w:ascii="Times New Roman" w:hAnsi="Times New Roman"/>
          <w:sz w:val="20"/>
        </w:rPr>
      </w:pPr>
      <w:r>
        <w:rPr>
          <w:rFonts w:ascii="Times New Roman" w:hAnsi="Times New Roman"/>
          <w:sz w:val="20"/>
        </w:rPr>
        <w:t xml:space="preserve">In this annual report, unless otherwise indicated or the context otherwise requires: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pPr>
            <w:r>
              <w:rPr/>
              <w:t>“</w:t>
            </w:r>
            <w:r>
              <w:rPr>
                <w:rFonts w:ascii="Times New Roman" w:hAnsi="Times New Roman"/>
                <w:sz w:val="20"/>
              </w:rPr>
              <w:t xml:space="preserve">AAM” means advanced air mobility;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pPr>
            <w:r>
              <w:rPr/>
              <w:t>“</w:t>
            </w:r>
            <w:r>
              <w:rPr>
                <w:rFonts w:ascii="Times New Roman" w:hAnsi="Times New Roman"/>
                <w:sz w:val="20"/>
              </w:rPr>
              <w:t xml:space="preserve">ADSs” means American depositary shares, each of which represents two of our Class A ordinary shares;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pPr>
            <w:r>
              <w:rPr/>
              <w:t>“</w:t>
            </w:r>
            <w:r>
              <w:rPr>
                <w:rFonts w:ascii="Times New Roman" w:hAnsi="Times New Roman"/>
                <w:sz w:val="20"/>
              </w:rPr>
              <w:t xml:space="preserve">CAAC” means the Civil Aviation Administration of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China” and the “PRC” means the People’s Republic of China, and only in the context of describing the PRC laws, rules, regulations, regulatory authorities, and any PRC entities or citizens under such rules, laws and regulations and other legal or tax matters in this annual report, excludes Hong Kong, Macau and Taiwan;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w:t>
            </w:r>
            <w:r>
              <w:rPr>
                <w:rFonts w:ascii="Times New Roman" w:hAnsi="Times New Roman"/>
                <w:sz w:val="20"/>
              </w:rPr>
              <w:t xml:space="preserve">Class A ordinary shares” means class A ordinary shares, par value US$0.0001 per share, of EHang Holdings;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110"/>
        <w:gridCol w:w="60"/>
        <w:gridCol w:w="8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w:t>
            </w:r>
            <w:r>
              <w:rPr>
                <w:rFonts w:ascii="Times New Roman" w:hAnsi="Times New Roman"/>
                <w:sz w:val="20"/>
              </w:rPr>
              <w:t xml:space="preserve">Class B ordinary shares” means class B ordinary shares, par value US$0.0001 per share, of EHang Holdings;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Ehfly Technology” means Ehfly Technology Limited, a company incorporated in Hong Kong and a direct, wholly-owned subsidiary of EHang Holdings;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EHang,” “we,” “us,” “our company” and “our” means collectively EHang Holdings and its subsidiaries and only in the context of describing our consolidated financial information only, also includes the VIE and the VIE’s subsidiaries;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pPr>
            <w:r>
              <w:rPr/>
              <w:t>“</w:t>
            </w:r>
            <w:r>
              <w:rPr>
                <w:rFonts w:ascii="Times New Roman" w:hAnsi="Times New Roman"/>
                <w:sz w:val="20"/>
              </w:rPr>
              <w:t xml:space="preserve">EHang Holdings” means EHang Holdings Limited, an exempted company incorporated in the Cayman Islands;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pPr>
            <w:r>
              <w:rPr/>
              <w:t>“</w:t>
            </w:r>
            <w:r>
              <w:rPr>
                <w:rFonts w:ascii="Times New Roman" w:hAnsi="Times New Roman"/>
                <w:sz w:val="20"/>
              </w:rPr>
              <w:t xml:space="preserve">eVTOL” means electric vertical takeoff and landing; </w:t>
            </w:r>
          </w:p>
        </w:tc>
      </w:tr>
    </w:tbl>
    <w:p>
      <w:pPr>
        <w:pStyle w:val="TextBody"/>
        <w:bidi w:val="0"/>
        <w:spacing w:before="0" w:after="0"/>
        <w:jc w:val="left"/>
        <w:rPr/>
      </w:pPr>
      <w:r>
        <w:rPr/>
        <w:t> </w:t>
      </w:r>
    </w:p>
    <w:tbl>
      <w:tblPr>
        <w:tblW w:w="7195" w:type="dxa"/>
        <w:jc w:val="left"/>
        <w:tblInd w:w="0" w:type="dxa"/>
        <w:tblLayout w:type="fixed"/>
        <w:tblCellMar>
          <w:top w:w="0" w:type="dxa"/>
          <w:left w:w="0" w:type="dxa"/>
          <w:bottom w:w="0" w:type="dxa"/>
          <w:right w:w="0" w:type="dxa"/>
        </w:tblCellMar>
      </w:tblPr>
      <w:tblGrid>
        <w:gridCol w:w="75"/>
        <w:gridCol w:w="110"/>
        <w:gridCol w:w="60"/>
        <w:gridCol w:w="6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w:t>
            </w:r>
            <w:r>
              <w:rPr>
                <w:rFonts w:ascii="Times New Roman" w:hAnsi="Times New Roman"/>
                <w:sz w:val="20"/>
              </w:rPr>
              <w:t xml:space="preserve">PCAOB” means Public Company Accounting Oversight Board of the United States.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pPr>
            <w:r>
              <w:rPr/>
              <w:t>“</w:t>
            </w:r>
            <w:r>
              <w:rPr>
                <w:rFonts w:ascii="Times New Roman" w:hAnsi="Times New Roman"/>
                <w:sz w:val="20"/>
              </w:rPr>
              <w:t xml:space="preserve">RMB” and “Renminbi” means the legal currency of China;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110"/>
        <w:gridCol w:w="60"/>
        <w:gridCol w:w="8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pPr>
            <w:r>
              <w:rPr/>
              <w:t>“</w:t>
            </w:r>
            <w:r>
              <w:rPr>
                <w:rFonts w:ascii="Times New Roman" w:hAnsi="Times New Roman"/>
                <w:sz w:val="20"/>
              </w:rPr>
              <w:t xml:space="preserve">shares” and “ordinary shares” means the Class A ordinary shares and/or the Class B ordinary shares;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pPr>
            <w:r>
              <w:rPr/>
              <w:t>“</w:t>
            </w:r>
            <w:r>
              <w:rPr>
                <w:rFonts w:ascii="Times New Roman" w:hAnsi="Times New Roman"/>
                <w:sz w:val="20"/>
              </w:rPr>
              <w:t xml:space="preserve">UAM” means urban air mobility;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110"/>
        <w:gridCol w:w="6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jc w:val="left"/>
              <w:rPr/>
            </w:pPr>
            <w:r>
              <w:rPr/>
              <w:t>“</w:t>
            </w:r>
            <w:r>
              <w:rPr>
                <w:rFonts w:ascii="Times New Roman" w:hAnsi="Times New Roman"/>
                <w:sz w:val="20"/>
              </w:rPr>
              <w:t xml:space="preserve">UAVs” means unmanned aerial vehicles;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pPr>
            <w:r>
              <w:rPr/>
              <w:t>“</w:t>
            </w:r>
            <w:r>
              <w:rPr>
                <w:rFonts w:ascii="Times New Roman" w:hAnsi="Times New Roman"/>
                <w:sz w:val="20"/>
              </w:rPr>
              <w:t xml:space="preserve">US$,” “U.S. dollars,” “$,” and “dollars” means the legal currency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VIE” means Guangzhou EHang Intelligent Technology Co., Ltd., a company incorporated in the PRC that has entered into a series of contractual arrangement with our wholly-owned PRC subsidiary. Under these contractual arrangements, EHang Holdings has a “controlling financing interest” as defined in FASB ASC 810 such that it is considered the primary beneficiary for accounting purposes only and thus consolidates each of the VIE and the VIE’s subsidiaries under U.S. GAAP;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WFOE” means EHang Intelligent Equipment Co., Ltd., a company incorporated in the PRC and an indirect, wholly-owned subsidiary of EHang Holdings.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reporting currency is the Renminbi because our business is mainly conducted in China and substantially all of our revenues are denominated in Renminbi. This annual report contains translations of Renminbi amounts into U.S. dollars at specific rates solely for the convenience of the reader. The translations of Renminbi amounts into U.S. dollars in this annual report is based on the rate certified for customs purposes by the Federal Reserve Bank of New York. Unless otherwise noted, all translations from Renminbi amounts into U.S. dollars and from U.S. dollars to Renminbi amounts in this annual report were made at a rate of RMB6.9931 to US$1.00, the noon buying rate in effect as of December 31, 2025 set forth in the H.10 statistical release of the U.S. Federal Reserve Board. We make no representation that any Renminbi or U.S. dollar amounts could have been, or could be, converted into U.S. dollars or Renminbi, as the case may be, at any particular rate,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a39307_2"/>
      <w:bookmarkEnd w:id="4"/>
      <w:r>
        <w:rPr>
          <w:rFonts w:ascii="Times New Roman" w:hAnsi="Times New Roman"/>
          <w:b/>
          <w:sz w:val="20"/>
        </w:rPr>
        <w:t xml:space="preserve">FORWARD-LOOKING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Special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including those listed under “Item 3. Key Information—D. Risk Factors,” may cause our actual results, performance or achievements to be materially different from those expressed or implied by the forward-looking statements. These statements involve known and unknown risks, uncertainties and other factors that may cause our actual results, performance or achievements to be materially different from those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trends that we believe may affect our financial condition, results of operations, business strategies and financial needs. These forward-looking statements include, but are not limited to, statements about: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goals and strategies;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business development, financial condition and results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trends in and expected growth of the UAV, UAM, AAM and/or low-altitude economy industry in the PRC and globally;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 regarding the regulatory approvals and certifications for our products and services;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demand for and market acceptance of our products and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relationships with distributors, customers, component suppliers, strategic partners and other stakeholders;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fulfilment of conditional orders and pre-orders for our products;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our industry;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relevant government policies and regulations relating to our industry; and </w:t>
            </w:r>
          </w:p>
        </w:tc>
      </w:tr>
    </w:tbl>
    <w:p>
      <w:pPr>
        <w:pStyle w:val="TextBody"/>
        <w:bidi w:val="0"/>
        <w:spacing w:before="0" w:after="0"/>
        <w:jc w:val="left"/>
        <w:rPr/>
      </w:pPr>
      <w:r>
        <w:rPr/>
        <w:t> </w:t>
      </w:r>
    </w:p>
    <w:tbl>
      <w:tblPr>
        <w:tblW w:w="5035" w:type="dxa"/>
        <w:jc w:val="left"/>
        <w:tblInd w:w="0" w:type="dxa"/>
        <w:tblLayout w:type="fixed"/>
        <w:tblCellMar>
          <w:top w:w="0" w:type="dxa"/>
          <w:left w:w="0" w:type="dxa"/>
          <w:bottom w:w="0" w:type="dxa"/>
          <w:right w:w="0" w:type="dxa"/>
        </w:tblCellMar>
      </w:tblPr>
      <w:tblGrid>
        <w:gridCol w:w="75"/>
        <w:gridCol w:w="110"/>
        <w:gridCol w:w="60"/>
        <w:gridCol w:w="4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assumptions underlying or related to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involve various risks and uncertainties. You should read thoroughly this annual report and the documents that we refer to with the understanding that our actual future results may be materially different from, or worse than, what we expect. Other sections of this annual report include additional factors that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contains certain data and information that we obtained from various government and private publications. Statistical data in these publications also include projections based on a number of assumptions. The UAV industry may not grow at the rate projected by market data, or at all. Failure of this market to grow at the projected rate may have a material adverse effect on our business and the market price of the ADSs. In addition, the rapidly evolving nature of the UAV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not rely upon forward-looking statements as predictions of future events. We undertake no obligation to update or revise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of which this annual report is a part, completely and with the understanding that our actual future results may be materially different from, or worse than, what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a39307_3"/>
      <w:bookmarkEnd w:id="5"/>
      <w:r>
        <w:rPr>
          <w:rFonts w:ascii="Times New Roman" w:hAnsi="Times New Roman"/>
          <w:b/>
          <w:sz w:val="20"/>
        </w:rPr>
        <w:t xml:space="preserve">PART I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25"/>
        <w:gridCol w:w="4730"/>
      </w:tblGrid>
      <w:tr>
        <w:trPr/>
        <w:tc>
          <w:tcPr>
            <w:tcW w:w="725" w:type="dxa"/>
            <w:tcBorders/>
            <w:vAlign w:val="center"/>
          </w:tcPr>
          <w:p>
            <w:pPr>
              <w:pStyle w:val="TableContents"/>
              <w:bidi w:val="0"/>
              <w:spacing w:before="0" w:after="283"/>
              <w:jc w:val="left"/>
              <w:rPr>
                <w:b/>
              </w:rPr>
            </w:pPr>
            <w:bookmarkStart w:id="6" w:name="txa39307_4"/>
            <w:bookmarkEnd w:id="6"/>
            <w:r>
              <w:rPr>
                <w:b/>
              </w:rPr>
              <w:t>Item 1.</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of Directors, Senior Management and Advisers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25"/>
        <w:gridCol w:w="3425"/>
      </w:tblGrid>
      <w:tr>
        <w:trPr/>
        <w:tc>
          <w:tcPr>
            <w:tcW w:w="725" w:type="dxa"/>
            <w:tcBorders/>
            <w:vAlign w:val="center"/>
          </w:tcPr>
          <w:p>
            <w:pPr>
              <w:pStyle w:val="TableContents"/>
              <w:bidi w:val="0"/>
              <w:spacing w:before="0" w:after="283"/>
              <w:jc w:val="left"/>
              <w:rPr>
                <w:b/>
              </w:rPr>
            </w:pPr>
            <w:bookmarkStart w:id="7" w:name="txa39307_5"/>
            <w:bookmarkEnd w:id="7"/>
            <w:r>
              <w:rPr>
                <w:b/>
              </w:rPr>
              <w:t>Item 2.</w:t>
            </w:r>
          </w:p>
        </w:tc>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 Statistics and Expected Timetable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25"/>
        <w:gridCol w:w="1505"/>
      </w:tblGrid>
      <w:tr>
        <w:trPr/>
        <w:tc>
          <w:tcPr>
            <w:tcW w:w="725" w:type="dxa"/>
            <w:tcBorders/>
            <w:vAlign w:val="center"/>
          </w:tcPr>
          <w:p>
            <w:pPr>
              <w:pStyle w:val="TableContents"/>
              <w:bidi w:val="0"/>
              <w:spacing w:before="0" w:after="283"/>
              <w:jc w:val="left"/>
              <w:rPr>
                <w:b/>
              </w:rPr>
            </w:pPr>
            <w:bookmarkStart w:id="8" w:name="txa39307_6"/>
            <w:bookmarkEnd w:id="8"/>
            <w:r>
              <w:rPr>
                <w:b/>
              </w:rPr>
              <w:t>Item 3.</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Key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Our Corporate Structure and Contractual Arrangements with the VIE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EHang Holdings is not a PRC operating company but a Cayman Islands holding company conducting operations in China primarily through its subsidiaries incorporated in the PRC, including EHang Intelligent Equipment Co., Ltd., or the WFOE. PRC laws and regulations impose certain restrictions or prohibitions on foreign ownership of companies in the aviation industry. Pursuant to the latest version of the “negative list,” namely, the Special Management Measures (Negative List) for the Access of Foreign Investment (2024), which became effective on November 1, 2024, our principal business does not fall into the “negative list” in respect of “restricted” or “prohibited” categories for foreign investment. However, foreign investment in commercial and general aviation is restricted under PRC laws and regulations. Accordingly, Guangzhou EHang Intelligent Technology Co., Ltd., or the VIE, and its subsidiaries conduct business operations in the PRC, which may not be conducted by EHang Holdings and/or its subsidiaries under PRC laws and regulations, and the WFOE, the VIE and the VIE’s shareholders have entered into a series of contractual arrangements. These agreements enable us to: </w:t>
      </w:r>
    </w:p>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75"/>
        <w:gridCol w:w="110"/>
        <w:gridCol w:w="60"/>
        <w:gridCol w:w="4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the power to direct significant activities of the VIE;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 economic benefits from the VIE that potentially could be significant to the VIE;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an exclusive option to purchase all or part of the equity interests and assets in the VIE, when and to the extent permitted by PRC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contractual arrangements among the WFOE, the VIE and the VIE’s shareholders include shareholders voting proxy agreements, exclusive technical consulting and services agreements, exclusive option agreements, special agreement on the capital increase arrangement of the VIE, and share pledge agreements. Under the contractual arrangements, EHang Holdings has a “controlling financing interest” as defined in FASB ASC 810 such that EHang Holdings is considered the primary beneficiary of the VIE and the VIE’s subsidiaries for accounting purposes only and thus consolidates each of these entities under U.S. GAAP. For more details of these contractual arrangements, see “Item 4. Information on the Company—C. Organizational Structure—Contractual Arrangements with the VIE and its Shareholders.” Investors in the ADSs are not purchasing equity interest in the VIE or the VIE’s subsidiaries but instead are purchasing equity interest in EHang Holdings, a Cayman Islands holding company. Revenues contributed by the VIE and the VIE’s subsidiaries accounted for 7.9%, 1.2% and 1.6% of our consolidated revenues for the years ended December 31, 2023, 2024 and 2025, respectively, after elimination of inter-company transactions. </w:t>
      </w:r>
    </w:p>
    <w:p>
      <w:pPr>
        <w:pStyle w:val="TextBody"/>
        <w:bidi w:val="0"/>
        <w:spacing w:before="240" w:after="0"/>
        <w:jc w:val="left"/>
        <w:rPr>
          <w:rFonts w:ascii="Times New Roman" w:hAnsi="Times New Roman"/>
          <w:sz w:val="20"/>
        </w:rPr>
      </w:pPr>
      <w:r>
        <w:rPr>
          <w:rFonts w:ascii="Times New Roman" w:hAnsi="Times New Roman"/>
          <w:sz w:val="20"/>
        </w:rPr>
        <w:t xml:space="preserve">However, the contractual arrangements may not be as effective as direct ownership in providing us with power to direct the activities of the VIE and we may incur substantial costs to enforce the terms of the agreements. If the VIE or the VIE’s shareholders fail to perform their respective obligations under the contractual arrangements, we could be limited in our ability to enforce the contractual arrangements that give us power to direct the activities of the VIE. Furthermore, if we are unable to direct the activities of the VIE and the VIE’s subsidiaries, we would not be able to continue to consolidate the financial results of these entities in our financial statements. Please see “Item 3. Key Information—D. Risk Factors—Risks Relating to Our Corporate Structure—We rely on contractual arrangements with the VIE and the VIE’s shareholders for certain business operations in the PRC, which may not be as effective as direct ownership in providing operational control” and “Item 3. Key Information—D. Risk Factors—Risks Relating to Our Corporate Structure—The shareholders of the VIE may have potential conflicts of interest with us, which may materially and adversely affect our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 are also uncertainties regarding the interpretation and application of current and future PRC laws, regulations and rules regarding the status of the rights of our Cayman Islands holding company with respect to the contractual arrangements with the VIE and the VIE’s shareholders. It is uncertain whether any new PRC laws or regulations relating to variable interest entity structures will be adopted or if adopted, what they would provide. If we or the VIE is found to be in violation of any existing or future PRC laws or regulations, or fail to obtain or maintain any of the required permits or approvals, the relevant PRC regulatory authorities would have discretion in accordance with the applicable laws and regulations to take action in dealing with such violations or failures. Please see “Item 3. Key Information—D. Risk Factors—Risks Relating to Our Corporate Structure—If the PRC government finds that the contractual arrangements between the WFOE, the VIE and the VIE’s shareholders do not comply with PRC regulations relating to the relevant industries, or if these regulations or the interpretation of existing regulations change in the future, we could be subject to penalties or be forced to relinquish our interests in those operations” and “Item 3. Key Information—D. Risk Factors—Risks Relating to Our Corporate Structure—Our business may be significantly affected by the Foreign Investment Law.” </w:t>
      </w:r>
    </w:p>
    <w:p>
      <w:pPr>
        <w:pStyle w:val="TextBody"/>
        <w:bidi w:val="0"/>
        <w:spacing w:before="240" w:after="0"/>
        <w:jc w:val="left"/>
        <w:rPr>
          <w:rFonts w:ascii="Times New Roman" w:hAnsi="Times New Roman"/>
          <w:sz w:val="20"/>
        </w:rPr>
      </w:pPr>
      <w:r>
        <w:rPr>
          <w:rFonts w:ascii="Times New Roman" w:hAnsi="Times New Roman"/>
          <w:sz w:val="20"/>
        </w:rPr>
        <w:t xml:space="preserve">Our corporate structure is subject to risks associated with our contractual arrangements with the VIE. Investors may never have a direct ownership interest in the businesses that are conducted by the VIE. Uncertainties in the PRC legal system could limit our ability to enforce these contractual arrangements. If the PRC government finds that the agreements that establish the structure for operating our business in China do not comply with PRC laws and regulations, or if these regulations or the interpretation of existing regulations change or are interpreted differently in the future, we and the VIE could be subject to penalties or be forced to relinquish our interests in those operations. Our holding company, the WFOE, the VIE, and investors of our company face uncertainty about potential future actions by the PRC government that could affect the enforceability of the contractual arrangements with the VIE and, consequently, significantly affect the financial performance of the VIE and our company as a whole. </w:t>
      </w:r>
    </w:p>
    <w:p>
      <w:pPr>
        <w:pStyle w:val="TextBody"/>
        <w:bidi w:val="0"/>
        <w:spacing w:before="240" w:after="0"/>
        <w:jc w:val="left"/>
        <w:rPr>
          <w:rFonts w:ascii="Times New Roman" w:hAnsi="Times New Roman"/>
          <w:sz w:val="20"/>
        </w:rPr>
      </w:pPr>
      <w:r>
        <w:rPr>
          <w:rFonts w:ascii="Times New Roman" w:hAnsi="Times New Roman"/>
          <w:sz w:val="20"/>
        </w:rPr>
        <w:t xml:space="preserve">We and the VIE face various legal and operational risks and uncertainties related to doing business in China. Some of our business operations are conducted in China through the VIE, and we and the VIE are subject to PRC laws and regulations that continue to evolve. For example, we and the VIE face risks associated with regulatory approvals on offshore offerings, the use of variable interest entities, anti-monopoly regulatory actions, and oversight on cybersecurity and data privacy, as well as the lack of inspection by the Public Company Accounting Oversight Board, or PCAOB, on our auditors, which may impact our ability to conduct certain businesses, accept foreign investments, or list on a U.S. or other foreign exchange. These risks could result in a material adverse change in our operations and the value of the ADSs, significantly limit or completely hinder our ability to offer or continue to offer securities to investors and cause such securities to significantly decline in value. For a detailed description of risks related to doing business in China, “Item 3. Key Information—D. Risk Factors—Risks Relating to Doing Business in China.” </w:t>
      </w:r>
    </w:p>
    <w:p>
      <w:pPr>
        <w:pStyle w:val="TextBody"/>
        <w:bidi w:val="0"/>
        <w:spacing w:before="240" w:after="0"/>
        <w:jc w:val="left"/>
        <w:rPr>
          <w:rFonts w:ascii="Times New Roman" w:hAnsi="Times New Roman"/>
          <w:sz w:val="20"/>
        </w:rPr>
      </w:pPr>
      <w:r>
        <w:rPr>
          <w:rFonts w:ascii="Times New Roman" w:hAnsi="Times New Roman"/>
          <w:sz w:val="20"/>
        </w:rPr>
        <w:t xml:space="preserve">PRC government’s oversight and control over offerings conducted overseas by, and foreign investment in, China-based issuers may affect our operations. Implementation of industry-wide regulations, including data security or anti-monopoly related regulations, in this nature may cause the value of such securities to significantly decline. For more details, see “Item 3. Key Information—D. Risk Factors—Risks Relating to Doing Business in China—The PRC government’s significant oversight over our and the VIE’s business operation could result in a material adverse change in our operations and the value of the ADSs.”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arising from the evolving legal and regulatory environment in China, including risks and uncertainties regarding the enforcement of laws and regulations in China, could result in a material adverse change in our operations and the value of the ADSs. For more details, see “Item 3. Key Information—D. Risk Factors—Risks Relating to Doing Business in China—Uncertainties in the interpretation and enforcement of PRC laws and regulations could limit the legal protections available to you and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Holding Foreign Companies Accountable Act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Holding Foreign Companies Accountable Act, or the HFCAA, if the U.S. Securities and Exchange Commission, or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May 26, 2022, the SEC conclusively listed us as a Commission-Identified Issuer under the HFCAA following the filing of the annual report on Form 20-F for the fiscal year ended December 31, 2021. On December 15, 2022, the PCAOB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PCAOB determines in the future that it no longer has full access to complete inspection and investigation over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Relating to Doing Business in China—The ADSs will be delisted and prohibited from trading in the U.S. under the Holding Foreign Companies Accountable Act, or the HFCAA, if the PCAOB is unable to inspect or fully investigate auditors located in China.” </w:t>
      </w:r>
    </w:p>
    <w:p>
      <w:pPr>
        <w:pStyle w:val="TextBody"/>
        <w:bidi w:val="0"/>
        <w:spacing w:before="360" w:after="0"/>
        <w:jc w:val="left"/>
        <w:rPr>
          <w:rFonts w:ascii="Times New Roman" w:hAnsi="Times New Roman"/>
          <w:b/>
          <w:sz w:val="20"/>
        </w:rPr>
      </w:pPr>
      <w:r>
        <w:rPr>
          <w:rFonts w:ascii="Times New Roman" w:hAnsi="Times New Roman"/>
          <w:b/>
          <w:sz w:val="20"/>
        </w:rPr>
        <w:t xml:space="preserve">Permissions Required from the PRC Authorities for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VIE and the VIE’s subsidiaries currently conduct operations in the PRC, and we consolidate the financial results of such operations under U.S. GAAP as a result of the contractual arrangements. Our operations in China are governed by PRC laws and regulations. As of the date of this annual report, our PRC subsidiaries, the VIE and the VIE’s subsidiaries have obtained the requisite licenses and permits from the PRC government authorities that are material for the business operations of our subsidiaries and the VIE in China, including, among others, Civil Unmanned Aerial Vehicle Operational Certificates required for using UAVs in aerial spraying, aerial photography, remote pilot training, flight show, aerial media solutions and other purposes. Given the uncertainties of interpretation and implementation of relevant laws and regulations and the enforcement practice by relevant government authorities, we may be required to obtain additional licenses, permits, filings or approvals for our business operations in the future. See “Item 3. Key Information—D. Risk Factors—Risks Relating to Doing Business in China—Uncertainties exist with respect to the interpretation and implementation of the PRC Foreign Investment Law and its Implementation Regulations and how they may impact the viability of our current corporate structure, corporate governance and business operations” and “Item 3. Key Information—D. Risk Factors—Risks Relating to Doing Business in China—We may be adversely affected by the complexities, uncertainties and changes in PRC regulations on technology companies.” </w:t>
      </w:r>
    </w:p>
    <w:p>
      <w:pPr>
        <w:pStyle w:val="TextBody"/>
        <w:bidi w:val="0"/>
        <w:spacing w:before="240" w:after="0"/>
        <w:jc w:val="left"/>
        <w:rPr>
          <w:rFonts w:ascii="Times New Roman" w:hAnsi="Times New Roman"/>
          <w:sz w:val="20"/>
        </w:rPr>
      </w:pPr>
      <w:r>
        <w:rPr>
          <w:rFonts w:ascii="Times New Roman" w:hAnsi="Times New Roman"/>
          <w:sz w:val="20"/>
        </w:rPr>
        <w:t xml:space="preserve">Furthermore, in connection with our previous issuance of securities to foreign investors, under current PRC laws, regulations and regulatory rules, as of the date of this annual report, we, our PRC subsidiaries and the VIE, (i) are not required to obtain permissions from the China Securities Regulatory Commission, or the CSRC, for our listing, (ii) are not required to go through cybersecurity review by the Cyberspace Administration of China, or the CAC, and (iii) have not been asked to obtain such permissions by any PRC authority.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Asset Flows through Our Organization </w:t>
      </w:r>
    </w:p>
    <w:p>
      <w:pPr>
        <w:pStyle w:val="TextBody"/>
        <w:bidi w:val="0"/>
        <w:spacing w:before="120" w:after="0"/>
        <w:jc w:val="left"/>
        <w:rPr>
          <w:rFonts w:ascii="Times New Roman" w:hAnsi="Times New Roman"/>
          <w:sz w:val="20"/>
        </w:rPr>
      </w:pPr>
      <w:r>
        <w:rPr>
          <w:rFonts w:ascii="Times New Roman" w:hAnsi="Times New Roman"/>
          <w:sz w:val="20"/>
        </w:rPr>
        <w:t xml:space="preserve">Our offshore holding company is permitted under PRC laws and regulations to provide funding to our PRC subsidiary only through loans or capital contributions, subject to the approval of government authorities and limits on the amount of capital contributions and loans. </w:t>
      </w:r>
    </w:p>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2023, 2024 and 2025, EHang Holdings made capital contributions of RMB150.3 million, RMB79.3 million and RMB24.3 million (US$3.5 million), respectively, to its subsidiaries. No other transfers, dividends or distributions of cash or assets were made between EHang Holdings and EHang Holdings’ subsidiaries, on the one hand, and the VIE and the VIE’s subsidiaries, on the other hand, except for the foregoing capital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EHang Holdings is a Cayman Islands holding company with no material operations of its own. The VIE and the VIE’s subsidiaries currently conduct operations in the PRC, and we consolidate the financial results of such operations under U.S. GAAP as a result of the contractual arrangements. As a result, although other means are available for us to obtain financing at the holding company level, EHang Holdings’ ability to pay dividends and to service any debt it may incur may depend upon dividends paid by its subsidiaries. Among them, our Hong Kong subsidiary Ehfly Technology’s source of dividend depends on dividends paid by its PRC subsidiaries, which in part depends on payments from the VIE under the contractual arrangements with the VIE. </w:t>
      </w:r>
    </w:p>
    <w:p>
      <w:pPr>
        <w:pStyle w:val="TextBody"/>
        <w:bidi w:val="0"/>
        <w:spacing w:before="240" w:after="0"/>
        <w:jc w:val="left"/>
        <w:rPr>
          <w:rFonts w:ascii="Times New Roman" w:hAnsi="Times New Roman"/>
          <w:sz w:val="20"/>
        </w:rPr>
      </w:pPr>
      <w:r>
        <w:rPr>
          <w:rFonts w:ascii="Times New Roman" w:hAnsi="Times New Roman"/>
          <w:sz w:val="20"/>
        </w:rPr>
        <w:t xml:space="preserve">Current PRC regulations permit our PRC subsidiaries, such as the WFOE, to pay dividends to us only out of their accumulated profits, if any, determined in accordance with PRC accounting standards and regulations. In addition, the VIE and the WFOE are required to set aside at least 10% of their respective accumulated profits each year, if any, to fund certain reserve funds until the total amount set aside reaches 50% of their respective registered capital. The WFOE and the VIE may also allocate a portion of their after-tax profits based on PRC accounting standards to employee welfare and bonus funds at their discretion. These reserves are not distributable as cash dividends. Furthermore, if the WFOE incurs debt on its own behalf in the future, the instruments governing the debt may restrict its ability to pay dividends or make other payments to us. In addition, the PRC tax authorities may require us to adjust our taxable income under the contractual arrangements we currently have in place in a manner that would materially and adversely affect the WFOE’s ability to pay dividends and other distributions to us. Any limitation on the ability of our subsidiary to distribute dividends to us or on the ability of the VIE to make payments to the WFOE may restrict our ability to satisfy our liquidity requirements. See “Item 4. Information on the Company—B. Business Overview—PRC Regulation—Dividend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VIE receives substantially all of its revenues in RMB and the PRC government imposes controls on the convertibility of the RMB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of the PRC, or the SAFE by complying with certain procedural requirements. Dividends payments to us by Ehfly Technology, our Hong Kong subsidiary, in foreign currencies are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by or registration with appropriate government authorities is required where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the WFOE may not be able to pay dividends in foreign currencies to us and our access to cash generated from its operations will be restricted. See “Item 3. Key Information—D. Risk Factors—Risks Relating to Doing Business in China—Governmental control of currency conversion may limit our ability to utilize our operating revenues effectively and affect the value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None of our subsidiaries has declared or paid any dividend or distribution to us. We have never declared or paid any dividend on our ordinary shares. We currently intend to retain most, if not all, of our available funds and any future earnings to fund the development and growth of our business. As a result, we do not expect to pay any cash dividends in the foreseeable future. See “Item 8. Financial Information—A. Consolidated Statements and Other Financial Information—Dividend Policy.” For the Cayman Islands, PRC and U.S. federal income tax considerations applicable to an investment in the ADSs or Class A ordinary shares, see “Item 10. Additional Information—E. Taxation.” </w:t>
      </w:r>
    </w:p>
    <w:p>
      <w:pPr>
        <w:pStyle w:val="TextBody"/>
        <w:bidi w:val="0"/>
        <w:spacing w:before="240" w:after="0"/>
        <w:jc w:val="left"/>
        <w:rPr>
          <w:rFonts w:ascii="Times New Roman" w:hAnsi="Times New Roman"/>
          <w:sz w:val="20"/>
        </w:rPr>
      </w:pPr>
      <w:r>
        <w:rPr>
          <w:rFonts w:ascii="Times New Roman" w:hAnsi="Times New Roman"/>
          <w:sz w:val="20"/>
        </w:rPr>
        <w:t xml:space="preserve">Under the current laws of the Cayman Islands, EHang Holdings is not subject to tax on income or capital gains. Upon payments of dividends to our shareholders, no Cayman Islands withholding tax will be imposed. For purposes of illustration, the following discussion reflects the hypothetical taxes that might be required to be paid in Mainland China and Hong Kong, assuming that: (i) the VIE has taxable earnings, and (ii) we determine to pay a dividend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8462"/>
        <w:gridCol w:w="120"/>
        <w:gridCol w:w="139"/>
        <w:gridCol w:w="1313"/>
        <w:gridCol w:w="171"/>
      </w:tblGrid>
      <w:tr>
        <w:trPr/>
        <w:tc>
          <w:tcPr>
            <w:tcW w:w="84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46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Tax</w:t>
              <w:br/>
              <w:t>Calculation(1)</w:t>
            </w:r>
          </w:p>
        </w:tc>
        <w:tc>
          <w:tcPr>
            <w:tcW w:w="171" w:type="dxa"/>
            <w:tcBorders/>
            <w:vAlign w:val="center"/>
          </w:tcPr>
          <w:p>
            <w:pPr>
              <w:pStyle w:val="TableContents"/>
              <w:bidi w:val="0"/>
              <w:spacing w:before="0" w:after="283"/>
              <w:jc w:val="left"/>
              <w:rPr/>
            </w:pPr>
            <w:r>
              <w:rPr/>
              <w:t> </w:t>
            </w:r>
          </w:p>
        </w:tc>
      </w:tr>
      <w:tr>
        <w:trPr/>
        <w:tc>
          <w:tcPr>
            <w:tcW w:w="84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Hypothetical pre-tax earnings in the VIE(1)</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100</w:t>
            </w:r>
          </w:p>
        </w:tc>
        <w:tc>
          <w:tcPr>
            <w:tcW w:w="171" w:type="dxa"/>
            <w:tcBorders/>
            <w:shd w:fill="CCEEFF" w:val="clear"/>
            <w:vAlign w:val="center"/>
          </w:tcPr>
          <w:p>
            <w:pPr>
              <w:pStyle w:val="TableContents"/>
              <w:bidi w:val="0"/>
              <w:spacing w:before="0" w:after="283"/>
              <w:jc w:val="left"/>
              <w:rPr/>
            </w:pPr>
            <w:r>
              <w:rPr/>
              <w:t> </w:t>
            </w:r>
          </w:p>
        </w:tc>
      </w:tr>
      <w:tr>
        <w:trPr/>
        <w:tc>
          <w:tcPr>
            <w:tcW w:w="84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on earnings at statutory rate of 25% at WFOE level(2)</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right"/>
              <w:rPr/>
            </w:pPr>
            <w:r>
              <w:rPr/>
              <w:t>(25</w:t>
            </w:r>
          </w:p>
        </w:tc>
        <w:tc>
          <w:tcPr>
            <w:tcW w:w="171" w:type="dxa"/>
            <w:tcBorders/>
            <w:vAlign w:val="center"/>
          </w:tcPr>
          <w:p>
            <w:pPr>
              <w:pStyle w:val="TableContents"/>
              <w:bidi w:val="0"/>
              <w:spacing w:before="0" w:after="283"/>
              <w:jc w:val="left"/>
              <w:rPr/>
            </w:pPr>
            <w:r>
              <w:rPr/>
              <w:t>) </w:t>
            </w:r>
          </w:p>
        </w:tc>
      </w:tr>
      <w:tr>
        <w:trPr/>
        <w:tc>
          <w:tcPr>
            <w:tcW w:w="84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to be distributed as dividend from WFOE to Ehfly Technology(3)</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75</w:t>
            </w:r>
          </w:p>
        </w:tc>
        <w:tc>
          <w:tcPr>
            <w:tcW w:w="171" w:type="dxa"/>
            <w:tcBorders/>
            <w:shd w:fill="CCEEFF" w:val="clear"/>
            <w:vAlign w:val="center"/>
          </w:tcPr>
          <w:p>
            <w:pPr>
              <w:pStyle w:val="TableContents"/>
              <w:bidi w:val="0"/>
              <w:spacing w:before="0" w:after="283"/>
              <w:jc w:val="left"/>
              <w:rPr/>
            </w:pPr>
            <w:r>
              <w:rPr/>
              <w:t> </w:t>
            </w:r>
          </w:p>
        </w:tc>
      </w:tr>
      <w:tr>
        <w:trPr/>
        <w:tc>
          <w:tcPr>
            <w:tcW w:w="84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 a treaty rate of 5%</w:t>
            </w:r>
          </w:p>
        </w:tc>
        <w:tc>
          <w:tcPr>
            <w:tcW w:w="12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right"/>
              <w:rPr/>
            </w:pPr>
            <w:r>
              <w:rPr/>
              <w:t>(3.75</w:t>
            </w:r>
          </w:p>
        </w:tc>
        <w:tc>
          <w:tcPr>
            <w:tcW w:w="171" w:type="dxa"/>
            <w:tcBorders/>
            <w:vAlign w:val="center"/>
          </w:tcPr>
          <w:p>
            <w:pPr>
              <w:pStyle w:val="TableContents"/>
              <w:bidi w:val="0"/>
              <w:spacing w:before="0" w:after="283"/>
              <w:jc w:val="left"/>
              <w:rPr/>
            </w:pPr>
            <w:r>
              <w:rPr/>
              <w:t>) </w:t>
            </w:r>
          </w:p>
        </w:tc>
      </w:tr>
      <w:tr>
        <w:trPr/>
        <w:tc>
          <w:tcPr>
            <w:tcW w:w="84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to be distributed as dividend at Ehfly Technology level and net distribution to EHang Holdings(4)</w:t>
            </w:r>
          </w:p>
        </w:tc>
        <w:tc>
          <w:tcPr>
            <w:tcW w:w="12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71.25</w:t>
            </w:r>
          </w:p>
        </w:tc>
        <w:tc>
          <w:tcPr>
            <w:tcW w:w="171"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example, the tax calculation has been simplified. The hypothetical book pre-tax earnings amount is assumed to equal Chinese taxable income.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subsidiaries and the VIE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China’s Enterprise Income Tax Law imposes a withholding income tax of 10% on dividends distributed by a Foreign Invested Enterprise to its immediate holding company outside of Mainland China. A lower withholding income tax rate of 5% is applied if the Foreign Invested Enterprise’s immediate holding company is registered in Hong Kong or other jurisdictions that have a tax treaty arrangement with Mainland China, subject to a qualification review at the time of the distribution. There is no incremental tax at Ehfly Technology level for any dividend distribution to EHang Holdings. </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10% withholding income tax rate is imposed, the withholding tax will be 7.5 and the amount to be distributed as dividend at Ehfly Technology level and net distribution to EHang Holdings will be 67.5.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has been prepared under the assumption that all profits of the VIE will be distributed as fees to our PRC subsidiaries under tax neutral contractual arrangements. If, in the future, the accumulated earnings of the VIE exceed the service fees paid to our PRC subsidiaries (or if the current and contemplated fee structure between the intercompany entities is determined to be non-substantive and disallowed by Chinese tax authorities), the VIE could make a non-deductible transfer to our PRC subsidiaries for the amounts of the stranded cash in the VIE. This would result in such transfer being non-deductible expenses for the VIE but still taxable income for the PRC subsidiaries. Our management believes that there is only a remote possibility that this scenario would happen. </w:t>
      </w:r>
    </w:p>
    <w:p>
      <w:pPr>
        <w:pStyle w:val="TextBody"/>
        <w:bidi w:val="0"/>
        <w:spacing w:before="240" w:after="0"/>
        <w:jc w:val="left"/>
        <w:rPr>
          <w:rFonts w:ascii="Times New Roman" w:hAnsi="Times New Roman"/>
          <w:sz w:val="20"/>
        </w:rPr>
      </w:pPr>
      <w:r>
        <w:rPr>
          <w:rFonts w:ascii="Times New Roman" w:hAnsi="Times New Roman"/>
          <w:sz w:val="20"/>
        </w:rPr>
        <w:t xml:space="preserve">Should all tax planning strategies fail the VIE could, as a matter of last resort, make a non-deductible transfer to the WFOE for amounts of stranded cash in the VIE. This would result in the double taxation of earnings: once at the VIE level (non-deductible expense) and again at the WFOE level (for presumptive earnings on the transfer). This has the impact of reducing the amount available above from 71.25% to approximately 53% of pre-tax income, respectively. Management believes this scenario to be remote.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Information Relating to the VIE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condensed consolidating schedule showing the results of operations, financial position and cash flows for our holding company, EHang Holdings, EHang Holdings’ subsidiaries other than the WFOE, the WFOE, the VIE and the VIE’s subsidiaries, eliminating adjustments and consolidated totals as of December 31, 2024 and 2025 and for the years ended December 31, 2023, 2024 and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Selected Condensed Consolidated Statements of Operations Data </w:t>
      </w:r>
    </w:p>
    <w:p>
      <w:pPr>
        <w:pStyle w:val="TextBody"/>
        <w:bidi w:val="0"/>
        <w:spacing w:before="0" w:after="0"/>
        <w:jc w:val="left"/>
        <w:rPr/>
      </w:pPr>
      <w:r>
        <w:rPr/>
        <w:t> </w:t>
      </w:r>
    </w:p>
    <w:tbl>
      <w:tblPr>
        <w:tblW w:w="25490" w:type="dxa"/>
        <w:jc w:val="left"/>
        <w:tblInd w:w="0" w:type="dxa"/>
        <w:tblLayout w:type="fixed"/>
        <w:tblCellMar>
          <w:top w:w="0" w:type="dxa"/>
          <w:left w:w="0" w:type="dxa"/>
          <w:bottom w:w="0" w:type="dxa"/>
          <w:right w:w="0" w:type="dxa"/>
        </w:tblCellMar>
      </w:tblPr>
      <w:tblGrid>
        <w:gridCol w:w="950"/>
        <w:gridCol w:w="60"/>
        <w:gridCol w:w="60"/>
        <w:gridCol w:w="875"/>
        <w:gridCol w:w="155"/>
        <w:gridCol w:w="60"/>
        <w:gridCol w:w="77"/>
        <w:gridCol w:w="1128"/>
        <w:gridCol w:w="155"/>
        <w:gridCol w:w="60"/>
        <w:gridCol w:w="60"/>
        <w:gridCol w:w="875"/>
        <w:gridCol w:w="155"/>
        <w:gridCol w:w="60"/>
        <w:gridCol w:w="88"/>
        <w:gridCol w:w="1117"/>
        <w:gridCol w:w="155"/>
        <w:gridCol w:w="60"/>
        <w:gridCol w:w="87"/>
        <w:gridCol w:w="1163"/>
        <w:gridCol w:w="155"/>
        <w:gridCol w:w="60"/>
        <w:gridCol w:w="86"/>
        <w:gridCol w:w="1269"/>
        <w:gridCol w:w="155"/>
        <w:gridCol w:w="60"/>
        <w:gridCol w:w="60"/>
        <w:gridCol w:w="875"/>
        <w:gridCol w:w="155"/>
        <w:gridCol w:w="60"/>
        <w:gridCol w:w="77"/>
        <w:gridCol w:w="1128"/>
        <w:gridCol w:w="155"/>
        <w:gridCol w:w="60"/>
        <w:gridCol w:w="60"/>
        <w:gridCol w:w="875"/>
        <w:gridCol w:w="155"/>
        <w:gridCol w:w="60"/>
        <w:gridCol w:w="84"/>
        <w:gridCol w:w="1121"/>
        <w:gridCol w:w="155"/>
        <w:gridCol w:w="60"/>
        <w:gridCol w:w="80"/>
        <w:gridCol w:w="1170"/>
        <w:gridCol w:w="155"/>
        <w:gridCol w:w="60"/>
        <w:gridCol w:w="86"/>
        <w:gridCol w:w="1269"/>
        <w:gridCol w:w="155"/>
        <w:gridCol w:w="60"/>
        <w:gridCol w:w="60"/>
        <w:gridCol w:w="875"/>
        <w:gridCol w:w="155"/>
        <w:gridCol w:w="60"/>
        <w:gridCol w:w="77"/>
        <w:gridCol w:w="1128"/>
        <w:gridCol w:w="155"/>
        <w:gridCol w:w="60"/>
        <w:gridCol w:w="60"/>
        <w:gridCol w:w="875"/>
        <w:gridCol w:w="155"/>
        <w:gridCol w:w="60"/>
        <w:gridCol w:w="77"/>
        <w:gridCol w:w="1128"/>
        <w:gridCol w:w="155"/>
        <w:gridCol w:w="60"/>
        <w:gridCol w:w="1250"/>
        <w:gridCol w:w="155"/>
        <w:gridCol w:w="60"/>
        <w:gridCol w:w="1355"/>
        <w:gridCol w:w="170"/>
      </w:tblGrid>
      <w:tr>
        <w:trPr/>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10" w:type="dxa"/>
            <w:gridSpan w:val="7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7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75" w:type="dxa"/>
            <w:gridSpan w:val="62"/>
            <w:tcBorders/>
            <w:vAlign w:val="center"/>
          </w:tcPr>
          <w:p>
            <w:pPr>
              <w:pStyle w:val="TableContents"/>
              <w:bidi w:val="0"/>
              <w:spacing w:before="0" w:after="283"/>
              <w:jc w:val="center"/>
              <w:rPr/>
            </w:pPr>
            <w:r>
              <w:rPr/>
              <w:t>(RMB in thousands)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5,346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109,581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32,808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(30,309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117,426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885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450,037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123,960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(118,730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456,152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5,099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484,611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160,250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(231,979</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417,981</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Third-party 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5,346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102,855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9,225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117,426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449,714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5,553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456,152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4,534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406,776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6,671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417,981</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 Inter-company revenues(1)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23,583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(30,309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118,407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(118,730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565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77,835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153,579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(231,979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Cost of revenues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(3,450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(62,372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b/>
              </w:rPr>
            </w:pPr>
            <w:r>
              <w:rPr>
                <w:b/>
              </w:rPr>
              <w:t>(5,467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29,174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(42,115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(284,671</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b/>
              </w:rPr>
            </w:pPr>
            <w:r>
              <w:rPr>
                <w:b/>
              </w:rPr>
              <w:t>(3,850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112,315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(176,206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(1,835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(350,322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b/>
              </w:rPr>
            </w:pPr>
            <w:r>
              <w:rPr>
                <w:b/>
              </w:rPr>
              <w:t>(23,174</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214,504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(160,827</w:t>
            </w:r>
          </w:p>
          <w:p>
            <w:pPr>
              <w:pStyle w:val="TableContents"/>
              <w:bidi w:val="0"/>
              <w:spacing w:before="0" w:after="283"/>
              <w:jc w:val="left"/>
              <w:rPr>
                <w:b/>
              </w:rPr>
            </w:pPr>
            <w:r>
              <w:rPr>
                <w:b/>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 Third-party 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(2,663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(42,115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(172,636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(3,570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(176,206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(1,270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(274,031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114,474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(160,827</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Inter-company cost of revenues(1)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(3,844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(22,526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(2,804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29,174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(112,035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112,315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(565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(76,291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(137,648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214,504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1,896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47,209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27,341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(1,135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75,311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885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165,366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120,110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(6,415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279,946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3,264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134,289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137,076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(17,475</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257,154</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Sales and marketing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(7,627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(10,004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426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(60,389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(7,275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(99,896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(24,997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(131,027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(8,161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(77,795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(35,054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171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(122,020</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(136,544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(8,508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(150,092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(5,819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(12,996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(233,398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(13,569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(246,769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(8,865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(269,648</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Research and development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(150,457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(16,861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(167,315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(182,880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(20,578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3,993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(199,465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(165,570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(30,144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1,133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(194,581</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(5,246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(7,421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(330,185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(35,373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(377,796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(16,040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(13,094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(481,319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(58,571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5,134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(563,890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(14,750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(8,586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(490,134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(74,063</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1,284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(586,249</w:t>
            </w:r>
          </w:p>
          <w:p>
            <w:pPr>
              <w:pStyle w:val="TableContents"/>
              <w:bidi w:val="0"/>
              <w:spacing w:before="0" w:after="283"/>
              <w:jc w:val="left"/>
              <w:rPr>
                <w:b/>
              </w:rPr>
            </w:pPr>
            <w:r>
              <w:rPr>
                <w:b/>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Other operating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839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2,746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6,233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1,259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19,594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9,016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29,869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1,983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6,628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12,383</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Operating (loss)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(5,246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(4,686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(280,328</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(5,286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(706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(296,252</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(16,040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(10,950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(296,359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70,555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(1,281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(254,075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(14,750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(3,339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(352,073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69,641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(16,191</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(316,712</w:t>
            </w:r>
          </w:p>
          <w:p>
            <w:pPr>
              <w:pStyle w:val="TableContents"/>
              <w:bidi w:val="0"/>
              <w:spacing w:before="0" w:after="283"/>
              <w:jc w:val="left"/>
              <w:rPr>
                <w:b/>
              </w:rPr>
            </w:pPr>
            <w:r>
              <w:rPr>
                <w:b/>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Share of losses from subsidiaries(2)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(290,785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(292,422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583,207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(298,463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(290,987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589,450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(343,051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(346,625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689,676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(Loss) income from the VIEs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(5,829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(5,829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17,487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65,749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(197,247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61,053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61,053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61,053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(183,159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Interest and investment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4,220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8,484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18,978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30,599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3,442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20,035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86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58,588</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(202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(466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(5,976</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Amortization of debt discounts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Foreign currency exchange gains (losses),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888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(130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1,174</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Other non-operating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1,525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308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4,670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2,056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pPr>
            <w:r>
              <w:rPr/>
              <w:t>232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2,810</w:t>
            </w:r>
          </w:p>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Other non-operating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(1,924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(15,456</w:t>
            </w:r>
          </w:p>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(Loss) income before income tax and income (loss) from equity method 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(301,700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(296,854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(296,767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b/>
              </w:rPr>
            </w:pPr>
            <w:r>
              <w:rPr>
                <w:b/>
              </w:rPr>
              <w:t>(5,242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599,988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(300,575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(229,776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(233,185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(223,349</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b/>
              </w:rPr>
            </w:pPr>
            <w:r>
              <w:rPr>
                <w:b/>
              </w:rPr>
              <w:t>70,118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390,899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(225,293</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(275,977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(282,526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(276,723</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p>
            <w:pPr>
              <w:pStyle w:val="TableContents"/>
              <w:bidi w:val="0"/>
              <w:spacing w:before="0" w:after="283"/>
              <w:jc w:val="right"/>
              <w:rPr>
                <w:b/>
              </w:rPr>
            </w:pPr>
            <w:r>
              <w:rPr>
                <w:b/>
              </w:rPr>
              <w:t>69,363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490,291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(275,572</w:t>
            </w:r>
          </w:p>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315" w:type="dxa"/>
        <w:jc w:val="left"/>
        <w:tblInd w:w="0" w:type="dxa"/>
        <w:tblLayout w:type="fixed"/>
        <w:tblCellMar>
          <w:top w:w="0" w:type="dxa"/>
          <w:left w:w="0" w:type="dxa"/>
          <w:bottom w:w="0" w:type="dxa"/>
          <w:right w:w="0" w:type="dxa"/>
        </w:tblCellMar>
      </w:tblPr>
      <w:tblGrid>
        <w:gridCol w:w="965"/>
        <w:gridCol w:w="60"/>
        <w:gridCol w:w="60"/>
        <w:gridCol w:w="875"/>
        <w:gridCol w:w="155"/>
        <w:gridCol w:w="60"/>
        <w:gridCol w:w="77"/>
        <w:gridCol w:w="1128"/>
        <w:gridCol w:w="155"/>
        <w:gridCol w:w="60"/>
        <w:gridCol w:w="60"/>
        <w:gridCol w:w="875"/>
        <w:gridCol w:w="155"/>
        <w:gridCol w:w="60"/>
        <w:gridCol w:w="104"/>
        <w:gridCol w:w="1101"/>
        <w:gridCol w:w="155"/>
        <w:gridCol w:w="60"/>
        <w:gridCol w:w="87"/>
        <w:gridCol w:w="1163"/>
        <w:gridCol w:w="60"/>
        <w:gridCol w:w="60"/>
        <w:gridCol w:w="86"/>
        <w:gridCol w:w="1269"/>
        <w:gridCol w:w="155"/>
        <w:gridCol w:w="60"/>
        <w:gridCol w:w="60"/>
        <w:gridCol w:w="875"/>
        <w:gridCol w:w="155"/>
        <w:gridCol w:w="60"/>
        <w:gridCol w:w="77"/>
        <w:gridCol w:w="1128"/>
        <w:gridCol w:w="155"/>
        <w:gridCol w:w="60"/>
        <w:gridCol w:w="60"/>
        <w:gridCol w:w="875"/>
        <w:gridCol w:w="155"/>
        <w:gridCol w:w="60"/>
        <w:gridCol w:w="97"/>
        <w:gridCol w:w="1108"/>
        <w:gridCol w:w="155"/>
        <w:gridCol w:w="60"/>
        <w:gridCol w:w="87"/>
        <w:gridCol w:w="1163"/>
        <w:gridCol w:w="155"/>
        <w:gridCol w:w="60"/>
        <w:gridCol w:w="86"/>
        <w:gridCol w:w="1269"/>
        <w:gridCol w:w="155"/>
        <w:gridCol w:w="60"/>
        <w:gridCol w:w="60"/>
        <w:gridCol w:w="875"/>
        <w:gridCol w:w="155"/>
        <w:gridCol w:w="60"/>
        <w:gridCol w:w="77"/>
        <w:gridCol w:w="1128"/>
        <w:gridCol w:w="155"/>
        <w:gridCol w:w="60"/>
        <w:gridCol w:w="60"/>
        <w:gridCol w:w="875"/>
        <w:gridCol w:w="155"/>
        <w:gridCol w:w="60"/>
        <w:gridCol w:w="97"/>
        <w:gridCol w:w="1108"/>
        <w:gridCol w:w="155"/>
        <w:gridCol w:w="60"/>
        <w:gridCol w:w="1250"/>
        <w:gridCol w:w="60"/>
        <w:gridCol w:w="60"/>
        <w:gridCol w:w="1355"/>
        <w:gridCol w:w="170"/>
      </w:tblGrid>
      <w:tr>
        <w:trPr/>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20" w:type="dxa"/>
            <w:gridSpan w:val="7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6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7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0" w:type="dxa"/>
            <w:gridSpan w:val="62"/>
            <w:tcBorders/>
            <w:vAlign w:val="center"/>
          </w:tcPr>
          <w:p>
            <w:pPr>
              <w:pStyle w:val="TableContents"/>
              <w:bidi w:val="0"/>
              <w:spacing w:before="0" w:after="283"/>
              <w:jc w:val="center"/>
              <w:rPr/>
            </w:pPr>
            <w:r>
              <w:rPr/>
              <w:t>(RMB in thousands)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Income tax (expenses) benefits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3,248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5,753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4,409</w:t>
            </w:r>
          </w:p>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 xml:space="preserve">(Loss) income before income (loss) from equity </w:t>
              <w:br/>
              <w:t>method investment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(301,700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(297,035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(296,792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b/>
              </w:rPr>
            </w:pPr>
            <w:r>
              <w:rPr>
                <w:b/>
              </w:rPr>
              <w:t>(5,242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599,988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(300,781</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(229,776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(233,290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(223,630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b/>
              </w:rPr>
            </w:pPr>
            <w:r>
              <w:rPr>
                <w:b/>
              </w:rPr>
              <w:t>70,118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390,899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(225,679</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(275,977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(282,789</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(281,052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p>
            <w:pPr>
              <w:pStyle w:val="TableContents"/>
              <w:bidi w:val="0"/>
              <w:spacing w:before="0" w:after="283"/>
              <w:jc w:val="right"/>
              <w:rPr>
                <w:b/>
              </w:rPr>
            </w:pPr>
            <w:r>
              <w:rPr>
                <w:b/>
              </w:rPr>
              <w:t>72,611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496,044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(271,163</w:t>
            </w:r>
          </w:p>
          <w:p>
            <w:pPr>
              <w:pStyle w:val="TableContents"/>
              <w:bidi w:val="0"/>
              <w:spacing w:before="0" w:after="283"/>
              <w:jc w:val="left"/>
              <w:rPr>
                <w:b/>
              </w:rPr>
            </w:pPr>
            <w:r>
              <w:rPr>
                <w:b/>
              </w:rPr>
              <w:t>) </w:t>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(Loss) income from equity method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(3,884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(4,353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(4,245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(5,248</w:t>
            </w:r>
          </w:p>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Net (loss) 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(301,700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(297,035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(298,360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b/>
              </w:rPr>
            </w:pPr>
            <w:r>
              <w:rPr>
                <w:b/>
              </w:rPr>
              <w:t>(5,234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599,988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(302,341</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(229,776</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(233,290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(223,824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b/>
              </w:rPr>
            </w:pPr>
            <w:r>
              <w:rPr>
                <w:b/>
              </w:rPr>
              <w:t>66,234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b/>
              </w:rPr>
            </w:pPr>
            <w:r>
              <w:rPr>
                <w:b/>
              </w:rPr>
              <w:t>390,624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b/>
              </w:rPr>
            </w:pPr>
            <w:r>
              <w:rPr>
                <w:b/>
              </w:rPr>
              <w:t>(230,032</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(275,977</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b/>
              </w:rPr>
            </w:pPr>
            <w:r>
              <w:rPr>
                <w:b/>
              </w:rPr>
              <w:t>(282,789</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b/>
              </w:rPr>
            </w:pPr>
            <w:r>
              <w:rPr>
                <w:b/>
              </w:rPr>
              <w:t>(282,055</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p>
            <w:pPr>
              <w:pStyle w:val="TableContents"/>
              <w:bidi w:val="0"/>
              <w:spacing w:before="0" w:after="283"/>
              <w:jc w:val="right"/>
              <w:rPr>
                <w:b/>
              </w:rPr>
            </w:pPr>
            <w:r>
              <w:rPr>
                <w:b/>
              </w:rPr>
              <w:t>68,366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496,044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(276,411</w:t>
            </w:r>
          </w:p>
          <w:p>
            <w:pPr>
              <w:pStyle w:val="TableContents"/>
              <w:bidi w:val="0"/>
              <w:spacing w:before="0" w:after="283"/>
              <w:jc w:val="left"/>
              <w:rPr>
                <w:b/>
              </w:rPr>
            </w:pPr>
            <w:r>
              <w:rPr>
                <w:b/>
              </w:rPr>
              <w:t>) </w:t>
            </w:r>
          </w:p>
        </w:tc>
      </w:tr>
      <w:tr>
        <w:trPr/>
        <w:tc>
          <w:tcPr>
            <w:tcW w:w="96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576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791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434</w:t>
            </w:r>
          </w:p>
          <w:p>
            <w:pPr>
              <w:pStyle w:val="TableContents"/>
              <w:bidi w:val="0"/>
              <w:spacing w:before="0" w:after="283"/>
              <w:jc w:val="left"/>
              <w:rPr/>
            </w:pPr>
            <w:r>
              <w:rPr/>
              <w:t> </w:t>
            </w:r>
          </w:p>
        </w:tc>
      </w:tr>
      <w:tr>
        <w:trPr/>
        <w:tc>
          <w:tcPr>
            <w:tcW w:w="96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Net (loss) income attributable to ordinary </w:t>
              <w:br/>
              <w:t>shareholders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(301,700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(296,614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(298,171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101" w:type="dxa"/>
            <w:tcBorders/>
            <w:vAlign w:val="center"/>
          </w:tcPr>
          <w:p>
            <w:pPr>
              <w:pStyle w:val="TableContents"/>
              <w:bidi w:val="0"/>
              <w:spacing w:before="0" w:after="283"/>
              <w:jc w:val="right"/>
              <w:rPr/>
            </w:pPr>
            <w:r>
              <w:rPr/>
              <w:t>(5,203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599,988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(301,700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(229,776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(232,714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(224,144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66,234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390,624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(229,776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(275,977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(281,998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(282,412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p>
            <w:pPr>
              <w:pStyle w:val="TableContents"/>
              <w:bidi w:val="0"/>
              <w:spacing w:before="0" w:after="283"/>
              <w:jc w:val="right"/>
              <w:rPr/>
            </w:pPr>
            <w:r>
              <w:rPr/>
              <w:t>68,366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496,044</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(275,977</w:t>
            </w:r>
          </w:p>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Selected Condensed Consolidated Balance Sheets Data </w:t>
      </w:r>
    </w:p>
    <w:p>
      <w:pPr>
        <w:pStyle w:val="TextBody"/>
        <w:bidi w:val="0"/>
        <w:spacing w:before="0" w:after="0"/>
        <w:jc w:val="left"/>
        <w:rPr/>
      </w:pPr>
      <w:r>
        <w:rPr/>
        <w:t> </w:t>
      </w:r>
    </w:p>
    <w:tbl>
      <w:tblPr>
        <w:tblW w:w="18335" w:type="dxa"/>
        <w:jc w:val="left"/>
        <w:tblInd w:w="0" w:type="dxa"/>
        <w:tblLayout w:type="fixed"/>
        <w:tblCellMar>
          <w:top w:w="0" w:type="dxa"/>
          <w:left w:w="0" w:type="dxa"/>
          <w:bottom w:w="0" w:type="dxa"/>
          <w:right w:w="0" w:type="dxa"/>
        </w:tblCellMar>
      </w:tblPr>
      <w:tblGrid>
        <w:gridCol w:w="1385"/>
        <w:gridCol w:w="60"/>
        <w:gridCol w:w="64"/>
        <w:gridCol w:w="856"/>
        <w:gridCol w:w="60"/>
        <w:gridCol w:w="60"/>
        <w:gridCol w:w="84"/>
        <w:gridCol w:w="1121"/>
        <w:gridCol w:w="60"/>
        <w:gridCol w:w="60"/>
        <w:gridCol w:w="60"/>
        <w:gridCol w:w="800"/>
        <w:gridCol w:w="60"/>
        <w:gridCol w:w="60"/>
        <w:gridCol w:w="109"/>
        <w:gridCol w:w="1456"/>
        <w:gridCol w:w="155"/>
        <w:gridCol w:w="60"/>
        <w:gridCol w:w="80"/>
        <w:gridCol w:w="1170"/>
        <w:gridCol w:w="155"/>
        <w:gridCol w:w="60"/>
        <w:gridCol w:w="78"/>
        <w:gridCol w:w="1277"/>
        <w:gridCol w:w="60"/>
        <w:gridCol w:w="60"/>
        <w:gridCol w:w="60"/>
        <w:gridCol w:w="980"/>
        <w:gridCol w:w="60"/>
        <w:gridCol w:w="60"/>
        <w:gridCol w:w="84"/>
        <w:gridCol w:w="1121"/>
        <w:gridCol w:w="60"/>
        <w:gridCol w:w="60"/>
        <w:gridCol w:w="60"/>
        <w:gridCol w:w="980"/>
        <w:gridCol w:w="60"/>
        <w:gridCol w:w="60"/>
        <w:gridCol w:w="109"/>
        <w:gridCol w:w="1456"/>
        <w:gridCol w:w="60"/>
        <w:gridCol w:w="60"/>
        <w:gridCol w:w="80"/>
        <w:gridCol w:w="1170"/>
        <w:gridCol w:w="155"/>
        <w:gridCol w:w="60"/>
        <w:gridCol w:w="112"/>
        <w:gridCol w:w="1843"/>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15" w:type="dxa"/>
            <w:gridSpan w:val="46"/>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4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 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 VIE’s</w:t>
              <w:b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 totals</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180,573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257,338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6,866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610,877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28,814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194,137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20,719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256,400</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Short-term investments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513,683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513,683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761,115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82,117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843,232</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Restricted short-term deposits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30,295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29,655</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Accounts receivable, net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52,074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6,106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58,180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100,265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6,217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106,482</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Inventories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834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(2,300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75,687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(11,197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101,634</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Prepayments and other current assets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1,627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3,924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68,298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4,785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107,653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28,495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140,922</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Amounts due from subsidiaries, the VIE and the VIE’s subsidiaries(3)</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13,697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58,567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104,153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86,496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(262,913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136,315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79,816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(351,870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Property and equipment, net and intangible assets, net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1,297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56,673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3,436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(1,182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60,224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4,258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201,044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61,259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(8,511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258,050</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Right-of-use assets, net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128,433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116,468</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Land use right, net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11,347</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Investment in subsidiaries(2)</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263,309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24,199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(287,508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113,129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(480,625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Others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15,830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(1,212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38,821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2,919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70,107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36,644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17,673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127,343</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assets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b/>
              </w:rPr>
            </w:pPr>
            <w:r>
              <w:rPr>
                <w:b/>
              </w:rPr>
              <w:t>971,262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347,864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697,003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b/>
              </w:rPr>
            </w:pPr>
            <w:r>
              <w:rPr>
                <w:b/>
              </w:rPr>
              <w:t>123,492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(555,123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1,584,498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1,078,151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374,272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1,138,182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b/>
              </w:rPr>
            </w:pPr>
            <w:r>
              <w:rPr>
                <w:b/>
              </w:rPr>
              <w:t>235,469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(834,541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b/>
              </w:rPr>
            </w:pPr>
            <w:r>
              <w:rPr>
                <w:b/>
              </w:rPr>
              <w:t>1,991,533</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Short-term bank loans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48,500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64,250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179,611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50,000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229,611</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Short-term debt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Amounts due to the Company, subsidiaries, the VIE and the VIE’s subsidiaries(3)</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74,878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82,179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(262,913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76,251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176,375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99,244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(351,870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Accounts payable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124,376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3,070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127,446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131,216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132,509</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Accrued expenses and other liabilities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9,334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836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101,652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31,919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6,455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150,196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7,808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203,804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39,877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2,726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263,439</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Contract liabilities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1,848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(6,455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62,561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2,058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60,839</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Lease liabilities – current &amp; non-current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138,246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138,246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130,524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130,524</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Long-term bank loans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7,000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20,500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82,700</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Net interest of subsidiaries and the VIEs(2)</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6,209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6,209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(18,627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Others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7,904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65,485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6,848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23,569</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Total liabilities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b/>
              </w:rPr>
            </w:pPr>
            <w:r>
              <w:rPr>
                <w:b/>
              </w:rPr>
              <w:t>15,619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b/>
              </w:rPr>
            </w:pPr>
            <w:r>
              <w:rPr>
                <w:b/>
              </w:rPr>
              <w:t>91,692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b/>
              </w:rPr>
            </w:pPr>
            <w:r>
              <w:rPr>
                <w:b/>
              </w:rPr>
              <w:t>675,809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b/>
              </w:rPr>
            </w:pPr>
            <w:r>
              <w:rPr>
                <w:b/>
              </w:rPr>
              <w:t>128,604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(283,040</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b/>
              </w:rPr>
            </w:pPr>
            <w:r>
              <w:rPr>
                <w:b/>
              </w:rPr>
              <w:t>628,684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9,224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b/>
              </w:rPr>
            </w:pPr>
            <w:r>
              <w:rPr>
                <w:b/>
              </w:rPr>
              <w:t>93,198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1,021,886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b/>
              </w:rPr>
            </w:pPr>
            <w:r>
              <w:rPr>
                <w:b/>
              </w:rPr>
              <w:t>150,117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(351,234</w:t>
            </w:r>
          </w:p>
        </w:tc>
        <w:tc>
          <w:tcPr>
            <w:tcW w:w="155"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b/>
              </w:rPr>
            </w:pPr>
            <w:r>
              <w:rPr>
                <w:b/>
              </w:rPr>
              <w:t>923,191</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Total shareholders’ equity (deficit)(2)</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b/>
              </w:rPr>
            </w:pPr>
            <w:r>
              <w:rPr>
                <w:b/>
              </w:rPr>
              <w:t>955,643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256,172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21,194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b/>
              </w:rPr>
            </w:pPr>
            <w:r>
              <w:rPr>
                <w:b/>
              </w:rPr>
              <w:t>(5,112</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(272,083</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b/>
              </w:rPr>
            </w:pPr>
            <w:r>
              <w:rPr>
                <w:b/>
              </w:rPr>
              <w:t>955,814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1,068,927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281,074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116,296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b/>
              </w:rPr>
            </w:pPr>
            <w:r>
              <w:rPr>
                <w:b/>
              </w:rPr>
              <w:t>85,352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(483,307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b/>
              </w:rPr>
            </w:pPr>
            <w:r>
              <w:rPr>
                <w:b/>
              </w:rPr>
              <w:t>1,068,342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Selected Condensed Consolidated Cash Flows Data </w:t>
      </w:r>
    </w:p>
    <w:p>
      <w:pPr>
        <w:pStyle w:val="TextBody"/>
        <w:bidi w:val="0"/>
        <w:spacing w:before="0" w:after="0"/>
        <w:jc w:val="left"/>
        <w:rPr/>
      </w:pPr>
      <w:r>
        <w:rPr/>
        <w:t> </w:t>
      </w:r>
    </w:p>
    <w:tbl>
      <w:tblPr>
        <w:tblW w:w="25070" w:type="dxa"/>
        <w:jc w:val="left"/>
        <w:tblInd w:w="0" w:type="dxa"/>
        <w:tblLayout w:type="fixed"/>
        <w:tblCellMar>
          <w:top w:w="0" w:type="dxa"/>
          <w:left w:w="0" w:type="dxa"/>
          <w:bottom w:w="0" w:type="dxa"/>
          <w:right w:w="0" w:type="dxa"/>
        </w:tblCellMar>
      </w:tblPr>
      <w:tblGrid>
        <w:gridCol w:w="770"/>
        <w:gridCol w:w="60"/>
        <w:gridCol w:w="60"/>
        <w:gridCol w:w="875"/>
        <w:gridCol w:w="155"/>
        <w:gridCol w:w="60"/>
        <w:gridCol w:w="84"/>
        <w:gridCol w:w="1121"/>
        <w:gridCol w:w="155"/>
        <w:gridCol w:w="60"/>
        <w:gridCol w:w="60"/>
        <w:gridCol w:w="755"/>
        <w:gridCol w:w="155"/>
        <w:gridCol w:w="60"/>
        <w:gridCol w:w="88"/>
        <w:gridCol w:w="1117"/>
        <w:gridCol w:w="155"/>
        <w:gridCol w:w="60"/>
        <w:gridCol w:w="80"/>
        <w:gridCol w:w="1170"/>
        <w:gridCol w:w="155"/>
        <w:gridCol w:w="60"/>
        <w:gridCol w:w="86"/>
        <w:gridCol w:w="1269"/>
        <w:gridCol w:w="155"/>
        <w:gridCol w:w="60"/>
        <w:gridCol w:w="60"/>
        <w:gridCol w:w="875"/>
        <w:gridCol w:w="155"/>
        <w:gridCol w:w="60"/>
        <w:gridCol w:w="84"/>
        <w:gridCol w:w="1121"/>
        <w:gridCol w:w="155"/>
        <w:gridCol w:w="60"/>
        <w:gridCol w:w="60"/>
        <w:gridCol w:w="755"/>
        <w:gridCol w:w="155"/>
        <w:gridCol w:w="60"/>
        <w:gridCol w:w="88"/>
        <w:gridCol w:w="1117"/>
        <w:gridCol w:w="155"/>
        <w:gridCol w:w="60"/>
        <w:gridCol w:w="80"/>
        <w:gridCol w:w="1170"/>
        <w:gridCol w:w="155"/>
        <w:gridCol w:w="60"/>
        <w:gridCol w:w="86"/>
        <w:gridCol w:w="1269"/>
        <w:gridCol w:w="155"/>
        <w:gridCol w:w="60"/>
        <w:gridCol w:w="60"/>
        <w:gridCol w:w="875"/>
        <w:gridCol w:w="155"/>
        <w:gridCol w:w="60"/>
        <w:gridCol w:w="77"/>
        <w:gridCol w:w="1128"/>
        <w:gridCol w:w="155"/>
        <w:gridCol w:w="60"/>
        <w:gridCol w:w="60"/>
        <w:gridCol w:w="875"/>
        <w:gridCol w:w="155"/>
        <w:gridCol w:w="60"/>
        <w:gridCol w:w="88"/>
        <w:gridCol w:w="1117"/>
        <w:gridCol w:w="155"/>
        <w:gridCol w:w="60"/>
        <w:gridCol w:w="1250"/>
        <w:gridCol w:w="155"/>
        <w:gridCol w:w="60"/>
        <w:gridCol w:w="1355"/>
        <w:gridCol w:w="17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70" w:type="dxa"/>
            <w:gridSpan w:val="7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4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70"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35" w:type="dxa"/>
            <w:gridSpan w:val="62"/>
            <w:tcBorders/>
            <w:vAlign w:val="center"/>
          </w:tcPr>
          <w:p>
            <w:pPr>
              <w:pStyle w:val="TableContents"/>
              <w:bidi w:val="0"/>
              <w:spacing w:before="0" w:after="283"/>
              <w:jc w:val="center"/>
              <w:rPr/>
            </w:pPr>
            <w:r>
              <w:rPr/>
              <w:t>(RMB in thousands)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Net cash flow (used in) generated from operating activities(4)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(18,778</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(72,341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(12,161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14,870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(88,410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(13,165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122,320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37,109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11,695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157,959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(64,845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(37,268</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(111,131</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33,738</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(179,506</w:t>
            </w:r>
          </w:p>
          <w:p>
            <w:pPr>
              <w:pStyle w:val="TableContents"/>
              <w:bidi w:val="0"/>
              <w:spacing w:before="0" w:after="283"/>
              <w:jc w:val="left"/>
              <w:rPr>
                <w:b/>
              </w:rPr>
            </w:pPr>
            <w:r>
              <w:rPr>
                <w:b/>
              </w:rPr>
              <w:t>) </w:t>
            </w:r>
          </w:p>
        </w:tc>
      </w:tr>
      <w:tr>
        <w:trPr/>
        <w:tc>
          <w:tcPr>
            <w:tcW w:w="77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Cash flows from investing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Capital contribution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150,755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(80,516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159,824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(128,000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(153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152,461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Redemption of short-term investments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444,759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444,759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371,753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46,975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418,728</w:t>
            </w:r>
          </w:p>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Purchase of short-term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(56,694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(885,706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(885,706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(600,989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(128,164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(729,153</w:t>
            </w:r>
          </w:p>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Proceeds received from maturity of short-term 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142,918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143,782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Payments for short-term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(14,164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(129,207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(130,071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Proceeds received from maturity of restricted short-term deposits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43,942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43,942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29,486</w:t>
            </w:r>
          </w:p>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Payments for restricted short-term 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(33,437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(33,437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(39,486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(39,486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(29,126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(29,126</w:t>
            </w:r>
          </w:p>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Other investing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(17,007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(24,397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(41,267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(18,552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(59,728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(178,230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p>
            <w:pPr>
              <w:pStyle w:val="TableContents"/>
              <w:bidi w:val="0"/>
              <w:spacing w:before="0" w:after="283"/>
              <w:jc w:val="right"/>
              <w:rPr/>
            </w:pPr>
            <w:r>
              <w:rPr/>
              <w:t>(17,732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(197,080</w:t>
            </w:r>
          </w:p>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Net cash flow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(221,115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(386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(40,939</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(17,007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150,755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(128,692</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(506,544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(80,425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(41,267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b/>
              </w:rPr>
            </w:pPr>
            <w:r>
              <w:rPr>
                <w:b/>
              </w:rPr>
              <w:t>(14,096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159,824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(482,508</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(253,544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(210,307</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(177,870</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(17,885</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152,461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(507,145</w:t>
            </w:r>
          </w:p>
          <w:p>
            <w:pPr>
              <w:pStyle w:val="TableContents"/>
              <w:bidi w:val="0"/>
              <w:spacing w:before="0" w:after="283"/>
              <w:jc w:val="left"/>
              <w:rPr>
                <w:b/>
              </w:rPr>
            </w:pPr>
            <w:r>
              <w:rPr>
                <w:b/>
              </w:rPr>
              <w:t>) </w:t>
            </w:r>
          </w:p>
        </w:tc>
      </w:tr>
      <w:tr>
        <w:trPr/>
        <w:tc>
          <w:tcPr>
            <w:tcW w:w="770" w:type="dxa"/>
            <w:tcBorders/>
            <w:vAlign w:val="center"/>
          </w:tcPr>
          <w:p>
            <w:pPr>
              <w:pStyle w:val="TableContents"/>
              <w:bidi w:val="0"/>
              <w:spacing w:before="0" w:after="0"/>
              <w:jc w:val="left"/>
              <w:rPr>
                <w:rFonts w:ascii="Times New Roman" w:hAnsi="Times New Roman"/>
                <w:b/>
                <w:sz w:val="14"/>
              </w:rPr>
            </w:pPr>
            <w:r>
              <w:rPr>
                <w:rFonts w:ascii="Times New Roman" w:hAnsi="Times New Roman"/>
                <w:b/>
                <w:sz w:val="14"/>
              </w:rPr>
              <w:t>Cash flows from financing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Capital contribution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150,255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(150,755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79,308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80,516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(159,824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24,308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(152,461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Proceeds from short-term bank loans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69,090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69,090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54,250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10,000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64,250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249,143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249,143</w:t>
            </w:r>
          </w:p>
          <w:p>
            <w:pPr>
              <w:pStyle w:val="TableContents"/>
              <w:bidi w:val="0"/>
              <w:spacing w:before="0" w:after="283"/>
              <w:jc w:val="left"/>
              <w:rPr/>
            </w:pPr>
            <w:r>
              <w:rPr/>
              <w:t> </w:t>
            </w:r>
          </w:p>
        </w:tc>
      </w:tr>
      <w:tr>
        <w:trPr/>
        <w:tc>
          <w:tcPr>
            <w:tcW w:w="770"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Repayment of a short-term bank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(44,640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(5,154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(49,794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(64,244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(4,846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(69,090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(83,758</w:t>
            </w:r>
          </w:p>
          <w:p>
            <w:pPr>
              <w:pStyle w:val="TableContents"/>
              <w:bidi w:val="0"/>
              <w:spacing w:before="0" w:after="283"/>
              <w:jc w:val="left"/>
              <w:rPr/>
            </w:pPr>
            <w:r>
              <w:rPr/>
              <w:t>) </w:t>
            </w:r>
          </w:p>
        </w:tc>
      </w:tr>
      <w:tr>
        <w:trPr/>
        <w:tc>
          <w:tcPr>
            <w:tcW w:w="77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Other financing activities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251,770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(75,586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176,184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688,043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18,154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706,197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150,546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p>
            <w:pPr>
              <w:pStyle w:val="TableContents"/>
              <w:bidi w:val="0"/>
              <w:spacing w:before="0" w:after="283"/>
              <w:jc w:val="right"/>
              <w:rPr/>
            </w:pPr>
            <w:r>
              <w:rPr/>
              <w:t>(2,000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172,046</w:t>
            </w:r>
          </w:p>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325" w:type="dxa"/>
        <w:jc w:val="left"/>
        <w:tblInd w:w="0" w:type="dxa"/>
        <w:tblLayout w:type="fixed"/>
        <w:tblCellMar>
          <w:top w:w="0" w:type="dxa"/>
          <w:left w:w="0" w:type="dxa"/>
          <w:bottom w:w="0" w:type="dxa"/>
          <w:right w:w="0" w:type="dxa"/>
        </w:tblCellMar>
      </w:tblPr>
      <w:tblGrid>
        <w:gridCol w:w="725"/>
        <w:gridCol w:w="60"/>
        <w:gridCol w:w="64"/>
        <w:gridCol w:w="856"/>
        <w:gridCol w:w="60"/>
        <w:gridCol w:w="60"/>
        <w:gridCol w:w="84"/>
        <w:gridCol w:w="1121"/>
        <w:gridCol w:w="60"/>
        <w:gridCol w:w="60"/>
        <w:gridCol w:w="60"/>
        <w:gridCol w:w="875"/>
        <w:gridCol w:w="155"/>
        <w:gridCol w:w="60"/>
        <w:gridCol w:w="97"/>
        <w:gridCol w:w="1108"/>
        <w:gridCol w:w="155"/>
        <w:gridCol w:w="60"/>
        <w:gridCol w:w="80"/>
        <w:gridCol w:w="1170"/>
        <w:gridCol w:w="155"/>
        <w:gridCol w:w="60"/>
        <w:gridCol w:w="94"/>
        <w:gridCol w:w="1261"/>
        <w:gridCol w:w="155"/>
        <w:gridCol w:w="60"/>
        <w:gridCol w:w="64"/>
        <w:gridCol w:w="856"/>
        <w:gridCol w:w="60"/>
        <w:gridCol w:w="60"/>
        <w:gridCol w:w="84"/>
        <w:gridCol w:w="1121"/>
        <w:gridCol w:w="60"/>
        <w:gridCol w:w="60"/>
        <w:gridCol w:w="60"/>
        <w:gridCol w:w="800"/>
        <w:gridCol w:w="60"/>
        <w:gridCol w:w="60"/>
        <w:gridCol w:w="116"/>
        <w:gridCol w:w="1089"/>
        <w:gridCol w:w="60"/>
        <w:gridCol w:w="60"/>
        <w:gridCol w:w="80"/>
        <w:gridCol w:w="1170"/>
        <w:gridCol w:w="155"/>
        <w:gridCol w:w="60"/>
        <w:gridCol w:w="94"/>
        <w:gridCol w:w="1261"/>
        <w:gridCol w:w="60"/>
        <w:gridCol w:w="60"/>
        <w:gridCol w:w="60"/>
        <w:gridCol w:w="875"/>
        <w:gridCol w:w="155"/>
        <w:gridCol w:w="60"/>
        <w:gridCol w:w="77"/>
        <w:gridCol w:w="1128"/>
        <w:gridCol w:w="155"/>
        <w:gridCol w:w="60"/>
        <w:gridCol w:w="60"/>
        <w:gridCol w:w="800"/>
        <w:gridCol w:w="60"/>
        <w:gridCol w:w="60"/>
        <w:gridCol w:w="97"/>
        <w:gridCol w:w="1108"/>
        <w:gridCol w:w="155"/>
        <w:gridCol w:w="60"/>
        <w:gridCol w:w="1250"/>
        <w:gridCol w:w="155"/>
        <w:gridCol w:w="60"/>
        <w:gridCol w:w="1355"/>
        <w:gridCol w:w="170"/>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70" w:type="dxa"/>
            <w:gridSpan w:val="7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EHang</w:t>
              <w:br/>
              <w:t>Holdings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Other</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WFOE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VIE and</w:t>
              <w:br/>
              <w:t>VIE’s</w:t>
              <w:b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totals</w:t>
            </w:r>
          </w:p>
        </w:tc>
        <w:tc>
          <w:tcPr>
            <w:tcW w:w="17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35" w:type="dxa"/>
            <w:gridSpan w:val="62"/>
            <w:tcBorders/>
            <w:vAlign w:val="center"/>
          </w:tcPr>
          <w:p>
            <w:pPr>
              <w:pStyle w:val="TableContents"/>
              <w:bidi w:val="0"/>
              <w:spacing w:before="0" w:after="283"/>
              <w:jc w:val="center"/>
              <w:rPr/>
            </w:pPr>
            <w:r>
              <w:rPr/>
              <w:t>(RMB in thousands)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b/>
              </w:rPr>
            </w:pPr>
            <w:r>
              <w:rPr>
                <w:b/>
              </w:rPr>
              <w:t>251,770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150,255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(50,636</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b/>
              </w:rPr>
            </w:pPr>
            <w:r>
              <w:rPr>
                <w:b/>
              </w:rPr>
              <w:t>(5,154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(150,755</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195,480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b/>
              </w:rPr>
            </w:pPr>
            <w:r>
              <w:rPr>
                <w:b/>
              </w:rPr>
              <w:t>688,043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79,308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88,676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b/>
              </w:rPr>
            </w:pPr>
            <w:r>
              <w:rPr>
                <w:b/>
              </w:rPr>
              <w:t>5,154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(159,824</w:t>
            </w:r>
          </w:p>
        </w:tc>
        <w:tc>
          <w:tcPr>
            <w:tcW w:w="155" w:type="dxa"/>
            <w:tcBorders/>
            <w:shd w:fill="CCEEFF" w:val="clear"/>
            <w:vAlign w:val="center"/>
          </w:tcPr>
          <w:p>
            <w:pPr>
              <w:pStyle w:val="TableContents"/>
              <w:bidi w:val="0"/>
              <w:spacing w:before="0" w:after="283"/>
              <w:jc w:val="left"/>
              <w:rPr>
                <w:b/>
              </w:rPr>
            </w:pPr>
            <w:r>
              <w:rPr>
                <w:b/>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701,357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150,546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24,308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317,038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(2,000</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(152,461</w:t>
            </w:r>
          </w:p>
          <w:p>
            <w:pPr>
              <w:pStyle w:val="TableContents"/>
              <w:bidi w:val="0"/>
              <w:spacing w:before="0" w:after="283"/>
              <w:jc w:val="left"/>
              <w:rPr>
                <w:b/>
              </w:rPr>
            </w:pPr>
            <w:r>
              <w:rPr>
                <w:b/>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337,431</w:t>
            </w:r>
          </w:p>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Effect of exchange rates on cash and cash equivalents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562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562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5,819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5,819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(5,257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(5,257</w:t>
            </w:r>
          </w:p>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left"/>
              <w:rPr>
                <w:rFonts w:ascii="Times New Roman" w:hAnsi="Times New Roman"/>
                <w:sz w:val="14"/>
              </w:rPr>
            </w:pPr>
            <w:r>
              <w:rPr>
                <w:rFonts w:ascii="Times New Roman" w:hAnsi="Times New Roman"/>
                <w:sz w:val="14"/>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11,877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78,090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(103,736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(21,060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pPr>
            <w:r>
              <w:rPr/>
              <w:t>168,334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127,022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2,753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382,627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(167,843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(228,524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13,853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(354,477</w:t>
            </w:r>
          </w:p>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Cash and cash equivalents at the beginning of the years</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362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52,226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185,318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11,404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249,310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right"/>
              <w:rPr/>
            </w:pPr>
            <w:r>
              <w:rPr/>
              <w:t>12,239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130,316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81,582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4,113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228,250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180,573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257,338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166,100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p>
            <w:pPr>
              <w:pStyle w:val="TableContents"/>
              <w:bidi w:val="0"/>
              <w:spacing w:before="0" w:after="283"/>
              <w:jc w:val="right"/>
              <w:rPr/>
            </w:pPr>
            <w:r>
              <w:rPr/>
              <w:t>6,866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610,877</w:t>
            </w:r>
          </w:p>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left"/>
              <w:rPr>
                <w:rFonts w:ascii="Times New Roman" w:hAnsi="Times New Roman"/>
                <w:b/>
                <w:sz w:val="14"/>
              </w:rPr>
            </w:pPr>
            <w:r>
              <w:rPr>
                <w:rFonts w:ascii="Times New Roman" w:hAnsi="Times New Roman"/>
                <w:b/>
                <w:sz w:val="14"/>
              </w:rPr>
              <w:t>Cash and cash equivalents at the end of the years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b/>
              </w:rPr>
            </w:pPr>
            <w:r>
              <w:rPr>
                <w:b/>
              </w:rPr>
              <w:t>12,239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130,316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81,582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b/>
              </w:rPr>
            </w:pPr>
            <w:r>
              <w:rPr>
                <w:b/>
              </w:rPr>
              <w:t>4,113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228,250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b/>
              </w:rPr>
            </w:pPr>
            <w:r>
              <w:rPr>
                <w:b/>
              </w:rPr>
              <w:t>180,573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b/>
              </w:rPr>
            </w:pPr>
            <w:r>
              <w:rPr>
                <w:b/>
              </w:rPr>
              <w:t>257,338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166,100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b/>
              </w:rPr>
            </w:pPr>
            <w:r>
              <w:rPr>
                <w:b/>
              </w:rPr>
              <w:t>6,866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610,877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12,730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b/>
              </w:rPr>
            </w:pPr>
            <w:r>
              <w:rPr>
                <w:b/>
              </w:rPr>
              <w:t>28,814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194,137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b/>
              </w:rPr>
            </w:pPr>
            <w:r>
              <w:rPr>
                <w:b/>
              </w:rPr>
              <w:t>20,719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b/>
              </w:rPr>
            </w:pPr>
            <w:r>
              <w:rPr>
                <w:b/>
              </w:rPr>
              <w:t>256,400</w:t>
            </w:r>
          </w:p>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4"/>
        </w:rPr>
      </w:pPr>
      <w:r>
        <w:rPr>
          <w:rFonts w:ascii="Times New Roman" w:hAnsi="Times New Roman"/>
          <w:sz w:val="14"/>
        </w:rPr>
        <w:t xml:space="preserve">Notes: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05"/>
        <w:gridCol w:w="5060"/>
      </w:tblGrid>
      <w:tr>
        <w:trPr/>
        <w:tc>
          <w:tcPr>
            <w:tcW w:w="305" w:type="dxa"/>
            <w:tcBorders/>
            <w:vAlign w:val="center"/>
          </w:tcPr>
          <w:p>
            <w:pPr>
              <w:pStyle w:val="TableContents"/>
              <w:bidi w:val="0"/>
              <w:spacing w:before="0" w:after="283"/>
              <w:jc w:val="left"/>
              <w:rPr/>
            </w:pPr>
            <w:r>
              <w:rPr/>
              <w:t>(1)</w:t>
            </w:r>
          </w:p>
        </w:tc>
        <w:tc>
          <w:tcPr>
            <w:tcW w:w="5060"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Represents the elimination of the intercompany transactions at the consolidation level.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Represents the elimination of the investment among EHang Holdings, EHang Holdings’ subsidiaries other than the WFOE, the WFOE, and the VIE and the VIE’s subsidiaries.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Represents the elimination of intercompany balances among EHang Holdings, EHang Holdings’ subsidiaries other than the WFOE, the WFOE, and the VIE and the VIE’s subsidiaries.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(4)</w:t>
            </w:r>
          </w:p>
        </w:tc>
        <w:tc>
          <w:tcPr>
            <w:tcW w:w="9961" w:type="dxa"/>
            <w:tcBorders/>
            <w:vAlign w:val="center"/>
          </w:tcPr>
          <w:p>
            <w:pPr>
              <w:pStyle w:val="TableContents"/>
              <w:bidi w:val="0"/>
              <w:spacing w:before="0" w:after="0"/>
              <w:jc w:val="left"/>
              <w:rPr>
                <w:rFonts w:ascii="Times New Roman" w:hAnsi="Times New Roman"/>
                <w:sz w:val="14"/>
              </w:rPr>
            </w:pPr>
            <w:r>
              <w:rPr>
                <w:rFonts w:ascii="Times New Roman" w:hAnsi="Times New Roman"/>
                <w:sz w:val="14"/>
              </w:rPr>
              <w:t xml:space="preserve">For the years ended December 31, 2023, 2024 and 2025, the WFOE did not charge any service fee from the VIE as the cumulative earnings were retained for VIE’s business development. For the year ended December 31, 2023, cash paid by the WFOE to the VIE and the VIE’s subsidiaries was RMB37.2 million, which represented purchase of software and inventories. For the year ended December 31, 2024 and 2025, cash received by the WFOE from the VIE and the VIE’s subsidiaries was RMB4.5 million and RMB76.4 million (US$10.9 million), respectively, which represented sales of inventories. For the years ended December 31, 2023, 2024 and 2025, cash paid by other subsidiaries to the WFOE were RMB3.2 million, nil and RMB6.0 million (US$0.9 million), respectively, which represented purchase of inventories.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283"/>
              <w:jc w:val="left"/>
              <w:rPr>
                <w:b/>
              </w:rPr>
            </w:pPr>
            <w:r>
              <w:rPr>
                <w:b/>
              </w:rPr>
              <w:t>A.</w:t>
            </w:r>
          </w:p>
        </w:tc>
        <w:tc>
          <w:tcPr>
            <w:tcW w:w="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283"/>
              <w:jc w:val="left"/>
              <w:rPr>
                <w:b/>
              </w:rPr>
            </w:pPr>
            <w:r>
              <w:rPr>
                <w:b/>
              </w:rPr>
              <w:t>B.</w:t>
            </w:r>
          </w:p>
        </w:tc>
        <w:tc>
          <w:tcPr>
            <w:tcW w:w="27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Capitalization and Indebtedness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283"/>
              <w:jc w:val="left"/>
              <w:rPr>
                <w:b/>
              </w:rPr>
            </w:pPr>
            <w:r>
              <w:rPr>
                <w:b/>
              </w:rPr>
              <w:t>C.</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Reasons for the Offer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275"/>
        <w:gridCol w:w="1145"/>
      </w:tblGrid>
      <w:tr>
        <w:trPr/>
        <w:tc>
          <w:tcPr>
            <w:tcW w:w="275" w:type="dxa"/>
            <w:tcBorders/>
            <w:vAlign w:val="center"/>
          </w:tcPr>
          <w:p>
            <w:pPr>
              <w:pStyle w:val="TableContents"/>
              <w:bidi w:val="0"/>
              <w:spacing w:before="0" w:after="283"/>
              <w:jc w:val="left"/>
              <w:rPr>
                <w:b/>
              </w:rPr>
            </w:pPr>
            <w:r>
              <w:rPr>
                <w:b/>
              </w:rPr>
              <w:t>D.</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Below please find a summary of the principal risks we face, organized under relevant headings.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growth depends on the demand for, and customers’ willingness to adopt, our products and air mobility solutions.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jurisdictions where we, the VIE and the VIE’s subsidiaries sell and plan to sell products, the commercial use of eVTOL aircraft is subject to an uncertain or lengthy approval process; we cannot predict when regulations will change, and any new regulations may impose onerous requirements and restrictions with which we, the VIE and the VIE’s subsidiaries, the eVTOL aircraft and potential customers may be unable to comply. As a result, we, the VIE and the VIE’s subsidiaries may be limited in, or completely restricted from, growing business in the foreseeable future.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make timely product deliveries due to limited production capacity.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framework and conditional agreements may not result in material sales of our products.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substantial customer concentration and we have experienced a significant increase in accounts receivable.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technology platform may not perform in line with customer specifications or expectations;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relatively young company with a short operating history, and we may not be able to sustain our rapid growth, effectively manage our growth or implement our business strategies.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Corporate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PRC government finds that the contractual arrangements between the WFOE, the VIE and the VIE’s shareholders do not comply with PRC regulations relating to the relevant industries, or if these regulations or the interpretation of existing regulations change in the future, we could be subject to penalties or be forced to relinquish our interests in those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contractual arrangements with the VIE and the VIE’s shareholders for certain business operations in the PRC, which may not be as effective as direct ownership in providing operational control.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failure by the VIE or the VIE’s shareholders to perform their obligations under our contractual arrangements with them would have a material and adverse effect on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of the VIE may have potential conflicts of interest with us, which may materially and adversely affect our business and financial condition.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lose the ability to use and enjoy assets held by the VIE that are material to certain business operations in the PRC if the VIE goes bankrupt or becomes subject to a dissolution or liquidation proceeding.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dual-class share structure with different voting rights will limit your ability to influence corporate matters and could discourage others from pursuing any change of control transactions that holders of our Class A ordinary shares and ADSs may view as beneficial.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Doing Business in China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government’s significant oversight over our and the VIE’s business operation could result in a material adverse change in our operations and the value of the ADSs.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in the interpretation and enforcement of PRC laws and regulations could limit the legal protections available to you and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adversely affected by the complexities, uncertainties and changes in PRC regulations on technology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and the filing with the CSRC or other PRC governmental authorities may be required in connection with our future offshore offerings under PRC law and if required, we cannot predict whether or how soon we will be able to obtain such approval or complete such filing.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ADSs will be delisted and prohibited from trading in the U.S. under the Holding Foreign Companies Accountable Act, or the HFCAA, if the PCAOB is unable to inspect or fully investigate auditors located in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Increases in labor costs and enforcement of stricter labor laws and regulations in the PRC may adversely affect our business and our profitability.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ADSs and Trading Market </w:t>
      </w:r>
    </w:p>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ADSs is likely to be volatile, which could result in substantial losses to investors.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our business, or if they adversely change their recommendations regarding the ADSs, the market price for the ADSs and trading volume could decline.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sale or availability for sale of substantial amounts of the ADSs could adversely affect their market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a “controlled company” within the meaning of the Nasdaq Stock Market Rules and, as a result, may rely on exemptions from certain corporate governance requirements that provide protection to shareholders of other companies.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future growth depends on the demand for, and customers’ willingness to adopt, our products and air mobility solutions. </w:t>
      </w:r>
    </w:p>
    <w:p>
      <w:pPr>
        <w:pStyle w:val="TextBody"/>
        <w:bidi w:val="0"/>
        <w:spacing w:before="120" w:after="0"/>
        <w:jc w:val="left"/>
        <w:rPr>
          <w:rFonts w:ascii="Times New Roman" w:hAnsi="Times New Roman"/>
          <w:sz w:val="20"/>
        </w:rPr>
      </w:pPr>
      <w:r>
        <w:rPr>
          <w:rFonts w:ascii="Times New Roman" w:hAnsi="Times New Roman"/>
          <w:sz w:val="20"/>
        </w:rPr>
        <w:t xml:space="preserve">We operate in the new and evolving AAM industry. Our business and operating results depend in large part on the acceptance of and demand for our pilotless eVTOL aircraft and air mobility solutions. The success of these products and services are and will be subject to risks, including with respect to: </w:t>
      </w:r>
    </w:p>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of market reception and adoption of pilotless eVTOL aircraft as air mobility solutions;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navigate a new and evolving regulatory environment;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timely fulfillment of product orders;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safe, high-quality and cost-effective eVTOL aircraft and provide after-sales services on an ongoing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our pilotless eVTOL aircraft relative to customer expectations and customers’ interest in and demand for our pilotless eVTOL aircraft and air mobility solutions; and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building a well-recognized and respected brand.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failure to manage the risks described above may discourage current or potential customers from purchasing our products or using our commercial solutions, and there may be downward price pressure on our products and commercial solutions. If the market for eVTOL aircraft or air mobility solutions does not develop as we expect or develops more slowly than we expect, our business, prospects, financial condition and operating results will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the jurisdictions where we, the VIE and the VIE’s subsidiaries sell and plan to sell products, the commercial use of eVTOL aircraft is subject to an uncertain or lengthy approval process; we cannot predict when regulations will change, and any new regulations may impose onerous requirements and restrictions with which we, the VIE and the VIE’s subsidiaries, the eVTOL aircraft and potential customers may be unable to comply. As a result, we, the VIE and the VIE’s subsidiaries may be limited in, or completely restricted from, growing business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operate in a new and rapidly evolving industry, which is subject to extensive legal and regulatory requirements. As described below, in the jurisdictions relevant to us, the commercial use and delivery of our various eVTOL aircraft are, and in the near future are expected to continue to be, subject to an uncertain or lengthy approval process. In October 2023, December 2023, March 2024 and March 2025, we obtained the Type Certificate (“TC”), the Standard Airworthiness Certificate (“AC”), the PC and the Air Operator Certificate (“OC”), respectively, for EH216-S from the CAAC, demonstrating that EH216-S is qualified for conducting human-carrying commercial operations and mass production. Moreover, our TC application for our VT35 lift-and-cruise pilotless eVTOL aircraft to the CAAC was accepted in March 2025. However, PRC and U.S. regulations impose significant restrictions on UAVs. We cannot predict when these regulations will change, and any new regulations may impose onerous requirements and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China, the CAAC, published the Guidance on UAV Airworthiness Assessment Based on Operation Risks, or the UAV Airworthiness Guidance, on January 25, 2019, which is based on the assessment, classification and management of operational risks of UAVs. As we operate in the new and evolving industry, we contribute to the rules and regulations as a member of the CAAC Special Expert Taskforce. On October 29, 2021, the CAAC further published the Civil Unmanned Aircraft System Airworthiness Certification Management Procedures (Draft for Comments), Civil Unmanned Aircraft System Safety Analysis Guidelines (Draft for Comment), and Civil Unmanned Aircraft Registration Management Procedures (Draft for Comment). Such draft UAV rules mainly cover the medium UAVs weigh between 25 kilograms and 150 kilograms, and large UAVs exceed 150 kilograms in weight. We submitted an application for the EH216-S Type Certification to the CAAC in December 2020, which was accepted by the CAAC in January 2021. Our EH216-S human-carrying pilotless eVTOL aircraft, as a special category aircraft under Section 21.17 of Certification Procedures for Civil Aviation Products and Parts, or CCAR-21, is required to meet the criteria set forth in </w:t>
      </w:r>
      <w:r>
        <w:rPr>
          <w:rFonts w:ascii="Times New Roman" w:hAnsi="Times New Roman"/>
          <w:i/>
          <w:sz w:val="20"/>
        </w:rPr>
        <w:t>Special Conditions for Type Certification of EH216-S Unmanned Aircraft System</w:t>
      </w:r>
      <w:r>
        <w:rPr>
          <w:rFonts w:ascii="Times New Roman" w:hAnsi="Times New Roman"/>
          <w:sz w:val="20"/>
        </w:rPr>
        <w:t xml:space="preserve">, or Special Conditions, promulgated by the CAAC on February 9, 2022. The Special Conditions provided clear safety requirements for the certification of EH216-S with respect to flight performance, aircraft structures, design and manufacture, propulsion system, data link, ground control station, etc. We have passed through the Type Certification phases of Concept Design, Requirements Definition, Compliance Planning, and Demonstration and Verification of Compliance to conduct tests, including laboratory tests, ground tests and inspections, flight tests and data analysis. On May 31, 2023, the Provisional Regulation for the Flight Administration of Unmanned Aerial Vehicles was promulgated by the State Council and the Central Military Commission and came into effect on January 1, 2024, which is the first administrative regulation on the management of unmanned aerial vehicles in China that stipulates the standards and requirements to apply for the operation certificate of UAVs. In October 2023, we obtained the TC for EH216-S from the CAAC. This demonstrates that the EH216-S’s model design complies with CAAC’s safety standards and airworthiness requirements, and that the EH216-S is qualified for conducting human-carrying commercial operations. However, we cannot assure you that we can satisfy the relevant requirements or standards under the detailed rules or regulations to be promulgated in the future, which may materially and adversely affect our business and future prospects.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EH216-S is subject to several operational restrictions under the TC and OC issued by the CAAC. These certifications currently prohibit the EH216-S from operating in adverse weather conditions, including rain, snow, thunderstorms, icing, sandstorms, and heavy fog, and limit operations to daytime only. In addition, the EH216-S is restricted to operating exclusively within segregated, uncontrolled airspace, over sparsely populated areas, and always within the sight of the ground crew. Takeoff and landing on water are also strictly prohibited. These restrictions are intended to ensure the safe operation of the EH216-S. Our ability to expand the commercial deployment and operational range of the EH216-S could be impeded unless the CAAC relaxes or removes these restrictions. There can be no assurance that we will be able to obtain such relaxation or removal in a timely manner, or at all. If these operational restrictions are not relaxed or removed in a timely manner, or at all, our ability to scale our operations, expand into new markets, or fully realize the commercial potential of the EH216-S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Further, the VIE and the VIE’s subsidiaries are required to obtain approvals from competent aviation authorities for flight activities or proposed flights in connection with our business. As such approvals are usually granted on a one-off basis or are only valid for a limited period of time and the competent aviation authority may exercise air traffic control under certain circumstances which may restrict us from operating our eVTOL aircraft from time to time, we cannot assure you that the VIE and the VIE’s subsidiaries will be able to obtain such approval for each matter on which we will work on with our customers or partners in the future. If such approval is not granted in a timely manner, we, the VIE and the VIE’s subsidiaries, as well as our and their customers or partners will not be able to fly the eVTOL aircraft in the proposed flight routes. </w:t>
      </w:r>
    </w:p>
    <w:p>
      <w:pPr>
        <w:pStyle w:val="TextBody"/>
        <w:bidi w:val="0"/>
        <w:spacing w:before="240" w:after="0"/>
        <w:jc w:val="left"/>
        <w:rPr>
          <w:rFonts w:ascii="Times New Roman" w:hAnsi="Times New Roman"/>
          <w:sz w:val="20"/>
        </w:rPr>
      </w:pPr>
      <w:r>
        <w:rPr>
          <w:rFonts w:ascii="Times New Roman" w:hAnsi="Times New Roman"/>
          <w:sz w:val="20"/>
        </w:rPr>
        <w:t xml:space="preserve">As we sell our products internationally, we face challenges in quickly and sufficiently familiarizing ourselves with foreign regulatory environments and policy frameworks. If any new regulation is put in place, or a different interpretation of existing regulation is adopted, our ability to manufacture, market, sell or operate our products or to advertise or deliver air mobility solutions in general may be limited or otherwise affected. Failure to comply with applicable regulations or to obtain, maintain or renew the necessary permits, licenses, registrations or certificates could cause delays in, or prevent us from, manufacturing, marketing, selling and operating our products, meeting product demand and expectations, introducing new products or expanding our service coverage, and could materially and adversely affect our operation results. If we are found to be in violation of applicable laws or regulations, we could be subject to administrative punishment, including fines, injunctions, recalls or asset seizures, as well as potential criminal sanctions, any of which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unable to make timely product deliveries due to limited production capacity. </w:t>
      </w:r>
    </w:p>
    <w:p>
      <w:pPr>
        <w:pStyle w:val="TextBody"/>
        <w:bidi w:val="0"/>
        <w:spacing w:before="120" w:after="0"/>
        <w:jc w:val="left"/>
        <w:rPr>
          <w:rFonts w:ascii="Times New Roman" w:hAnsi="Times New Roman"/>
          <w:sz w:val="20"/>
        </w:rPr>
      </w:pPr>
      <w:r>
        <w:rPr>
          <w:rFonts w:ascii="Times New Roman" w:hAnsi="Times New Roman"/>
          <w:sz w:val="20"/>
        </w:rPr>
        <w:t xml:space="preserve">Commercial production of our pilotless eVTOL aircraft requires timely and adequate supply of various types of raw materials and components, as well as mass production capacity and efficient manufacturing and assembly. We have limited experience in high-volume manufacturing of our pilotless eVTOL aircraft. We cannot assure you that we will be able to expand our production capacity efficiently and cost-effectively, or to procure sufficient raw materials and components to meet our production volume. While we are looking into expanding our manufacturing capacity through partnerships, such partnerships may not be successful, or we may not be able to do so in a timely manner to fulfill our backlog orders. While we obtain components from multiple sources whenever possible, some of the components used in our products are currently selected to be purchased from a single source to improve cost- efficiency. Disruption in the supply of components, whether or not from a single-source supplier, could temporarily disrupt commercial production of our products. We also outsource certain manufacturing activities to third party contract manufacturers. We may experience operational difficulties with our contract manufacturers, including reductions in the availability of production capacity, failure to comply with product specifications, insufficient quality control, failure to meet production deadlines, increases in manufacturing costs and longer lead time. </w:t>
      </w:r>
    </w:p>
    <w:p>
      <w:pPr>
        <w:pStyle w:val="TextBody"/>
        <w:bidi w:val="0"/>
        <w:spacing w:before="240" w:after="0"/>
        <w:jc w:val="left"/>
        <w:rPr>
          <w:rFonts w:ascii="Times New Roman" w:hAnsi="Times New Roman"/>
          <w:sz w:val="20"/>
        </w:rPr>
      </w:pPr>
      <w:r>
        <w:rPr>
          <w:rFonts w:ascii="Times New Roman" w:hAnsi="Times New Roman"/>
          <w:sz w:val="20"/>
        </w:rPr>
        <w:t xml:space="preserve">Any of the foregoing could result in our failure to make timely deliveries to our customers. Such failure would materially and adversely affect our business, results of operations,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framework and conditional agreements may not result in material sales of our products.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 number of long-term agreements with customers relating to the sale of our products. Some of these agreements are conditional, and our counterparty is not obligated to purchase our products unless a number of conditions are satisfied. Some other agreements are framework agreements containing sales targets, but that does not obligate our counterparties to purchase our products at all. We expect the number of orders and pre-orders we receive under these framework agreements to depend on a number of factors, including changes in the regulatory environment, customers’ acceptance of and demand for our products and services and our production capacity. For the foregoing reasons, we may not receive substantial orders from our current or potential customers. As our long-term agreements may not result in material sales of our products, our future results of operations may not scale or otherwise meet our current expectations.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substantial customer concentration. </w:t>
      </w:r>
    </w:p>
    <w:p>
      <w:pPr>
        <w:pStyle w:val="TextBody"/>
        <w:bidi w:val="0"/>
        <w:spacing w:before="120" w:after="0"/>
        <w:jc w:val="left"/>
        <w:rPr>
          <w:rFonts w:ascii="Times New Roman" w:hAnsi="Times New Roman"/>
          <w:sz w:val="20"/>
        </w:rPr>
      </w:pPr>
      <w:r>
        <w:rPr>
          <w:rFonts w:ascii="Times New Roman" w:hAnsi="Times New Roman"/>
          <w:sz w:val="20"/>
        </w:rPr>
        <w:t xml:space="preserve">In 2023, 2024 and 2025, our largest customer accounted for 24%, 26% and 24% of our revenues, respectively. There are inherent risks whenever a large percentage of revenues are concentrated with a limited number of customers that mainly operate our pilotless eVTOL aircraft in tourism locations in China, rather than in broad, mainstream commercial operations. We are unable to predict the future level of demand for our products and/or services that will be generated by these customers. If our major customers were to cease purchasing our products or services, cancel existing orders or fail to make payments to us in a timely fashion, our business and results of operations will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technology platform may not perform in line with customer specifications or expectations. </w:t>
      </w:r>
    </w:p>
    <w:p>
      <w:pPr>
        <w:pStyle w:val="TextBody"/>
        <w:bidi w:val="0"/>
        <w:spacing w:before="120" w:after="0"/>
        <w:jc w:val="left"/>
        <w:rPr>
          <w:rFonts w:ascii="Times New Roman" w:hAnsi="Times New Roman"/>
          <w:sz w:val="20"/>
        </w:rPr>
      </w:pPr>
      <w:r>
        <w:rPr>
          <w:rFonts w:ascii="Times New Roman" w:hAnsi="Times New Roman"/>
          <w:sz w:val="20"/>
        </w:rPr>
        <w:t xml:space="preserve">Our eVTOL aircraft and other UAVs, as well as the related technology systems such as in-flight operating systems and on-the-ground infrastructure, may not perform in line with customers’ expectations or prescribed technical specifications, and our related support services may from time to time experience outages, service slowdowns or errors. For example, our eVTOL products may not be as easy to operate or maintain as customers expect, and customers may experience service failures or interruptions due to defects in software, infrastructure, components or engineering systems, or due to errors in product installation. In addition, certain orders and pre-orders of our eVTOL products are conditioned on their meeting with defined technical specifications (such as a specified cruising speed, operational range and payload capacity) according to agreed-upon delivery timetables. Future customers may also require performance specifications that we are unable to deliver. Some of these technical specifications prescribed by customers, such as those dependent on battery technology, are constrained by the pace of general technological advancement and the capabilities of our suppliers, which are largely beyond our control.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systems may contain design or manufacturing defects that result in unsatisfactory performance or require repair. Our technology systems use a substantial amount of algorithms and software to operate. Software products are inherently complex and may contain “bugs” that can unexpectedly interfere with intended operations, especially when first introduced. Defects may also occur in components, processes or infrastructure used in our products or for our services. While we have performed extensive internal testing on our software and hardware systems and have obtained the airworthiness certification, we have a limited frame of reference by which to evaluate the long-term performance of our technology systems. There can be no assurance that we will be able to detect and fix all defects in our hardware and software before we sell products and services to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technology systems are defective or otherwise fails to perform as expected or in accordance with prescribed technical specifications and timetable, or if our services experience outages or interruptions, our products may experience accidents and we may suffer adverse publicity, order cancelations, revenue declines, delivery delays, product recalls, product liability claims, and significant warranty and other expenses, decreases in customer confidence and loyalty, loss of market share to competitors, and harm to our reputation. These consequences could have a material adverse impact on our business, financial condition, operating results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reputation and the trading price of the ADSs may be negatively affected by adverse publicity or detrimental conduct against us. </w:t>
      </w:r>
    </w:p>
    <w:p>
      <w:pPr>
        <w:pStyle w:val="TextBody"/>
        <w:bidi w:val="0"/>
        <w:spacing w:before="120" w:after="0"/>
        <w:jc w:val="left"/>
        <w:rPr>
          <w:rFonts w:ascii="Times New Roman" w:hAnsi="Times New Roman"/>
          <w:sz w:val="20"/>
        </w:rPr>
      </w:pPr>
      <w:r>
        <w:rPr>
          <w:rFonts w:ascii="Times New Roman" w:hAnsi="Times New Roman"/>
          <w:sz w:val="20"/>
        </w:rPr>
        <w:t xml:space="preserve">Adverse publicity concerning our failure or perceived failure to comply with legal and regulatory requirements, alleged accounting or financial reporting irregularities, regulatory scrutiny and further regulatory action or litigation could harm our reputation and cause the trading price of the ADSs to decline and fluctuate significantly. For example, after Wolfpack Research, an entity unrelated to us, issued a report containing various allegations about us in February 2021, the trading price of the ADSs declined sharply. The negative publicity and the resulting decline of the trading price of the ADSs also led to the filing of three putative shareholder class action lawsuits against us and some of our senior executive officers. Though unsuccessful, these lawsuits had further negative impact on the market price of the ADSs and diverted management’s attention from the day-to-day operations of our company. Additionally, in November 2023, short seller Hindenburg Research published a report containing untrue statements and misinterpretation of information regarding our business operations and financial conditions. Our audit committee has conducted an independent review of the allegations raised in the report with the assistance of independent counsel and the independent review is complete. Based on such independent review, our audit committee has concluded that the allegations in the report published by Hindenburg Research were not substantiated. The report also led to the filing of a securities class action complaint against us and certain of our officers and directors. See “Item 8. Financial Information—A. Consolidated Statements and Other Financial Information—Legal Proceedings.” Our management and audit committee conducted additional procedures and actions to mitigate risks of the short seller allegations. However, we may be constrained in the manner in which we can proceed against the relevant short sellers by principles of freedom of speech, applicable state law or issues of commercial 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We may continue to be the target of adverse publicity and detrimental conduct against us, including complaints, anonymous or otherwise, to regulatory agencies regarding our operations, accounting, revenues and regulatory compliance. Additionally, allegations against us may be posted on the internet by any person or entity which identifies itself or on an anonymous basis. We, the VIE and the VIE’s subsidiaries may be subject to government or regulatory investigation or inquiries, or shareholder lawsuits, as a result of such third-party conduct and may be required to incur significant time and substantial costs to defend ourselves, and there is no assurance that we, the VIE and the VIE’s subsidiaries will be able to conclusively refute each of the allegations within a reasonable period of time or at all. Our reputation may also be negatively affected as a result of the public dissemination of allegations or malicious statements about us, which in turn may materially and adversely affect the trading price of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relatively young company with a short operating history, and we may not be able to sustain our rapid growth, effectively manage our growth or implement our business strategies. </w:t>
      </w:r>
    </w:p>
    <w:p>
      <w:pPr>
        <w:pStyle w:val="TextBody"/>
        <w:bidi w:val="0"/>
        <w:spacing w:before="120" w:after="0"/>
        <w:jc w:val="left"/>
        <w:rPr>
          <w:rFonts w:ascii="Times New Roman" w:hAnsi="Times New Roman"/>
          <w:sz w:val="20"/>
        </w:rPr>
      </w:pPr>
      <w:r>
        <w:rPr>
          <w:rFonts w:ascii="Times New Roman" w:hAnsi="Times New Roman"/>
          <w:sz w:val="20"/>
        </w:rPr>
        <w:t xml:space="preserve">We, the VIE and the VIE’s subsidiaries have been providing UAV commercial solutions since 2014. Although we have experienced growth, our historical performance may not be indicative of our future performance due to our limited operating history. We are currently commercializing our products and air mobility solutions, and have a short history of accepting orders for our products and delivering them to customers for testing, training, demonstration and limited trial operation purposes. There is only a limited historical basis for making judgments on the demand for our products and services or our ability to produce and deliver products and air mobility solutions, or to become profitable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consider our business and future prospects in light of the risks and challenges we face as a new entrant to a nascent industry and to overseas markets, including risks and challenges associated with our ability to: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safe, convenient and effective air mobility solutions;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reliable, secure, high-performance and scalable infrastructure;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 suitable facilities to expand manufacturing capacity;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navigate the evolving and complex regulatory environment across all the markets in which we operate;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 and adapt to changing market conditions, including technological developments and changes in the competitive landscape, and adjust, manage and execute our marketing and sales activities to cater to local economic and demographic conditions, cultural differences and customer preferences across all our current and future markets;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successfully market our commercial solutions;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improve and maintain our operational efficiency; and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attract, retain and motivate talented employees.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address any or all of these risks and challenges, our business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As our business grows, we, the VIE or the VIE’s subsidiaries may adjust our product and service offerings. These adjustments may not bring about expected results and may instead have a material and adverse impact on our financial condition and results of operations. For example, we and the VIE historically manufactured and sold consumer drones while we and the VIE were developing our pilotless eVTOL aircraft and commercial solutions. Our consumer drone business was not successful. We and the VIE gradually phased out this business to focus on more innovative products and services. Our revenue structure may continue to evolve in response to market demand. Our growth is dependent on the development of such new products and services. We may not accurately identify market needs before we invest in the development of a new product or a new service. In addition, we might face difficulties or delays in the development process, which may result in losses in our market share and competitive advantages. </w:t>
      </w:r>
    </w:p>
    <w:p>
      <w:pPr>
        <w:pStyle w:val="TextBody"/>
        <w:bidi w:val="0"/>
        <w:spacing w:before="240" w:after="0"/>
        <w:jc w:val="left"/>
        <w:rPr>
          <w:rFonts w:ascii="Times New Roman" w:hAnsi="Times New Roman"/>
          <w:sz w:val="20"/>
        </w:rPr>
      </w:pPr>
      <w:r>
        <w:rPr>
          <w:rFonts w:ascii="Times New Roman" w:hAnsi="Times New Roman"/>
          <w:sz w:val="20"/>
        </w:rPr>
        <w:t xml:space="preserve">In pursuit of our growth strategy, we, the VIE or the VIE’s subsidiaries may enter into new strategic relationships to further penetrate our targeted markets. Should these relationships fail to materialize and develop into demand or orders for our products and services, or should we fail to work effectively with these companies, we may lose opportunities to generate sales growth and our business, results of operations and financial condition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UAVs and commercial solutions are subject to safety standards, and the failure to satisfy such mandated safety standards or failure to design, manufacture and operate safe and high-performance products and related operating systems and infrastructure would have a material adverse effect on our business and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Sales of our products must comply with applicable standards in the market where they are sold, including standards on design, manufacturing and operation. In China, for example, certain components of our products must pass various tests and undergo a certification process and be affixed with a China Compulsory Certificate, or CCC, before they can be installed on our products. We cannot assure you that we have obtained the CCC for all the components of our products that are listed in the CCC Product Catalogue. Failure to install components with a CCC may prevent us from selling the affected products and negatively affect our manufacturing and sales of our products. See “Item 4. Information on the Company—B. Business Overview—PRC Regulation” for further details. In the United States, the FAA oversees the safety of aircraft operations in the national airspace system and has the authority to grant AC and related exemptions to unmanned aircraft systems. If we fail to have our products satisfy applicable aerial vehicle standards in any jurisdiction where we operate, our business and operating results would be adversely affected. To achieve a high level of safety assurance, we have also established our own products safety standards. While we are committed to producing safe and high-quality products, there can be no assurance that our safety technology will be effective in preventing incidents related to product safety, such as accidents involving our products. Failure to ensure the safe operation of our products will affect our reputation and the sales of our products, which will ultimately adversely affect our business operation and financial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incurred, and in the future may continue to incur, net losses. </w:t>
      </w:r>
    </w:p>
    <w:p>
      <w:pPr>
        <w:pStyle w:val="TextBody"/>
        <w:bidi w:val="0"/>
        <w:spacing w:before="120" w:after="0"/>
        <w:jc w:val="left"/>
        <w:rPr>
          <w:rFonts w:ascii="Times New Roman" w:hAnsi="Times New Roman"/>
          <w:sz w:val="20"/>
        </w:rPr>
      </w:pPr>
      <w:r>
        <w:rPr>
          <w:rFonts w:ascii="Times New Roman" w:hAnsi="Times New Roman"/>
          <w:sz w:val="20"/>
        </w:rPr>
        <w:t xml:space="preserve">We have incurred net losses in the past. In 2023, 2024 and 2025, we had net losses of RMB302.3 million, RMB230.0 million and RMB276.4 million (US$39.5 million), respectively. We had net operating cash outflows of RMB88.4 million and RMB179.5 million (US$25.7 million) in 2023 and 2025, respectively, and net operating cash inflows of RMB158.0 million in 2024. We expect our net losses to decrease in future periods as we continue to expand our business and operations. See “Item 5. Operating and Financial Review Prospect—B. Liquidity and Capital Resources” for more information on our liquidity and capital resources. We also expect to incur substantial costs and expenses as a result of being a public company. </w:t>
      </w:r>
    </w:p>
    <w:p>
      <w:pPr>
        <w:pStyle w:val="TextBody"/>
        <w:bidi w:val="0"/>
        <w:spacing w:before="240" w:after="0"/>
        <w:jc w:val="left"/>
        <w:rPr>
          <w:rFonts w:ascii="Times New Roman" w:hAnsi="Times New Roman"/>
          <w:sz w:val="20"/>
        </w:rPr>
      </w:pPr>
      <w:r>
        <w:rPr>
          <w:rFonts w:ascii="Times New Roman" w:hAnsi="Times New Roman"/>
          <w:sz w:val="20"/>
        </w:rPr>
        <w:t xml:space="preserve">We cannot assure you that we will be able to generate net profits or positive operating cash flows in the future. Our ability to achieve profitability depends in large part on, among other factors, our ability to increase orders and sales of our eVTOL aircraft and other UAVs, commercial solutions and services, achieve economies of scale, establish effective pricing strategies, effectively navigate the regulatory environments in different jurisdictions, and increase operational efficiency. If we are unable to generate adequate revenues or effectively manage our expenses, we may continue to incur significant losses in the future and may not be able to achieve or subsequently maintain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competing in the UAV industry. </w:t>
      </w:r>
    </w:p>
    <w:p>
      <w:pPr>
        <w:pStyle w:val="TextBody"/>
        <w:bidi w:val="0"/>
        <w:spacing w:before="120" w:after="0"/>
        <w:jc w:val="left"/>
        <w:rPr>
          <w:rFonts w:ascii="Times New Roman" w:hAnsi="Times New Roman"/>
          <w:sz w:val="20"/>
        </w:rPr>
      </w:pPr>
      <w:r>
        <w:rPr>
          <w:rFonts w:ascii="Times New Roman" w:hAnsi="Times New Roman"/>
          <w:sz w:val="20"/>
        </w:rPr>
        <w:t xml:space="preserve">We operate in the AAM industry and provide various products and services. In addition to competing with other AAM companies, we compete with traditional industry players providing similar products and services, such as aircraft and ground transportation service providers. 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 </w:t>
      </w:r>
    </w:p>
    <w:p>
      <w:pPr>
        <w:pStyle w:val="TextBody"/>
        <w:bidi w:val="0"/>
        <w:spacing w:before="240" w:after="0"/>
        <w:jc w:val="left"/>
        <w:rPr>
          <w:rFonts w:ascii="Times New Roman" w:hAnsi="Times New Roman"/>
          <w:sz w:val="20"/>
        </w:rPr>
      </w:pPr>
      <w:r>
        <w:rPr>
          <w:rFonts w:ascii="Times New Roman" w:hAnsi="Times New Roman"/>
          <w:sz w:val="20"/>
        </w:rPr>
        <w:t xml:space="preserve">We expect competition in our industry to intensify in the future in light of increased demand for alternative transportation, continuing globalization, and consolidation in the global AAM industry. Factors affecting competition include, among others, ability to innovate, development speed, product quality, reliability, safety and features, pricing, and customer service. Increased competition may lead to lower product unit sales and increased inventory, which may result in downward price pressure and adversely affect our business, financial condition, operating results,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successfully compete in our industry will be fundamental to our future success in existing and new markets and will affect our market share. If our competitors introduce products or services that are superior in quality or performance and/or lower in price compared with our offerings, we may lose existing customers or be unable to attract new customers at prices that would allow us to generate attractive rates of return on our investment,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significant cybersecurity incident or disruption to our operating systems, command-and-control systems, or information systems and infrastructure could subject us to significant reputational, financial, legal and operational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depend on our and the VIE’s integrated in-flight operating systems and on-the-ground infrastructure to operate our products and services. Any material disruption to or slowdown of our operating systems or infrastructure could cause our products to malfunction or result in outages or delays in our services, which could harm our brand and adversely affect our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Our command-and-control systems rely on our proprietary cloud database, which can store data collected under our clients’ approvals. Problems with our command-and-control systems or our telecommunications network providers could adversely affect our services and products. Our telecommunications network providers could decide to cease providing services to us without adequate notice. Any change in service levels of our telecommunications network or any errors, defects, disruptions or other performance problems with our operating systems or infrastructure could harm our brand and potentially affect our user data. If changes in technology cause our operating systems or infrastructure to become obsolete, or if our operating systems or command-and-control systems are inadequate to support our growth, we could lose customers, and our business and operating results could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could be subject to breaches of security by hackers. Although we proactively employ multiple measures to defend our systems against intrusions and attacks, our measures may not prevent unauthorized access or use of sensitive data. A breach of our UAV operating systems or command-and-control systems may result in product damages, data losses and, in extreme cases, accidents or hijacking of our UAVs to perform unlawful activities. </w:t>
      </w:r>
    </w:p>
    <w:p>
      <w:pPr>
        <w:pStyle w:val="TextBody"/>
        <w:bidi w:val="0"/>
        <w:spacing w:before="240" w:after="0"/>
        <w:jc w:val="left"/>
        <w:rPr>
          <w:rFonts w:ascii="Times New Roman" w:hAnsi="Times New Roman"/>
          <w:sz w:val="20"/>
        </w:rPr>
      </w:pPr>
      <w:r>
        <w:rPr>
          <w:rFonts w:ascii="Times New Roman" w:hAnsi="Times New Roman"/>
          <w:sz w:val="20"/>
        </w:rPr>
        <w:t xml:space="preserve">A cybersecurity breach could harm our reputation and deter our customers and potential customers from using our products. In addition, any such breach could cause us to incur costs to correct the breaches or failures, expose us to uninsured liability, increase our risk of regulatory scrutiny, subject us to lawsuits and result in the imposition of material penalties and fines.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rely on information technology systems that we or our third-party providers operate to process, transmit and store electronic information in our day-to-day operations. A successful cyberattack or other cybersecurity incident could result in the theft or destruction of our operational, financial and other data, or other misappropriation of assets, or otherwise compromise our confidential or proprietary information and disrupt our operations. Cybersecurity incidents are increasing in their frequency, sophistication, level of persistence and intensity, and are being conducted by sophisticated and organized groups and individuals with a wide range of motives and expertise. Cyberattacks could include wrongful conduct by hostile foreign governments, industrial espionage, wire fraud and other forms of cyber fraud, the deployment of harmful malware, denial-of-service, ransomware, social engineering fraud or other means to threaten data security, confidentiality, integrity and availability. For example, in July 2023, we experienced a cybersecurity incident that caused a temporary disruption in accessing specific approval processes within our internal and independently functioning approval OA system. To mitigate the impact, we undertook several measures, including promptly restored a backup version. The OA system has no direct interface with other operational or financial systems, and no sensitive data leakage was reported up to the date of this annual report. We believe the impacts of the cybersecurity incident were immaterial. We may also experience cybersecurity incidents that may remain undetected for an extended period.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cybersecurity incidents are a threat, and there can be no assurance that our efforts will prevent cybersecurity incidents that would result in business, legal, financial or reputational harm to us, or would have a material adverse effect on our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accident involving a UAV provided by us or another manufacturer or operator could harm the UAV industry. </w:t>
      </w:r>
    </w:p>
    <w:p>
      <w:pPr>
        <w:pStyle w:val="TextBody"/>
        <w:bidi w:val="0"/>
        <w:spacing w:before="120" w:after="0"/>
        <w:jc w:val="left"/>
        <w:rPr>
          <w:rFonts w:ascii="Times New Roman" w:hAnsi="Times New Roman"/>
          <w:sz w:val="20"/>
        </w:rPr>
      </w:pPr>
      <w:r>
        <w:rPr>
          <w:rFonts w:ascii="Times New Roman" w:hAnsi="Times New Roman"/>
          <w:sz w:val="20"/>
        </w:rPr>
        <w:t xml:space="preserve">An accident involving a UAV provided by us or another manufacturer or operator could cause regulatory agencies around the world to tighten restrictions on the use of UAVs, particularly over-populated areas, and could cause the public to lose confidence in our products and UAVs generally. There are risks associated with autopilot, flight control, communications and other advanced technologies, and, from time to time, there have been accidents associated with these technologies. The safety of certain cutting-edge technologies depends in part on user interaction, and users may not be accustomed to using such technologies. We, the VIE or the VIE’s subsidiaries could face unfavorable and tightened regulatory control and intervention on the use of autopilot and other advanced technologies and be subject to liability and government scrutiny to the extent accidents associated with our autonomous navigation systems occur. Should a high-profile accident occur resulting in substantial casualty or damages, either involving our UAVs or products offered by other companies, public confidence in and regulatory attitudes toward UAVs could deteriorate. Any of the foregoing could materially and adversely affect our results of operations, financial condition and growth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compelled to undertake product recalls or take other actions, which could adversely affect our brand image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products may not perform in line with customers’ expectations. Any product defects, accidents or any other failure of our products to perform as expected could harm our reputation and result in adverse publicity, revenue loss, delivery delays and product recalls, which could harm our brand and reputation. Any product recall or lawsuit seeking significant monetary damages either in excess of or outside of our insurance coverage may have a material adverse effect on our business and financial condition. In the future, we may, voluntarily or involuntarily, initiate a recall if any of our products, including any systems or components sourced from our suppliers, prove to be defective or noncompliant with applicable laws and regulations. Such recalls, whether voluntary or involuntary and whether caused by systems or components engineered or manufactured by us or our suppliers, could incur significant expenses and adversely affect our brand image in our target markets. They may also inhibit or prevent commercialization of our current and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subject to product liability claims or warranty claims, which could harm our financial condition and liquidity if we are not able to successfully defend or insure against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may be exposed to significant product liability claims if our products do not perform as expected or malfunction. Any defects, errors, or failures in our products or the misuse of our products, operating systems and infrastructure could also result in injury, death or property damage. Our risks in this area are particularly pronounced given we have limited field experience in the operation of our products. A successful product liability claim against us could require us to pay a substantial monetary award. Moreover, a product liability claim could generate substantial negative publicity about our products and business and inhibit or prevent commercialization of our current and future models. Our insurance coverage might not be sufficient to cover all potential product liability claims. In addition, the same level of insurance coverage may not be available in the future at economical prices, or at all. Even if we are fully insured as it relates to a claim, the claim could nevertheless diminish our brand and divert management’s attention and resources, which could have a negative impact on our business, financial condition and result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generally provide standard warranties on our products. The term of a warranty is between six months to three years, depending on the product line and the specific part or component. The occurrence of any material defects in our products could make us liable for damages and warranty claims. In addition, we could incur significant costs to correct any defects or other problems, including costs related to product recalls. Warranty claims may also lead to litigation. Any negative publicity related to the perceived quality of our products could affect our brand image, decrease retailer, distributor and customer demand, and adversely affect our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successfully develop and commercialize new products, services and technologies that are well received by customers, our operating results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depends on whether we can continually develop and introduce new generations of our existing product lines and update our operating systems and infrastructure with enhanced functionalities and value-added services. This is particularly important in the current industry landscape where technologies and consumer preferences evolve rapidly, which may shorten the lifecycles of our existing products. We plan to upgrade our current models and introduce new models in order to continue to provide products with the latest technologies. As technological advancements can be complex and costly, we could experience delays in the development and introduction of new products and services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roll out new and innovative products and services depends on a number of factors, including significant investments in research and development, quality control of our products and services, effective management of our supply chain and required certifications. We may need to devote more resources to the research and development of new or enhanced products, services and technologies, which may reduce our profitability. In addition, our research and development efforts may not yield the benefits we expect to achieve in a timely manner, or at all. To the extent that we are unable to execute our strategy of continuously introducing new and innovative products, diversifying our product portfolio and satisfying consumers’ changing preferences, we may not be able to grow our user base, and our competitive position and results of operations may be adversely affected. Even if we are able to keep up with technological changes and develop new models, our prior models may as a result become obsolete sooner than expected, potentially reducing our return on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limited experience in managing sales to multiple countries and we are subject to a variety of costs and risks due to our continued international expansion. </w:t>
      </w:r>
    </w:p>
    <w:p>
      <w:pPr>
        <w:pStyle w:val="TextBody"/>
        <w:bidi w:val="0"/>
        <w:spacing w:before="120" w:after="0"/>
        <w:jc w:val="left"/>
        <w:rPr>
          <w:rFonts w:ascii="Times New Roman" w:hAnsi="Times New Roman"/>
          <w:sz w:val="20"/>
        </w:rPr>
      </w:pPr>
      <w:r>
        <w:rPr>
          <w:rFonts w:ascii="Times New Roman" w:hAnsi="Times New Roman"/>
          <w:sz w:val="20"/>
        </w:rPr>
        <w:t xml:space="preserve">We delivered six, eight and five EH216 series products abroad in 2023, 2024 and 2025, respectively. We have entered into sales contracts with customers outside China. In 2023, we delivered our EH216 series products to customers in Japan, Brazil, Columbia, Saudi Arab and Qatar. In 2024, we delivered our EH216 series products to customers in Japan, Brazil, the United Arab Emirates and the Dominican Republic. In 2025, we delivered five units of the EH216 series products to customers in Malaysia, Thailand, South Korea and Japan. As international expansion is one of our core strategies, we expect our international sales to increase in the future. In markets outside China, we generally have less experience in marketing, selling and deploying our products. International expansion has required and will continue to require us to invest significant capital and other resources, and our efforts may not be successful. International sales and operations are subject to risks such as: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limited brand recognition;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establishing new distribution networks;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75"/>
        <w:gridCol w:w="110"/>
        <w:gridCol w:w="60"/>
        <w:gridCol w:w="5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difficulty in finding qualified partners for overseas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inability to anticipate changes in local market conditions, economic landscapes, and consumers’ preferences and customs;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110"/>
        <w:gridCol w:w="6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 staffing and managing foreign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lack of familiarity with and understanding of the local legal, regulatory and policy frameworks, as well as burdens of complying with a wide variety of local laws and regulations, including those governing personal data protection and safety control;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political and economic instability; </w:t>
            </w:r>
          </w:p>
        </w:tc>
      </w:tr>
    </w:tbl>
    <w:p>
      <w:pPr>
        <w:pStyle w:val="TextBody"/>
        <w:bidi w:val="0"/>
        <w:spacing w:before="0" w:after="0"/>
        <w:jc w:val="left"/>
        <w:rPr/>
      </w:pPr>
      <w:r>
        <w:rPr/>
        <w:t> </w:t>
      </w:r>
    </w:p>
    <w:tbl>
      <w:tblPr>
        <w:tblW w:w="1735" w:type="dxa"/>
        <w:jc w:val="left"/>
        <w:tblInd w:w="0" w:type="dxa"/>
        <w:tblLayout w:type="fixed"/>
        <w:tblCellMar>
          <w:top w:w="0" w:type="dxa"/>
          <w:left w:w="0" w:type="dxa"/>
          <w:bottom w:w="0" w:type="dxa"/>
          <w:right w:w="0" w:type="dxa"/>
        </w:tblCellMar>
      </w:tblPr>
      <w:tblGrid>
        <w:gridCol w:w="75"/>
        <w:gridCol w:w="110"/>
        <w:gridCol w:w="60"/>
        <w:gridCol w:w="14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restrictions;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10"/>
        <w:gridCol w:w="60"/>
        <w:gridCol w:w="6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differing employment laws and practices, as well as potential labor disruptions;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110"/>
        <w:gridCol w:w="60"/>
        <w:gridCol w:w="3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government controls;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lesser degrees of intellectual property protection;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tariffs and customs duties and the classifications of our goods by applicable governmental bodies; and </w:t>
            </w:r>
          </w:p>
        </w:tc>
      </w:tr>
    </w:tbl>
    <w:p>
      <w:pPr>
        <w:pStyle w:val="TextBody"/>
        <w:bidi w:val="0"/>
        <w:spacing w:before="0" w:after="0"/>
        <w:jc w:val="left"/>
        <w:rPr/>
      </w:pPr>
      <w:r>
        <w:rPr/>
        <w:t> </w:t>
      </w:r>
    </w:p>
    <w:tbl>
      <w:tblPr>
        <w:tblW w:w="4825" w:type="dxa"/>
        <w:jc w:val="left"/>
        <w:tblInd w:w="0" w:type="dxa"/>
        <w:tblLayout w:type="fixed"/>
        <w:tblCellMar>
          <w:top w:w="0" w:type="dxa"/>
          <w:left w:w="0" w:type="dxa"/>
          <w:bottom w:w="0" w:type="dxa"/>
          <w:right w:w="0" w:type="dxa"/>
        </w:tblCellMar>
      </w:tblPr>
      <w:tblGrid>
        <w:gridCol w:w="75"/>
        <w:gridCol w:w="110"/>
        <w:gridCol w:w="6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legal system subject to undue influence or corruption.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to export our products to certain jurisdictions, we may face challenges in coordinating with both PRC and the applicable foreign governments and regulatory authorities. Moreover, our eVTOL products may be required to obtain a TC or other relevant certifications from the aviation authorities of the importing country before they can be commercially operated in those jurisdictions. The process of obtaining such certifications can be time-consuming, costly, and subject to significant uncertainty, as it often involves rigorous technical reviews and compliance with local aviation standards, which may differ from those in the PRC. Delays or failures in securing the necessary certifications could hinder or prevent our ability to export and commercialize our products in certain markets, and our business, prospects, financial condition and operating results may be materially and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The failure to manage any of these risks could negatively affect our international business and consequently our overall business and operating results. In addition, the concern over these risks may also prevent us from entering into, or marketing, selling or releasing certain of our products and commercial solutions and related services in, certain markets.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rely on some third-party distributors for sales, marketing and distribution activities relating to our products. </w:t>
      </w:r>
    </w:p>
    <w:p>
      <w:pPr>
        <w:pStyle w:val="TextBody"/>
        <w:bidi w:val="0"/>
        <w:spacing w:before="120" w:after="0"/>
        <w:jc w:val="left"/>
        <w:rPr>
          <w:rFonts w:ascii="Times New Roman" w:hAnsi="Times New Roman"/>
          <w:sz w:val="20"/>
        </w:rPr>
      </w:pPr>
      <w:r>
        <w:rPr>
          <w:rFonts w:ascii="Times New Roman" w:hAnsi="Times New Roman"/>
          <w:sz w:val="20"/>
        </w:rPr>
        <w:t xml:space="preserve">Some of our business partners act as third-party distributors that sell, market and distribute our products to their customers. Such third-party distributors may contribute a substantial portion of our revenue. When goods are shipped to distributor, who acknowledged the receipt of goods, control of the goods is transferred to the distributor. We recognize the revenue once control passes to the distributor, and other conditions as set out in ASC 606 are met. We started our distributor model in 2024. Accordingly, we may be subject to a number of risks associated with third-party distributors. If our distributors are not able to effectively distribute our products to their downstream customers, their future purchases from us and our financial performance may in turn be adversely affected. Besides, our distributors may engage in various forms of misconduct, even if we prohibit them from doing so in our agreements with them, including but not limited to, unauthorized sales of products or distribution into regions that violate exclusive distribution rights, unauthorized or improper use of our brand name, inadequate promotion of our products. In addition, third-party distributors may terminate their arrangements with us on limited or no notice, or may change the terms of these arrangements in a manner that is unfavorable to us for reasons outside of our control; and any disagreements with our third-party distributors could lead to costly and time-consuming litigation or arbitration.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may be interrupted by production difficulties or delays due to mechanical failures, utility shortages or stoppages, fire, natural disaster or other calamities at or near our facilities. </w:t>
      </w:r>
    </w:p>
    <w:p>
      <w:pPr>
        <w:pStyle w:val="TextBody"/>
        <w:bidi w:val="0"/>
        <w:spacing w:before="120" w:after="0"/>
        <w:jc w:val="left"/>
        <w:rPr>
          <w:rFonts w:ascii="Times New Roman" w:hAnsi="Times New Roman"/>
          <w:sz w:val="20"/>
        </w:rPr>
      </w:pPr>
      <w:r>
        <w:rPr>
          <w:rFonts w:ascii="Times New Roman" w:hAnsi="Times New Roman"/>
          <w:sz w:val="20"/>
        </w:rPr>
        <w:t xml:space="preserve">Production difficulties, such as capacity constraints, mechanical and systems failures and the need for equipment upgrades, may suspend our production and/or reduce our output. There can be no assurance that we will not experience problems with our production facilities in the future or that we will be able to address any such problems in a timely manner. Problems with key equipment in one or more of our production facilities may affect our ability to produce our products or cause us to incur significant expenses to repair or replace such equipment. Scheduled and unscheduled maintenance programs may affect our production output. Any of these could have a material adverse effect on our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We depend on a continuous supply of utilities, such as electricity and water, to operate our production facilities. Any disruption to the supply of electricity or other utilities may disrupt our production, or cause the deterioration or loss of our inventory. This could adversely affect our ability to fulfill our sales orders and consequently may have an adverse effect on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are vulnerable to natural disasters and other calamities such as hurricanes, tornadoes, floods, earthquakes and other adverse weather and climate conditions.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depends on the continuing efforts of our key employees, including our senior management members and other key personnel. If we fail to hire, retain and motivate our key employees, we could lose the innovation, collaboration and focus that contribute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success depends substantially on the continued efforts of our key employees, including our senior management members and other qualified and key personnel. We rely on our executive officers, senior management and key employees to generate business and execute programs successfully. In addition, the relationships and reputation that members of our management and key employees have established and maintain with government personnel contribute to our ability to maintain good customer relations and to identify new business opportunities. The loss of any key personnel or our failure to attract additional talent could reduce our employee retention, disrupt our research and development activities and operations, and impair our revenue growth and competitiveness. If one or more of our executive officers or key employees were unable or unwilling to continue their services with us, we might not be able to replace them easily, in a timely manner, or at all, and we might lose the innovation, collaboration and focus that contribute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and prospects depend significantly on our ability to build our EHang brand.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prospects are heavily dependent on our ability to build, maintain and strengthen the EHang brand. If we do not continue to establish, maintain and strengthen our brand, we may lose the opportunity to build a critical mass of customers. Promoting and positioning our brand will likely depend significantly on our ability to provide high-quality products and commercial solutions and engage with our customers as intended. In addition, we expect that our ability to develop, maintain and strengthen the EHang brand will also depend heavily on the success of our user development and branding efforts. Such efforts mainly include building a community of engaged online and offline users as well as other branding initiatives, such as product shows and events. To promote our brand, we may be required to change our user development and branding practices, which could result in substantially increased expenses. If we do not develop and maintain a strong brand, our business, prospects, financial condition and operating results will be materially and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Our EHang brand could be subject to adverse publicity if incidents related to our products occur or are perceived to have occurred, whether or not we are at fault. In particular, given the popularity of social media, including WeChat and Weibo in China, any negative publicity, regardless of its truthfulness, could quickly proliferate and harm consumer perceptions of and confidence in our brand. Furthermore, we may be affected by adverse publicity related to our manufacturing or other partners, whether or not such publicity is related to their collaboration with us. Our ability to successfully position our brand could also be adversely affected by perceptions of the quality of our partners’ products and services. In addition, from time to time, our products and commercial solutions are evaluated and reviewed by third parties. Any unfavorable reviews could adversely affect consumer perceptions of our products and commercial solutions.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brand may be negatively impacted by the misuse or misrepresentation of the EHang name by third parties. For example, there have been instances where third parties have impersonated EHang employees to conduct commercial activities, which could mislead customers and damage our reputation. Furthermore, insufficient protection of our brand name has led to the registration of companies in various regions using the EHang name to engage in similar business activities. Such unauthorized use of our brand by unrelated entities may cause confusion in the market, dilute our brand value, and adversely affect consumer trust and our competitive position. If we are unable to effectively prevent or address these issues, our business, prospects, financial condition, and operating results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Weather and seasonality may have a material adverse effect on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sales of products and commercial solutions may be affected by weather and seasonality. Our commercial solutions are mainly delivered outdoors. Customers may choose alternative transportation in severe weather conditions in consideration of safety factors, even if our products are able to endure such conditions. As a result, our business, financial condition and operating results may be materially and adversely impacted by the weather conditions. Our operating results may vary from period to period due to many factors, including seasonal factors that may have an effect on the demand for our commercial solutions in the future. As a result, our quarterly results of operations and financial position at the end of a particular quarter may not necessarily be representative of the results we expect at year-end or in other quarters of a year. Our operating results would suffer if we did not achieve revenues consistent with our expectations due to seasonal demand and weather changes because many of our expenses are based on anticipated levels of annual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decline in the business of our business partners or the deterioration of our relationship with them could have a material adverse effect on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collaborate with various business partners to promote our products and commercial solutions. There can be no guarantee that those business partners will continue to collaborate with us in the future. If we are unable to maintain good relationships with our business partners, or the business of our business partners declines, the reach of our products and services may be adversely affected and our ability to maintain and expand our user base may decrease.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Most of the agreements with our business partners do not prohibit them from working with our competitors or from offering competing services. If our partners change their standard terms and conditions in a manner that is detrimental to our business, or if our business partners decide not to continue working with us, or choose to devote more resources to supporting our competitors or their own competing products, we may not be able to find a substitute on commercially favorable terms, or at all, and our competitive advantages may diminish.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external suppliers for raw materials and certain key externally sourced components and parts used in the assembly of our products, and have limited control over the quality of these components and parts. </w:t>
      </w:r>
    </w:p>
    <w:p>
      <w:pPr>
        <w:pStyle w:val="TextBody"/>
        <w:bidi w:val="0"/>
        <w:spacing w:before="120" w:after="0"/>
        <w:jc w:val="left"/>
        <w:rPr>
          <w:rFonts w:ascii="Times New Roman" w:hAnsi="Times New Roman"/>
          <w:sz w:val="20"/>
        </w:rPr>
      </w:pPr>
      <w:r>
        <w:rPr>
          <w:rFonts w:ascii="Times New Roman" w:hAnsi="Times New Roman"/>
          <w:sz w:val="20"/>
        </w:rPr>
        <w:t xml:space="preserve">We purchase certain key externally sourced components and raw materials, such as computers chips, batteries, motors and electronic displays, from external suppliers for use in our assembly, production and operations of our products. A continuous and stable supply of components and raw materials that meet our standards is crucial to our assembly, production and operations. We cannot assure you that we will be able to maintain our existing relationships with our suppliers and continue to be able to stably source key components and raw materials at reasonable prices, or at all. We have integrated our suppliers’ technologies within our products such that having to change to an alternative supplier may cause significant disruption to our operations. The supply of key components could be interrupted for any reason, or there could be significant increases in the prices of these key components. Additionally, changes in business conditions, force majeure, governmental changes and other factors beyond our control, or that we do not presently anticipate, could also affect our suppliers’ ability to deliver components to us on a timely basis. If any of these events occurs, our business, financial condition, results of operations and prospects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cannot guarantee that the quality of components and parts manufactured by external suppliers will be consistent and maintained at a high standard. Any defects of or quality issues with these components or any noncompliance incidents associated with these third-party suppliers could result in quality issues with our products and hence compromise our brand image and results of operations. In extreme situations, we may be exposed to liabilities as a result of significant damages caused by certain components from external suppliers and we cannot assure you that we will be able to obtain sufficient insurance coverage at an acceptable cost in the future. A successful claim brought against us in excess of our available insurance coverage may have a material adverse effect on our business,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Safety issues or public perceptions of safety issues concerning lithium-ion batteries could have a material adverse impact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battery packs installed on our products make use of lithium-ion cells. On rare occasions, lithium-ion cells can rapidly release the energy they contain by venting smoke and flames in a manner that can ignite nearby materials as well as other lithium-ion cells. While the battery packs used for our products are designed to passively contain any single cell’s release of energy without spreading to neighboring cells, a field or testing failure of our products could occur, which could result in accidents, casualty or damages, and subject us to lawsuits, product recalls, and/or redesign efforts. Also, negative public perceptions regarding the suitability of lithium-ion cells for aircraft applications or any future incident involving lithium-ion cells, even if such incident does not involve our products, could seriously harm our business. 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third-party logistics providers to deliver our domestic sales orders and certain overseas orders. Inadequate third-party logistics services or failure to mitigate the risks of damage or disruption to our distribution logistics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transport and sell our products is critical to our success across our operations. We typically rely on third-party logistics service providers to deliver our domestic sales orders and certain overseas orders. Damage or disruption to our distribution logistics due to disputes, weather, natural disasters, fire, explosions, terrorism, pandemics or labor strikes could impair our ability to distribute or sell our products. Inadequate third-party logistics services could also potentially disrupt our distribution and sales and compromise our business reputation.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fail to comply with environmental protection and work safety laws and regulations, we could become subject to fines or penalties or incur costs that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numerous environmental protection and work safety laws and regulations. For more details, see “Item 4. Information on the Company—B. Business Overview—PRC Regulation—Environmental Protection and Work Safety.” We also could incur significant costs associated with civil or criminal fines and penalties for failure to comply with such laws and regulations. Environmental and social laws and regulations have tended to become increasingly stringent. There has been increased global focus on environmental and social issues and it is possible that China may potentially adopt more stringent standards or new regulations in these areas. To the extent regulatory changes occur in the future, they could result in, among other things, increased costs to our company. In addition, we may incur substantial costs in order to comply with current or future environmental protection and work safety laws and regulations. These current or future laws and regulations may impair our research, development or production efforts. Our failure to comply with these laws and regulations also may result in substantial fines, penalties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business partners, contractors, suppliers, sales agents, dealers or third-party logistics services providers fail to use ethical business practices and comply with applicable laws and regulations, our brand image could be harmed due to negative publicity beyond our own control. </w:t>
      </w:r>
    </w:p>
    <w:p>
      <w:pPr>
        <w:pStyle w:val="TextBody"/>
        <w:bidi w:val="0"/>
        <w:spacing w:before="120" w:after="0"/>
        <w:jc w:val="left"/>
        <w:rPr>
          <w:rFonts w:ascii="Times New Roman" w:hAnsi="Times New Roman"/>
          <w:sz w:val="20"/>
        </w:rPr>
      </w:pPr>
      <w:r>
        <w:rPr>
          <w:rFonts w:ascii="Times New Roman" w:hAnsi="Times New Roman"/>
          <w:sz w:val="20"/>
        </w:rPr>
        <w:t xml:space="preserve">Our reputation is sensitive to allegations of unethical business practices. We do not control the business practices of our business partners, independent contractors and suppliers, sales agents, dealers or third-party logistics services providers. Accordingly, we cannot guarantee their compliance with ethical business practices, such as environmental responsibilities, fair wage practices, and compliance with child labor laws, among others. A lack of demonstrated compliance could lead us to seek alternative suppliers, sales agents or dealers, which could increase our costs and result in delayed delivery of our products, product shortages or other disruptions of our operations. Violation of labor or other laws by our suppliers, business partners, sales agent, dealers or third-party logistics services suppliers or the divergence of their labor or other practices from those generally accepted as ethical in the markets in which we do business could also attract negative publicity, diminish our brand image and reduce demand for our products and commercial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customers modify our products or operating systems, the products may not operate properly, which may cause damage, create negative publicity and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may try to modify our products or operating systems for various reasons, which could compromise the performance and safety of our products, as well as the safety of their passengers. During such modifications, they may use third-party parts that may not be compatible with our products. We do not test, nor do we endorse, such modification. In addition, the use of improper external cabling or unsafe charging outlets can expose our customers to injury from product malfunctioning. Any injuries or damages resulting from such modifications or misuses could result in adverse publicity, which would negatively affect our brand and harm our business, prospects, financial condition and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new health epidemic could significantly disrupt our operations and adversely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business could be significantly affected by public health epidemics that may hit China and/or other countries where we sell our products, such as the outbreak of coronavirus, avian influenza, severe acute respiratory syndrome, or SARS, Zika virus, Ebola virus or other disease. For example, the severity of the past COVID-19 pandemic resulted in lock-downs, travel restrictions and quarantines imposed by governments across the world and materially affected general commercial activities on a global scale. In 2022, we experienced delayed fulfillments from suppliers as well as reduced demand for our products from the tourism sector, which suffered disproportionately from the pandemic. The majority of our revenue generated from sales of the EH216 series products are from a limited number of customers that mainly operate our products in tourism locations in China, rather than in broad, mainstream commercial operations. Therefore, in 2021 and 2022, we faced delayed collection of our accounts receivable from some of our customers later than the due dates. A COVID-19 outbreak may result in these customers ceasing purchases, canceling or reducing orders for our products or services, or failing to make payments owed to us in a timely manner or at all, which may materially and adversely impact our business and result of operations. The COVID-19 pandemic had caused an economic downturn in many countries. Such general economic slowdown may reduce the demand for our products and services. Any future outbreak of a contagious disease, and other adverse public health developments may restrict economic activities in affected regions, resulting in reduced business volume, temporary closure of our production facilities and offices or otherwise disrupt our business operations and adversely affect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Heightened tensions in international relations, particularly between the United States and China, may adversely impact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Recently there have been heightened tensions in international relations, particularly between the United States and China. These tensions have affected both diplomatic and economic ties among countries. Heightened tensions could reduce levels of trade, investments, technological exchanges, and other economic activities between the major economies. The existing tensions and any further deterioration in the relationship between the United States and China may have a negative impact on the general, economic, political, and social conditions in both countries and, given our reliance on the Chinese market, adversely impact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August 9, 2023, the Biden administration released an executive order and an advanced notice of proposed rule-making, providing a conceptual framework for the Outbound Investment Security Program (“OISP”) focused on China. On June 21, 2024, the U.S. Department of the Treasury, or the Treasury, issued a proposed rule for the OSIP. On October 28, 2024, the Treasury issued a Final Rule to implement the executive order of August 9, 2023. The Final Rule became effective on January 2, 2025. The Final Rule targets investments by U.S. persons that involve natural persons and entities associated with “countries of concern,” currently China, including Hong Kong and Macau, and it imposes investment prohibition and notification requirements on a wide range of investments in companies engaged in certain types of activities relating to three sectors: (1) advanced microchips and microelectronics, (2) quantum computing, and (3) artificial intelligence systems, or collectively the Covered Activities, with persons from countries of concern engaged in these Covered Activities defined as “Covered Foreign Persons.” The OISP could apply to certain U.S. persons (including their controlled foreign entities, if applicable) outside the United States who may participate in investments through offshore transactions in accordance with Regulation S. Investments by U.S. persons subject to the Final Rule, which are defined as “covered transactions,” include acquisitions of equity interests, certain debt financing, joint ventures, and certain investments as a limited partner in a non-U.S. person pooled investment fund. The Final Rule excludes some investments from the scope of covered transactions, including those in publicly traded securities listed on a national stock exchange. The Final Rule is aimed at exerting greater U.S. government oversight over U.S. direct and indirect investments involving China, and may introduce new hurdles and uncertainties for cross-border collaborations, investments, and funding opportunities of China-based issuers including us. Because we are not involved in any Covered Activities, including that our aircraft do not rely on AI systems such as machine learning, neural networks or generative models for takeoff, navigation and landing, we do not believe that we are a Covered Foreign Person under the Final Rule. Accordingly, we do not believe that the Final Rule’s prohibitions and notification requirements are applicable to our securities offerings. However, if we were to be deemed a Covered Foreign Person engaged in Covered Activities, the Final Rule could limit our ability to raise capital from U.S. investors generally, in which case our ability to raise such capital may be significantly and negatively affected, which could be detrimental to our business, financial condition and prospects. </w:t>
      </w:r>
    </w:p>
    <w:p>
      <w:pPr>
        <w:pStyle w:val="TextBody"/>
        <w:bidi w:val="0"/>
        <w:spacing w:before="240" w:after="0"/>
        <w:jc w:val="left"/>
        <w:rPr>
          <w:rFonts w:ascii="Times New Roman" w:hAnsi="Times New Roman"/>
          <w:sz w:val="20"/>
        </w:rPr>
      </w:pPr>
      <w:r>
        <w:rPr>
          <w:rFonts w:ascii="Times New Roman" w:hAnsi="Times New Roman"/>
          <w:sz w:val="20"/>
        </w:rPr>
        <w:t xml:space="preserve">The OISP may be changed by executive actions of the U.S. government, including changes to the scope of activities and technologies applicable to notifiable or prohibited transactions or the scope and the availability of exceptions to the OISP’s prohibitions or notification requirements. Specifically, on January 20, 2025, the U.S. government issued a national security presidential memorandum, entitled “America First Trade Policy,” which, among other things, directs the Secretary of the Treasury and several other executive departments and offices of the U.S. government to review the OISP to determine if it includes “sufficient controls to address national security threats” and to determine whether the executive order implementing the OISP “should be modified or rescinded and replaced.” In addition, on February 21, 2025, U.S. President Donald J. Trump issued a memo entitled the “America First Investment Policy,” or the America First Memo. The America First Memo states that Executive Order 14105 is under review by President Trump’s administration and that the review will consider new or expanded restrictions on United States outbound investment in the PRC in sectors such as semiconductors, artificial intelligence, quantum, biotechnology, hypersonics, aerospace, advanced manufacturing, directed energy, and other areas implicated by the PRC’s national Military-Civil Fusion strategy. The America First Memo also states that the review will consider applying restrictions on a range of investment types including investments in publicly traded securities from sources including pension funds, university endowments and other limited partner investors. If related regulatory requirements are imposed in the future, they could be detrimental to U.S.-China relations, which may adversely affect our business,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the VIE and the VIE’s subsidiaries may need to defend ourselves against claims of intellectual property infringement, which may be time-consuming and costly. </w:t>
      </w:r>
    </w:p>
    <w:p>
      <w:pPr>
        <w:pStyle w:val="TextBody"/>
        <w:bidi w:val="0"/>
        <w:spacing w:before="120" w:after="0"/>
        <w:jc w:val="left"/>
        <w:rPr/>
      </w:pPr>
      <w:r>
        <w:rPr>
          <w:rFonts w:ascii="Times New Roman" w:hAnsi="Times New Roman"/>
          <w:sz w:val="20"/>
        </w:rPr>
        <w:t xml:space="preserve">Companies, organizations or individuals, including our competitors, may hold or obtain patents, trademarks or other proprietary rights that would prevent, limit or interfere with our ability to make, use, develop, sell or market our products, operating systems and infrastructure or their components, which could make it more difficult for us to operate our business. Companies holding patents or other intellectual property rights may bring suits alleging infringement of such rights by us, the VIE or the VIE’s subsidiaries or otherwise assert their rights against us, the VIE or the VIE’s subsidiaries. Moreover, our, the VIE’s or its subsidiaries’ applications and uses of trademarks relating to design, software or artificial intelligence technologies could be found to infringe upon existing trademark ownership and rights. We, the VIE or the VIE’s subsidiaries may also fail to apply for key trademarks in a timely manner. For example, there are some precedent registrations by several other Chinese companies of the trademark “ </w:t>
      </w:r>
      <w:r>
        <w:rPr>
          <w:rFonts w:eastAsia="pmingliu"/>
          <w:sz w:val="18"/>
        </w:rPr>
        <w:t>亿航</w:t>
      </w:r>
      <w:r>
        <w:rPr>
          <w:rFonts w:eastAsia="Times New Roman"/>
          <w:sz w:val="20"/>
        </w:rPr>
        <w:t xml:space="preserve"> ” </w:t>
      </w:r>
      <w:r>
        <w:rPr>
          <w:rFonts w:ascii="Times New Roman" w:hAnsi="Times New Roman"/>
          <w:sz w:val="20"/>
        </w:rPr>
        <w:t xml:space="preserve">(the Chinese characters for our brand, “EHang”) for vehicles and bicycles, which fall into the same class of products as remote aerial vehicles and aerospace transportation. Although we received a favorable judgement in a proceeding relating to such precedent registrations, we may continue to face intellectual property infringement claims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If we, the VIE or the VIE’s subsidiaries are determined to have infringed upon a third party’s intellectual property rights, the VIE or the VIE’s subsidiaries may be required to do one or more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cease selling, incorporating certain components into, or using products or offering goods or services that incorporate or use the challenged intellectual property;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substantial damages;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 a license from the holder of the infringed intellectual property right, which license may not be available on reasonable terms or at all;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75"/>
        <w:gridCol w:w="110"/>
        <w:gridCol w:w="60"/>
        <w:gridCol w:w="9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redesign our, the VIE’s or its subsidiaries’ products, operating systems and infrastructure, components or services; or </w:t>
            </w:r>
          </w:p>
        </w:tc>
      </w:tr>
    </w:tbl>
    <w:p>
      <w:pPr>
        <w:pStyle w:val="TextBody"/>
        <w:bidi w:val="0"/>
        <w:spacing w:before="0" w:after="0"/>
        <w:jc w:val="left"/>
        <w:rPr/>
      </w:pPr>
      <w:r>
        <w:rPr/>
        <w:t> </w:t>
      </w:r>
    </w:p>
    <w:tbl>
      <w:tblPr>
        <w:tblW w:w="8620" w:type="dxa"/>
        <w:jc w:val="left"/>
        <w:tblInd w:w="0" w:type="dxa"/>
        <w:tblLayout w:type="fixed"/>
        <w:tblCellMar>
          <w:top w:w="0" w:type="dxa"/>
          <w:left w:w="0" w:type="dxa"/>
          <w:bottom w:w="0" w:type="dxa"/>
          <w:right w:w="0" w:type="dxa"/>
        </w:tblCellMar>
      </w:tblPr>
      <w:tblGrid>
        <w:gridCol w:w="75"/>
        <w:gridCol w:w="110"/>
        <w:gridCol w:w="60"/>
        <w:gridCol w:w="8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and maintain alternative branding for our, the VIE’s or its subsidiaries’ products and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 successful claim of infringement against us, the VIE or the VIE’s subsidiaries and our, the VIE’s or its subsidiaries’ failure or inability to obtain a license to the infringed technology or other intellectual property right, our business, prospects, operating results and financial condition could be materially and adversely affected. In addition, any litigation or claims, even if frivolous, could result in substantial costs, negative publicity and diversion of resources and management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or the VIE’s intellectual property rights may not protect us effectively.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and the VIE together owned 506 issued patents, 324 pending patent applications, 698 registered trademarks, and 25 registered software copyrights in relation to our and the VIE’s technologies. We cannot assure you that our or the VIE’s pending patent applications will be granted. Even if our or the VIE’s applications are successful, patents may be contested, circumvented or invalidated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rights granted under any issued patents may not provide us with proprietary protection or competitive advantages. The claims under any patents that are issued from our or the VIE’s patent applications may not be broad enough to prevent others from developing technologies that are similar or that achieve results similar to ours or the VIE’s. It is also possible that the intellectual property rights of others could bar us or the VIE from licensing and exploiting any patents that are issued from our or the VIE’s pending applications. Numerous patents and pending patent applications owned by others exist in the fields in which we and the VIE have developed and are developing our technologies. These patents and patent applications might have priority over our or the VIE’s patent applications and could subject our or the VIE’s patent applications to invalidation. Finally, in addition to those who may claim priority, any of our or the VIE’s existing or pending patents may also be challenged by others on the basis that they are otherwise invalid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Implementation and enforcement of PRC laws on intellectual property rights have historically been deficient and ineffective. Accordingly, protection of intellectual property rights in China may not be as effective as in the United States or other developed countries. Furthermore, policing unauthorized use of proprietary technologies is difficult and expensive. We and the VIE rely on a combination of patent, copyright, trademark and trade secret laws and restrictions on disclosure to protect our and the VIE’s intellectual property rights. Despite our efforts to protect our and the VIE’s proprietary rights, third parties may attempt to copy or otherwise obtain and use our or the VIE’s intellectual property or seek court declarations that they do not infringe upon our or the VIE’s intellectual property rights. Any unauthorized use of our or the VIE’s intellectual property by third parties may adversely affect our current and future revenues and our reputation. Monitoring unauthorized use of our and the VIE’s intellectual property is difficult and costly, and we cannot assure you that the steps we or the VIE have taken or will take will prevent misappropriation of our and the VIE’s intellectual property. From time to time, we or the VIE may have to resort to litigation to enforce our and the VIE’s intellectual property rights, which could result in substantial costs and diversion of our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safeguard personal information could subject us to penalties, damage our reputation and brand, and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Through our UAVs, app and command-and-control systems, we log information about each UAV’s use, such as charge time, battery usage, mileage and location information, in order to aid us in vehicle diagnostics, repair and maintenance, as well as to help us customize and optimize the flying experience. Images and videos captured by cameras attached to our UAVs are stored on our servers, servers of third-party cloud storage providers or other servers designated by our customers. We, therefore, process, including but not limited to collect, store, process, use, transfer, provide, disclose and delete, personal data from our users in order to better understand and serve our users. Such personal data processing also enables our content feeds recommendation. Possession and use of our users’ flying behavior and data in conducting our business may subject us to legislative and regulatory oversight in China and other jurisdictions, such as the European Union and the United States. For example, in January 2018, the European Union promulgated the General Data Protection Regulation to further protect fundamental rights in privacy and personal information so that members of the general public have more control over their personal information. Regulations in relevant jurisdictions may require us to obtain user consent for the collection of personal information, restrict our use of such personal information and hinder our ability to expand our user base. In the event of a data breach or other unauthorized access to our user data, we may have obligations to notify users about the incident and we may need to provide some form of remedy for the individuals affected by the incident. </w:t>
      </w:r>
    </w:p>
    <w:p>
      <w:pPr>
        <w:pStyle w:val="TextBody"/>
        <w:bidi w:val="0"/>
        <w:spacing w:before="240" w:after="0"/>
        <w:jc w:val="left"/>
        <w:rPr>
          <w:rFonts w:ascii="Times New Roman" w:hAnsi="Times New Roman"/>
          <w:sz w:val="20"/>
        </w:rPr>
      </w:pPr>
      <w:r>
        <w:rPr>
          <w:rFonts w:ascii="Times New Roman" w:hAnsi="Times New Roman"/>
          <w:sz w:val="20"/>
        </w:rPr>
        <w:t xml:space="preserve">Concerns or claims about our practices with regard to the processing of personal information or other privacy-related matters, even if unfounded, could damage our reputation and results of operations. In the PRC, governmental authorities have enacted a series of laws and regulations to enhance the protection of privacy and data. The PRC Constitution, the PRC Criminal Law, the Civil Code of the PRC, the Cybersecurity Law of the PRC and relevant regulations require network operators, which may include us, to ensure the security and stability of the services provided via network and protect individual privacy and the security of personal data in general by requiring the consent of internet users prior to the processing of their personal data. Under the Cybersecurity Law, the owners and administrators of networks and network service providers are subject to various personal information security protection obligations, including restrictions on the collection and use of personal information of users, and they are required to take steps to prevent personal data from being divulged, stolen, or tampered with. Regulatory requirements regarding the protection of personal information are constantly evolving and can be subject to differing interpretations or significant changes, making the extent of our responsibilities in that regard uncertain. For example, on June 10, 2021, the Standing Committee of the National People’s Congress, or SCNPC, promulgated the </w:t>
      </w:r>
      <w:r>
        <w:rPr>
          <w:rFonts w:ascii="Times New Roman" w:hAnsi="Times New Roman"/>
          <w:i/>
          <w:sz w:val="20"/>
        </w:rPr>
        <w:t>Data Security Law of the People’s Republic of China</w:t>
      </w:r>
      <w:r>
        <w:rPr>
          <w:rFonts w:ascii="Times New Roman" w:hAnsi="Times New Roman"/>
          <w:sz w:val="20"/>
        </w:rPr>
        <w:t xml:space="preserve">, or the Data Security Law, effective from September 1, 2021. The Data Security Law provides that data processing activities that affects or may affect national security shall be subject to a data security review procedure. On July 6, 2021, the General Office of the CPC Central Committee and the General Office of the State Council jointly promulgated the Opinions on Strictly Cracking Down on Illegal Securities Activities, which called for a heightened scrutiny over overseas-listed China-based companies of their compliance with the laws and regulations regarding data security, cross-border data flow and management of confidential information, and such laws and regulations are expected to undergo further changes, which may require increased information security responsibilities and stronger cross-border information management mechanism and process. We may need to adjust our business to comply with data security requirements and other laws and regulations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August 20, 2021, the SCNPC promulgated the </w:t>
      </w:r>
      <w:r>
        <w:rPr>
          <w:rFonts w:ascii="Times New Roman" w:hAnsi="Times New Roman"/>
          <w:i/>
          <w:sz w:val="20"/>
        </w:rPr>
        <w:t>Personal Information Protection Law of the People’s Republic of China</w:t>
      </w:r>
      <w:r>
        <w:rPr>
          <w:rFonts w:ascii="Times New Roman" w:hAnsi="Times New Roman"/>
          <w:sz w:val="20"/>
        </w:rPr>
        <w:t xml:space="preserve">, or the Personal Information Protection Law, which integrates the scattered rules with respect to personal information rights and privacy protection and took effect on November 1, 2021. We may be required to make further adjustments to our business practices to comply with the personal information protection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14, 2021, the CAC publicly solicited opinions on </w:t>
      </w:r>
      <w:r>
        <w:rPr>
          <w:rFonts w:ascii="Times New Roman" w:hAnsi="Times New Roman"/>
          <w:i/>
          <w:sz w:val="20"/>
        </w:rPr>
        <w:t>the Administration Regulations on Cyber Data Security (Draft for Comments)</w:t>
      </w:r>
      <w:r>
        <w:rPr>
          <w:rFonts w:ascii="Times New Roman" w:hAnsi="Times New Roman"/>
          <w:sz w:val="20"/>
        </w:rPr>
        <w:t xml:space="preserve">, or the Draft Data Security Regulations. On September 24, 2024, PRC State Council promulgated the </w:t>
      </w:r>
      <w:r>
        <w:rPr>
          <w:rFonts w:ascii="Times New Roman" w:hAnsi="Times New Roman"/>
          <w:i/>
          <w:sz w:val="20"/>
        </w:rPr>
        <w:t>Administration Regulations on Cyber Data Security</w:t>
      </w:r>
      <w:r>
        <w:rPr>
          <w:rFonts w:ascii="Times New Roman" w:hAnsi="Times New Roman"/>
          <w:sz w:val="20"/>
        </w:rPr>
        <w:t xml:space="preserve">, or the Cyber Data Security Regulation, which became effective on January 1, 2025. The Cyber Date Security Regulation stipulates that network data processors processing personal information of more than 10 million users shall also comply with the provisions governing important data processor, including but not limited to: important data processor shall specify the person in charge of network data security and the management body for network data security. The management body for network data security shall perform the following responsibilities of network data security protection: (a) formulating and implementing network data security management systems and operation procedures as well as emergency response plans for network data security incidents; (b) organizing activities such as network data security risk monitoring, risk assessment, emergency drills, publicity, education and training on a regular basis, and promptly disposing of network data security risks and incidents; and (c) accepting and handling complaints and reports about network data security. In addition, the person in charge of network data security shall have professional knowledge of network data security and relevant management experience and shall be a member of the management team of the network data processor, with the right to directly report the situation of network data security to the relevant competent authority. Any failure, or perceived failure to maintain the security of our user data or to comply with applicable PRC or foreign privacy, data security and personal information protection laws and obligations may result in civil or regulatory liability, including governmental or data protection authority enforcement actions and investigations, fines, penalties, enforcement orders requiring us to cease operating in a certain way, litigation, or adverse publicity, and may require us to expend significant resources in responding to and defending allegations and claims.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2021, the CAC, together with other regulatory authorities, published the </w:t>
      </w:r>
      <w:r>
        <w:rPr>
          <w:rFonts w:ascii="Times New Roman" w:hAnsi="Times New Roman"/>
          <w:i/>
          <w:sz w:val="20"/>
        </w:rPr>
        <w:t>Administrative Provisions on Algorithm Recommendation for Internet Information Services</w:t>
      </w:r>
      <w:r>
        <w:rPr>
          <w:rFonts w:ascii="Times New Roman" w:hAnsi="Times New Roman"/>
          <w:sz w:val="20"/>
        </w:rPr>
        <w:t xml:space="preserve">, or the Administrative Provisions on Algorithm Recommendation, effective on March 1, 2022. Pursuant to the Administrative Provisions on Algorithm Recommendation, users should be given an option to easily turn off algorithm recommendation services, and service providers shall, among others, establish and improve the management systems and technical measures for algorithm driven recommendation mechanism and regularly review, evaluate and verify the principle, models, data and application results of algorithms. The Company will closely monitor the regulatory development and adjust its business operation from time to time to comply with the regulations over algorithm.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National Security Law issued by SCNPC on July 1, 2015, the state shall establish a national security review and supervision system to review, among other things, foreign investment, key technologies, internet and information technology products and services, and other important activities that are likely to impact national security of China. On December 28, 2021, the CAC together with other regulatory authorities officially announced the Cybersecurity Review Measures, which is consistent with the Cybersecurity Review Measures (Revision Draft for Comment) announced by the CAC on July 10, 2021. Pursuant to the Cybersecurity Review Measures, the procurement of network products and services by critical information infrastructure operators and the data processing activities conducted by network platform operators which affects or may affect national security shall be subject to cybersecurity review. Network platform operators mastering personal information of more than one million users must apply to the Cybersecurity Review Office for cybersecurity review if they intend to be listed abroad. On July 30, 2021, the State Council promulgated the </w:t>
      </w:r>
      <w:r>
        <w:rPr>
          <w:rFonts w:ascii="Times New Roman" w:hAnsi="Times New Roman"/>
          <w:i/>
          <w:sz w:val="20"/>
        </w:rPr>
        <w:t>Regulations on Security Protection of Critical Information Infrastructure</w:t>
      </w:r>
      <w:r>
        <w:rPr>
          <w:rFonts w:ascii="Times New Roman" w:hAnsi="Times New Roman"/>
          <w:sz w:val="20"/>
        </w:rPr>
        <w:t xml:space="preserve">, or the CIIO Regulations, which became effective on September 1, 2021. Pursuant to the CII Regulations, critical information infrastructure refers to any important network facilities or information systems of an important industry or field such as public communication and information service, energy, transport, water conservation, finance, public services, e-government affairs, science and technology industry for national defense and other industries and sectors that may seriously endanger national security, people’s livelihood and public interest in case of damage, function loss or data leakage. In addition, relevant administration departments of each critical industry and sector are responsible for formulating eligibility criteria and determining the critical information infrastructure in the respective industry or sector. The operators will be informed about the final determination as to whether they are categorized as critical information infrastructure operators, or CIIOs. As of the date of this annual report on Form 20-F, no detailed rules or interpretations have been issued and we have not been informed as a CIIO by any governmental authorities. Furthermore, the exact scope of CIIOs, under the current regulatory regime remains unclear, and the PRC governmental authorities may have discretion in the interpretation and enforcement of these laws and regulations. Therefore, it is uncertain whether we would be deemed as a CIIO under PRC law. If we are identified as CIIO, we will be subject to stricter requirements on business operations and cybersecurity compliance, and we may need to follow cybersecurity review procedure and apply with Cybersecurity Review Office before making certain purchases of network products and services, and if a cybersecurity review is applicable, we may be required to suspend providing any existing or new services to our users, and we may experience other disruptions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PRC regulatory authorities have recently taken steps to strengthen the regulations on data protection and conducted several rounds of relevant inspections. We have not been informed by the CAC of any further requirements of rectification. As laws and regulations in China on the protection of privacy and data are constantly evolving, complying with new laws and regulations could cause us to incur substantial costs or require us to change our business practices in a manner materially adverse to our business. </w:t>
      </w:r>
    </w:p>
    <w:p>
      <w:pPr>
        <w:pStyle w:val="TextBody"/>
        <w:bidi w:val="0"/>
        <w:spacing w:before="240" w:after="0"/>
        <w:jc w:val="left"/>
        <w:rPr>
          <w:rFonts w:ascii="Times New Roman" w:hAnsi="Times New Roman"/>
          <w:sz w:val="20"/>
        </w:rPr>
      </w:pPr>
      <w:r>
        <w:rPr>
          <w:rFonts w:ascii="Times New Roman" w:hAnsi="Times New Roman"/>
          <w:sz w:val="20"/>
        </w:rPr>
        <w:t xml:space="preserve">Despite our efforts to comply with applicable laws, regulations and other obligations relating to privacy, data protection and information security, it is possible that our practices, offerings or platform could fail to meet certain requirements imposed on us by such laws, regulations or obligations. Any failure on our part to comply with applicable laws or regulations or any other obligations relating to privacy, data protection or information security, or any compromise of security that results in unauthorized access, collection, transfer, use or release of personally identifiable information or other data, or the perception or allegation that any of the foregoing types of failure or compromise has occurred, could damage our reputation, discourage new and existing users from using our platform or result in investigations, fines, suspension of our app, or other penalties by government authorities and private claims or litigation, any of which could materially adversely affect our business, financial condition and results of operations. In addition, the interpretation and application of the aforementioned laws and regulations are often uncertain and in flux. Our practice may become inconsistent with these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Our platform and internal systems depend on the ability of software and hardware developed and maintained internally and/or by third parties to store, retrieve, process and manage immense amounts of data, including personal information or other privacy-related matters. The software and hardware on which we rely may now or in the future contain undetected programming errors, bugs, or vulnerabilities which may result in errors or compromise our ability to protect the data of our users and in turn adversely affect our business, financial condition and operation results. Any systems failure or compromise of security that results in the unauthorized access to or release of the data, photo or messaging history of our users could significantly limit the adoption of our services, as well as harm our reputation and brand, result in litigation or regulatory investigations against us, and we could be subject to material liability or penalties. Additionally, we connect our platform with software development kit provided by third parties who may also process users’ data. The integrity of our user data also depends on their ability to secure and protect the data they process. The risk that these types of events could seriously harm our business is likely to increase as we expand the scope of services we offer and as we increase the size of our user base. </w:t>
      </w:r>
    </w:p>
    <w:p>
      <w:pPr>
        <w:pStyle w:val="TextBody"/>
        <w:bidi w:val="0"/>
        <w:spacing w:before="240" w:after="0"/>
        <w:jc w:val="left"/>
        <w:rPr>
          <w:rFonts w:ascii="Times New Roman" w:hAnsi="Times New Roman"/>
          <w:sz w:val="20"/>
        </w:rPr>
      </w:pPr>
      <w:r>
        <w:rPr>
          <w:rFonts w:ascii="Times New Roman" w:hAnsi="Times New Roman"/>
          <w:sz w:val="20"/>
        </w:rPr>
        <w:t xml:space="preserve">We may also become subject to laws and regulations affecting data protection, data privacy and/or information security in other jurisdictions by virtue of having users who reside in these jurisdictions, even if we do not have a physical presence there. Many jurisdictions have in the past adopted, and may in the future adopt, new laws and regulations, or amendments to existing laws and regulations, affecting data protection, data privacy and/or information security, such as the General Data Protection Regulation, or the GDPR, adopted by the European Union that became fully effective on May 25, 2018. The interpretation and application of these laws or regulations are often uncertain and in flux. We cannot guarantee you that our practice is consistent with these laws and regulations and our practice may become inconsistent with these laws and regulations; if so, we could be subject to fines and orders requiring that we change our practices, which could have an adverse effect on our business and results of operations. Complying with new data laws and regulations could cause us to incur substantial costs or require us to change our business practices in a manner materially adverse to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users allege that we have improperly used, released or disclosed their personal information, we could face legal claims and reputational damage. We may incur significant expenses to comply with privacy, consumer protection and security standards and protocols imposed by law, regulation, industry standards or contractual obligations. A major breach of our network security and systems could create serious negative consequences for our business and future prospects, including possible fines, penalties, reduced customer demand for our products, and harm to our reputation and brand. See “Item 4. Information on the Company—B. Business Overview—PRC Regulation” for further details.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execution of our business plans requires a significant amount of capital. In addition, our future capital needs may require us to sell additional equity or debt securities that may dilute the equity interests of our shareholders or introduce covenants that may restrict our operations or our ability to pay dividends. </w:t>
      </w:r>
    </w:p>
    <w:p>
      <w:pPr>
        <w:pStyle w:val="TextBody"/>
        <w:bidi w:val="0"/>
        <w:spacing w:before="120" w:after="0"/>
        <w:jc w:val="left"/>
        <w:rPr>
          <w:rFonts w:ascii="Times New Roman" w:hAnsi="Times New Roman"/>
          <w:sz w:val="20"/>
        </w:rPr>
      </w:pPr>
      <w:r>
        <w:rPr>
          <w:rFonts w:ascii="Times New Roman" w:hAnsi="Times New Roman"/>
          <w:sz w:val="20"/>
        </w:rPr>
        <w:t xml:space="preserve">We will need significant capital to, among other things, conduct research and development, expand our manufacturing capacity, roll out new products and solutions and provide commercial services. We may also need significant capital to maintain our existing property and equipment. We believe that our balances of cash and cash equivalents, short-term investments and restricted short-term deposits as of December 31, 2025 will be sufficient to meet our sustainable operations and material cash requirements, including capital expenditures, for at least the 12 months after the date of this annual report. Our expected sources of capital include both equity and debt financing. However, financing might not be available to us in a timely manner or on acceptable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obtain the necessary financing to carry out our business plan is subject to a number of factors, including general market conditions and investor acceptance of our business plans. These factors may make the timing, amount, terms and conditions of such financing unattractive or unavailable to us. If we are unable to raise sufficient funds, we will have to significantly reduce our spending, delay or cancel our planned activities, substantially change our current corporate structure, or even curtail or discontinue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future capital needs and other business concerns could require us to sell additional equity or debt securities or obtain a credit facility. The sale of additional equity or equity-linked securities could dilute the equity interests of our shareholders. Additional indebtedness would increase our debt-service obligations and may be accompanied by covenants that would restrict our operations or our ability to pay dividends to our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strategic alliances or acquisitions. If we cannot manage the growth of our business or execute our strategies effectively, our business and prospects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strategic alliances with various business partners, and may in the future enter into joint research and development agreements or co-branding agreements with third parties to further our business purpose from time to time. These alliances could subject us to a number of risks, including risks associated with sharing proprietary information, non-performance by the third parties and increased expenses in establishing new strategic alliances, any of which may materially and adversely affect our business. We may have limited ability to monitor or control the actions of these third parties. If any of these strategic third parties suffer negative publicity or harm to their reputation from events relating to their business, we may also suffer negative publicity or harm to our reputation by virtue of our association with any such third party. </w:t>
      </w:r>
    </w:p>
    <w:p>
      <w:pPr>
        <w:pStyle w:val="TextBody"/>
        <w:bidi w:val="0"/>
        <w:spacing w:before="240" w:after="0"/>
        <w:jc w:val="left"/>
        <w:rPr>
          <w:rFonts w:ascii="Times New Roman" w:hAnsi="Times New Roman"/>
          <w:sz w:val="20"/>
        </w:rPr>
      </w:pPr>
      <w:r>
        <w:rPr>
          <w:rFonts w:ascii="Times New Roman" w:hAnsi="Times New Roman"/>
          <w:sz w:val="20"/>
        </w:rPr>
        <w:t xml:space="preserve">Although we currently do not have any specific acquisition plans, if appropriate opportunities arise, we may acquire additional assets, products, technologies or businesses that are complementary to our existing business. In addition to any required shareholders’ approval, we may also have to obtain approvals and licenses from relevant government authorities for the acquisitions and to comply with any applicable PRC laws and regulations, which could result in delays and increased costs, and may derail our business strategies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business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could be adversely affected by trade tariffs or other trade barriers.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the U.S. government imposed additional tariffs on goods from China, including new tariffs implemented in 2025. In response, China has imposed retaliatory tariffs on goods imported from the United States. Additionally, the European Union has imposed tariffs on imports of eVTOL aircraft originating from China. Historically, we had a limited scale of sales in Europe, North America, and South America. Revenue from these regions was relatively small and exhibited a decreasing trend, which has ceased entirely following the abovementioned 2025 tariff actions. Up to the date of this annual report, we did not have any other operations in the U.S. In addition, we currently do not plan to export our products to the United States or the European Union, and the potential impact of these tariffs on our business remains uncertain. Nonetheless, rising trade tensions, elevated tariffs, and other trade restrictions could significantly affect global economic conditions and the stability of global financial markets. These factors could, in turn,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the VIE and the VIE’s subsidiaries have limited insurance coverage, which could subject us to significant costs and business disruption. </w:t>
      </w:r>
    </w:p>
    <w:p>
      <w:pPr>
        <w:pStyle w:val="TextBody"/>
        <w:bidi w:val="0"/>
        <w:spacing w:before="120" w:after="0"/>
        <w:jc w:val="left"/>
        <w:rPr>
          <w:rFonts w:ascii="Times New Roman" w:hAnsi="Times New Roman"/>
          <w:sz w:val="20"/>
        </w:rPr>
      </w:pPr>
      <w:r>
        <w:rPr>
          <w:rFonts w:ascii="Times New Roman" w:hAnsi="Times New Roman"/>
          <w:sz w:val="20"/>
        </w:rPr>
        <w:t xml:space="preserve">We, the VIE and the VIE’s subsidiaries have limited liability insurance coverage for our products and business operations. We may not be able to secure additional product liability insurance coverage on acceptable terms or at reasonable costs when needed. A successful liability claim against us, the VIE or the VIE’s subsidiaries due to injuries or damages suffered by our users could materially and adversely affect our financial condition, results of operations and reputation. Even if unsuccessful, such a claim could cause us adverse publicity, require substantial costs to defend, and divert the time and attention of our management. In addition, we do not have any business disruption insurance. Any business disruption could result in substantial cost to us and diversion of our resources. Furthermore, China, the United States or any other jurisdiction relevant to our business may impose requirements for maintaining certain minimum liability or other insurance relating to the operation of our products. Such insurance policies could be costly, which would reduce the demand for our products. In addition, even where commercial insurance is available and maintained by operators of our products, such coverage may not be sufficient to fully cover all potential losses or liabilities arising from the operation of our eVTOL aircraft, given the novel nature of the technology and the evolving regulatory and risk landscape.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identified a material weakness in our internal control over financial reporting which, if not remediated appropriately or timely, could affect our ability to accurately report our results of operations, meet our reporting obligations or prevent fraud, and investor confidence in our company and the market price of the ADSs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audit of our consolidated financial statements as of and for the year ended December 31, 2025, we and our independent registered public accounting firm, identified one material weakness in our internal control over financial reporting. As defined in the standards established by the U.S. Public Company Accounting Oversight Board,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The material weakness identified is related to our lack of effective controls over revenue from air mobility solutions. Specifically, we did not effectively assess the probability to collect substantially all of the consideration from the customers prior to recognizing revenue. This material weakness, resulted in material errors in our previously announced unaudited financial information for the interim and annual periods, see “Item 15. Controls and Procedures-Management’s Annual Report on Internal Control over Financial Reporting”. Following the identification of the material weakness, we are in the process of designing and implementing measures to improve our internal control over financial reporting to remediate the material weakness. If our remedial measures are insufficient to address the material weaknesses, or if additional material weaknesses or significant deficiencies in our internal control over financial reporting are discovered or occur in the future, our financial statements may contain material misstatements and we could be required to restate our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Sarbanes-Oxley Act of 2002, or the Sarbanes-Oxley Act. Section 404 of the Sarbanes-Oxley Act, or Section 404, requires that we include a report from management on the effectiveness of our internal control over financial reporting in our annual report on Form 20-F. In addition, our independent registered public accounting firm must attest to and report on the effectiveness of our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documenting and testing our internal control procedures, in order to satisfy the requirements of Section 404, we may identify other weaknesses and deficiencies in our internal control over financial reporting. If we fail to maintain the effectiveness of our internal control over financial reporting,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anti-corruption, anti-bribery, anti-money laundering, financial and economic sanctions and similar laws and regulations in various jurisdictions in which we conduct our business or sell our products, including the PRC anti-corruption laws and regulations, the U.S. Foreign Corrupt Practices Act, or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also prohibits non-governmental “commercial” bribery and soliciting or accepting bribes. The PRC anti-corruption laws and regulations prohibit bribery to government agencies, state or government owned or controlled enterprises or entities, to government officials or officials that work for state or government owned enterprises or entities, as well as bribery to non-government entities or individuals. There is uncertainty in connection with the implementation of PRC anti-corruption laws. A violation of these laws or regulations could adversely affect our business, results of operations, financial condition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involved in litigation from time to time and, as a result, we could incur substantial judgments, fines, legal fees or other costs. </w:t>
      </w:r>
    </w:p>
    <w:p>
      <w:pPr>
        <w:pStyle w:val="TextBody"/>
        <w:bidi w:val="0"/>
        <w:spacing w:before="120" w:after="0"/>
        <w:jc w:val="left"/>
        <w:rPr>
          <w:rFonts w:ascii="Times New Roman" w:hAnsi="Times New Roman"/>
          <w:sz w:val="20"/>
        </w:rPr>
      </w:pPr>
      <w:r>
        <w:rPr>
          <w:rFonts w:ascii="Times New Roman" w:hAnsi="Times New Roman"/>
          <w:sz w:val="20"/>
        </w:rPr>
        <w:t xml:space="preserve">We may be the subject of complaints or litigation from customers, suppliers, employees or other third parties for various actions. For example, we received a judgment against us in a dispute with a former employee and entered into a settlement with the former employee in April 2023. The damages sought against us in some of these litigation proceedings could be substantial. We cannot assure you that we will always have meritorious defenses to the plaintiffs’ claims. While the ultimate effect of these legal actions cannot be predicted with certainty, our reputation and the result of operations could be negatively impacted. The proceedings we may be involved in from time to time, could incur substantial judgments, fines, legal fees or other costs and have a material adverse effect on our business, financial condition, results of operations and cash flows. See “Item 8. Financial Information—A. Consolidated Statements and Other Financial Information—Legal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and the VIE’s leased property interest may be defective and our right to lease the properties may be challenged, which could cause significant disruption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the VIE lease all the premises used in our operations from third parties. We and the VIE require the landlords’ cooperation to effectively manage the condition of such premises, buildings and facilities. In the event that the condition of the office premises, buildings and facilities deteriorates, or if any or all of our and the VIE’s landlords fail to properly maintain and renovate such premises, buildings or facilities in a timely manner or at all, the operation of our offices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Moreover, certain lessors have not provided us and the VIE with valid ownership certificates or authorization of sublease for our and the VIE leased properties. Under the relevant PRC laws and regulations, if the lessors are unable to obtain certificate of title because such properties were built illegally or failed to pass the inspection or other reasons, such lease contracts may be recognized as void and as a result, we and the VIE may be required to vacate the relevant properties. In addition, if our and the VIE’s lessors are not the owners of the properties and they have not obtained consents from the owners or their lessors or permits from the relevant government authorities, our and the VIE’s leases could be invalidated. If this occurs, we and the VIE may have to renegotiate the leases with the owners or the parties who have the right to lease the properties, and the terms of the new leases may be less favorable to us and the VIE, or we and the VIE may be required to vacate the relevant properties if the terms of the new leases are not reached. We and the VIE may enter into new lease contracts with the lessors, and the terms of the new leases may be less favorable to us and the VIE, or we and the VIE may be required to vacate the relevant properties if the terms of the new leases are not reached. </w:t>
      </w:r>
    </w:p>
    <w:p>
      <w:pPr>
        <w:pStyle w:val="TextBody"/>
        <w:bidi w:val="0"/>
        <w:spacing w:before="240" w:after="0"/>
        <w:jc w:val="left"/>
        <w:rPr>
          <w:rFonts w:ascii="Times New Roman" w:hAnsi="Times New Roman"/>
          <w:sz w:val="20"/>
        </w:rPr>
      </w:pPr>
      <w:r>
        <w:rPr>
          <w:rFonts w:ascii="Times New Roman" w:hAnsi="Times New Roman"/>
          <w:sz w:val="20"/>
        </w:rPr>
        <w:t xml:space="preserve">Under PRC laws, all lease agreements are required to be registered with the local housing authorities. We and the VIE have not registered certain of our lease agreements with the relevant government authorities. Failure to complete these required registrations may expose our and the VIE’s landlords, lessors, us and the VIE to potential monetary fines.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granted, and may continue to grant, restricted share units and other types of awards under our share incentive plan, which may result in increased share-based compensation expenses. </w:t>
      </w:r>
    </w:p>
    <w:p>
      <w:pPr>
        <w:pStyle w:val="TextBody"/>
        <w:bidi w:val="0"/>
        <w:spacing w:before="120" w:after="0"/>
        <w:jc w:val="left"/>
        <w:rPr>
          <w:rFonts w:ascii="Times New Roman" w:hAnsi="Times New Roman"/>
          <w:sz w:val="20"/>
        </w:rPr>
      </w:pPr>
      <w:r>
        <w:rPr>
          <w:rFonts w:ascii="Times New Roman" w:hAnsi="Times New Roman"/>
          <w:sz w:val="20"/>
        </w:rPr>
        <w:t xml:space="preserve">We adopted the 2015 Share Incentive Plan, or the 2015 Plan, the 2019 Share Incentive Plan, or the 2019 Plan, and the 2023 Share Incentive Plan, or the 2023 Plan (collectively, the “Plans”), to incentivize our employees, directors and consultants and align their interests with ours. We recognize expenses in our consolidated statement of loss in accordance with U.S. GAAP. Under the Plans, we are authorized to grant restricted share units and other types of awards. As of the date of this annual report, the maximum number of ordinary shares that may be issued pursuant to all awards granted under the 2015 Plan, the 2019 Plan, and the 2023 Plan is 8,867,053, 14,141,558, and 16,413,255, respectively. As of March 31, 2026, 6,041,825 restricted share units and 6,685,317 share options had been granted and were outstanding under the Plans. As of December 31, 2025, our unrecognized share-based compensation expenses relating to unvested awards amounted to RMB405,988 thousand (US$58,056 thousand), comprising RMB271,598 thousand (US$38,838 thousand) related to RSUs and RMB134,390 thousand (US$19,218 thousand) related to share options.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granting of share-based awards is of significant importance to our ability to attract and retain key personnel and employees, and we will continue to grant share-based awards to employees in the future. However, the number of shares reserved for issuance under our share incentive plan may not be sufficient to recruit new employees and to compensate existing employees. 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To attract and retain qualified employees, our expenses associated with share-based compensation may increase, which may have an adverse effect on our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It may be difficult for overseas authorities to conduct investigations or collect evidence within China. </w:t>
      </w:r>
    </w:p>
    <w:p>
      <w:pPr>
        <w:pStyle w:val="TextBody"/>
        <w:bidi w:val="0"/>
        <w:spacing w:before="120" w:after="0"/>
        <w:jc w:val="left"/>
        <w:rPr>
          <w:rFonts w:ascii="Times New Roman" w:hAnsi="Times New Roman"/>
          <w:sz w:val="20"/>
        </w:rPr>
      </w:pPr>
      <w:r>
        <w:rPr>
          <w:rFonts w:ascii="Times New Roman" w:hAnsi="Times New Roman"/>
          <w:sz w:val="20"/>
        </w:rPr>
        <w:t xml:space="preserve">Shareholder claims or regulatory investigations that are common in the United States may be subject to PRC laws and regulations. 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fully efficient in the absence of a mutual and practical cooperation mechanism. Furthermore, according to Article 177 of the PRC Securities Law, which became effective in March 2020, no overseas authorities, including the SEC, the PCAOB, and the U.S. Department of Justice, can directly conduct investigation or evidence collection activities within the PRC and no entity or individual in China may provide documents and information relating to securities business activities to overseas authorities without PRC government approval. On August 26, 2022, the PCAOB signed a Statement of Protocol with the China Securities Regulatory Commission and the Ministry of Finance of the People’s Republic of China, taking the first step toward opening access for the PCAOB to inspect and investigate registered public accounting firms headquartered in mainland China and Hong Kong. The Statement of Protocol gives the PCAOB sole discretion to select the firms, audit engagements and potential violations it inspects and investigates and put in place procedures for PCAOB inspectors and investigators to view complete audit work papers with all information included and for the PCAOB to retain information as needed. In addition, the Statement of Protocol grants the PCAOB direct access to interview and take testimony from all personnel associated with the audits the PCAOB inspects or investigates. On December 15, 2022, the PCAOB issued a report that vacated its December 16, 2021 determination that the positions taken by authorities in mainland China and Hong Kong prevented it from inspecting and investigating completely registered public accounting firms headquartered in those jurisdictions. However, the PCAOB may still lose such access to inspect and investigate completely accounting firms in mainland China and Hong Kong in the future. As of now, the general inability for overseas authorities to directly conduct investigation or evidence collection activities within China may further increase difficulties faced by you in protecting your interests.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Corporate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the PRC government finds that the contractual arrangements between the WFOE, the VIE and the VIE’s shareholders do not comply with PRC regulations relating to the relevant industries, or if these regulations or the interpretation of existing regulations change in the future, we could be subject to penalties or be forced to relinquish our interests in those operations. </w:t>
      </w:r>
    </w:p>
    <w:p>
      <w:pPr>
        <w:pStyle w:val="TextBody"/>
        <w:bidi w:val="0"/>
        <w:spacing w:before="120" w:after="0"/>
        <w:jc w:val="left"/>
        <w:rPr>
          <w:rFonts w:ascii="Times New Roman" w:hAnsi="Times New Roman"/>
          <w:sz w:val="20"/>
        </w:rPr>
      </w:pPr>
      <w:r>
        <w:rPr>
          <w:rFonts w:ascii="Times New Roman" w:hAnsi="Times New Roman"/>
          <w:sz w:val="20"/>
        </w:rPr>
        <w:t xml:space="preserve">In January 2016, we obtained a controlling financial interest in the VIE because the WFOE entered into a series of contractual arrangements with the VIE and the VIE’s shareholders, which enable us to (i) have the power to direct significant activities of the VIE, (ii) receive economic benefits from the VIE that potentially could be significant to the VIE, and (iii) have an exclusive option to purchase all or part of the equity interests and assets in the VIE, when and to the extent permitted by PRC laws. As a result of these contractual arrangements, we are considered the primary beneficiary of the VIE and the VIE’s subsidiaries and thus consolidate their financial results under U.S. GAAP. See “Item 4. Information on the Company—C. Organizational Structure” for further details. </w:t>
      </w:r>
    </w:p>
    <w:p>
      <w:pPr>
        <w:pStyle w:val="TextBody"/>
        <w:bidi w:val="0"/>
        <w:spacing w:before="240" w:after="0"/>
        <w:jc w:val="left"/>
        <w:rPr>
          <w:rFonts w:ascii="Times New Roman" w:hAnsi="Times New Roman"/>
          <w:sz w:val="20"/>
        </w:rPr>
      </w:pPr>
      <w:r>
        <w:rPr>
          <w:rFonts w:ascii="Times New Roman" w:hAnsi="Times New Roman"/>
          <w:sz w:val="20"/>
        </w:rPr>
        <w:t xml:space="preserve">Our PRC legal counsel, Zhong Lun Law Firm, based on its understanding of the relevant laws and regulations, is of the opinion (i) the ownership structures of the WFOE and the VIE are in compliance with applicable PRC laws and regulations currently in effect; and (ii) each of the contractual arrangement is valid, legal and binding on the parties thereto under applicable PRC Laws currently in effect, and each party to the contractual arrangement is entitled to assert its respective rights and is obligated to perform its respective duties in accordance with the terms and conditions of each contractual arrangement, subject to applicable PRC Laws currently in effect. However, our PRC legal counsel has also advised us that there are certain uncertainties regarding the interpretation and application of current and future PRC laws, regulations and rules, and it remains uncertain whether any new PRC Laws pertaining to the VIE arrangements under the contractual arrangements will be adopted, or if adopted, their potential impact on such VIE arrangements. Accordingly, the PRC regulatory authorities may take a view that is contrary to the opinion of our PRC legal counsel. </w:t>
      </w:r>
    </w:p>
    <w:p>
      <w:pPr>
        <w:pStyle w:val="TextBody"/>
        <w:bidi w:val="0"/>
        <w:spacing w:before="240" w:after="0"/>
        <w:jc w:val="left"/>
        <w:rPr>
          <w:rFonts w:ascii="Times New Roman" w:hAnsi="Times New Roman"/>
          <w:sz w:val="20"/>
        </w:rPr>
      </w:pPr>
      <w:r>
        <w:rPr>
          <w:rFonts w:ascii="Times New Roman" w:hAnsi="Times New Roman"/>
          <w:sz w:val="20"/>
        </w:rPr>
        <w:t xml:space="preserve">If we or the VIE are found to be in violation of any existing or future PRC laws or regulations, or fail to obtain or maintain any of the required permits or approvals, the relevant PRC regulatory authorities would have discretion to take action in dealing with such violations or failures, including: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revoking the business licenses and/or operating licenses of such entities;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shutting down our servers or blocking our website, or discontinuing or placing restrictions or onerous conditions on our operation through any transactions between the WFOE and the VIE;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imposing fines, confiscating the income from the WFOE or the VIE, or imposing other requirements with which we or the VIE may not be able to comply;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restructure our ownership structure or operations, including terminating the contractual arrangements with the VIE and deregistering the equity pledges of the VIE, which in turn would affect our ability to consolidate, derive economic interests from, or to direct the significant activities of the VIE;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restricting or prohibiting our use of the proceeds of our securities offerings to finance our business and operations in China, and taking other regulatory or enforcement actions that could be harmful to our business;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confiscating any of our income deemed to be obtained through illegal operations;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75"/>
        <w:gridCol w:w="110"/>
        <w:gridCol w:w="60"/>
        <w:gridCol w:w="6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discontinuing or placing restrictions or onerous conditions on our operations;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imposing additional conditions or requirements with which we may not be able to comply; or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110"/>
        <w:gridCol w:w="60"/>
        <w:gridCol w:w="7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taking other regulatory or enforcement actions against us that could be harmful to 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imposition of any of these penalties would result in a material and adverse effect on our ability to conduct our business. In addition, it is unclear what impact the PRC government actions would have on us and on our ability to consolidate the financial results of the VIE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the VIE or our right to receive substantially all the economic benefits and residual returns from the VIE and we are not able to restructure our ownership structure and operations in a satisfactory manner, we would no longer be able to direct the significant activities of over or consolidate the financial results of the VIE in our consolidated financial statements. Either of these results, or any other significant penalties that might be imposed on us in this event, would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significantly affected by the Foreign Investment Law. </w:t>
      </w:r>
    </w:p>
    <w:p>
      <w:pPr>
        <w:pStyle w:val="TextBody"/>
        <w:bidi w:val="0"/>
        <w:spacing w:before="120" w:after="0"/>
        <w:jc w:val="left"/>
        <w:rPr>
          <w:rFonts w:ascii="Times New Roman" w:hAnsi="Times New Roman"/>
          <w:sz w:val="20"/>
        </w:rPr>
      </w:pPr>
      <w:r>
        <w:rPr>
          <w:rFonts w:ascii="Times New Roman" w:hAnsi="Times New Roman"/>
          <w:sz w:val="20"/>
        </w:rPr>
        <w:t xml:space="preserve">On March 15, 2019, the National People’s Congress promulgated the Foreign Investment Law, which took effect on January 1, 2020 and replaced the trio of existing laws regulating foreign investment in China, namely, the PRC Equity Joint Venture Law, the PRC Cooperative Joint Venture Law and the Wholly Foreign-owned Enterprise Law, together with their implementation rules and ancillary regulations. Uncertainties still exist in relation to the interpretation and implementation of the Foreign Investment Law. The Foreign Investment Law does not explicitly classify whether variable interest entities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Foreign Investment Law grants foreign invested entities the same treatment as PRC domestic entities, except for those foreign invested entities that operate in industries deemed to be either “restricted” or “prohibited” in the “negative list” to be published. The Foreign Investment Law provides that only foreign invested entities operating in foreign restricted or prohibited industries will require entry clearance and other approvals that are not required by PRC domestic entities or foreign invested entities operating in other industries. Pursuant to the latest version of the “negative list,” namely, the Special Management Measures (Negative List) for the Access of Foreign Investment (2024), which became effective on November 1, 2024, our principal business does not fall into “negative list” in respect of the “restricted” or “prohibited” categories for foreign investment. However, we cannot assure you that the “negative list” will not be updated in the future in any way adverse to our business. In the event that the VIE’s and/or its subsidiaries’ operations in the PRC are not treated as domestic investment and the contractual arrangement between the WFOE, the VIE and the VIE’s shareholders are classified as foreign investment in the “restricted” or “prohibited” industry in the “negative list” under the Foreign Investment Law, such contractual arrangements may be deemed as invalid and illegal, and we may be required to unwind such contractual arrangements and/or deconsolidate the financial results of the VIE and the VIE’s subsidiaries under U.S.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if future laws, administrative regulations or provisions mandate further actions to be taken by companies with respect to existing contractual arrangements, we may face substantial uncertainties as to whether 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rely on contractual arrangements with the VIE and the VIE’s shareholders for certain business operations in the PRC, which may not be as effective as direct ownership in providing operational control. </w:t>
      </w:r>
    </w:p>
    <w:p>
      <w:pPr>
        <w:pStyle w:val="TextBody"/>
        <w:bidi w:val="0"/>
        <w:spacing w:before="120" w:after="0"/>
        <w:jc w:val="left"/>
        <w:rPr>
          <w:rFonts w:ascii="Times New Roman" w:hAnsi="Times New Roman"/>
          <w:sz w:val="20"/>
        </w:rPr>
      </w:pPr>
      <w:r>
        <w:rPr>
          <w:rFonts w:ascii="Times New Roman" w:hAnsi="Times New Roman"/>
          <w:sz w:val="20"/>
        </w:rPr>
        <w:t xml:space="preserve">The VIE and its subsidiaries accounted for 7.9%, 1.2% and 1.6% of our consolidated revenues for the years ended December 31, 2023, 2024 and 2025, respectively, after elimination of inter-company transactions. While we do not expect the VIE and the VIE’s subsidiaries to generate a significant portion of revenue on a consolidated basis, we have relied on and expect to continue to rely on contractual arrangements with the WFOE, the VIE and the VIE’s shareholders for certain business operations in the PRC. These contractual arrangements may not be as effective as direct ownership in providing us with over the power to direct the significant activities of the VIE. For example, the VIE and the VIE’s shareholders could breach their contractual arrangements with us by, among other things, failing to conduct the operations of the VIE in an acceptable manner or taking other actions that are detrimental to our interests. </w:t>
      </w:r>
    </w:p>
    <w:p>
      <w:pPr>
        <w:pStyle w:val="TextBody"/>
        <w:bidi w:val="0"/>
        <w:spacing w:before="240" w:after="0"/>
        <w:jc w:val="left"/>
        <w:rPr>
          <w:rFonts w:ascii="Times New Roman" w:hAnsi="Times New Roman"/>
          <w:sz w:val="20"/>
        </w:rPr>
      </w:pPr>
      <w:r>
        <w:rPr>
          <w:rFonts w:ascii="Times New Roman" w:hAnsi="Times New Roman"/>
          <w:sz w:val="20"/>
        </w:rPr>
        <w:t xml:space="preserve">If we had direct ownership in the VIE, we would be able to exercise our rights as shareholders to effect changes in the directors and senior management of the VIE, which in turn could implement changes, subject to any applicable fiduciary obligations, at the management and operational level. However, under the current contractual arrangements, we rely on the performance by the VIE and the VIE’s shareholders of their respective obligations under the contracts to direct the significant activities of the VIE. The VIE’s shareholders may act in a manner against the best interests of our company and may breach their obligations under these contracts. Such risks exist throughout the period in which we intend to operate certain portions of our business through the contractual arrangements with the VIE. If any dispute relating to these contracts remains unresolved, we will have to enforce our rights under these contracts through the operations of PRC laws and arbitrations, litigations and other legal proceedings and therefore will be subject to uncertainties in the PRC legal system. See “Item 3. Key Information—D. Risk Factors—Risks Relating to Our Corporate Structure—Any failure by the VIE or the VIE’s shareholders to perform their obligations under our contractual arrangements with them would have a material and adverse effect on our business.” Therefore, our contractual arrangements with the VIE may not be as effective in ensuring our power to direct the significant activities of the VIE as direct ownership in the VIE would be.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by the VIE or the VIE’s shareholders to perform their obligations under our contractual arrangements with them would have a material and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WFOE has entered into a series of contractual arrangements with the VIE and the VIE’s shareholders. For a description of these contractual arrangements, see “Item 4. Information on the Company—C. Organizational Structure.” If the VIE or the VIE’s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may be difficult to enforce under PRC laws. For example, if the shareholders of the VIE refuse to transfer their equity interest in the VIE to us or our designee if we exercise the purchase option pursuant to these contractual arrangements, or if they otherwise act in bad faith toward us, then we may have to take legal actions to compel them to perform their contractual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See “Item 3. Key Information—D. Risk Factors—Risks Relating to Doing Business in China—Uncertainties in the interpretation and enforcement of PRC laws and regulations could limit the legal protections available to you and us.” Meanwhile, there are very few precedents and little formal guidance as to how contractual arrangements in the context of a VIE should be interpreted or enforced under PRC laws.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delays. In the event we are unable to enforce these contractual arrangements, or if we suffer significant delays or other obstacles in the process of enforcing these contractual arrangements, we may not be able to direct the significant activities of the VIE, and our ability to conduct certain business through the VIE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shareholders of the VIE may have potential conflicts of interest with us, which may materially and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shareholders of the VIE are Mr. Weixian Xia and Mr. Huazhi Hu, each a senior employee of our company. Conflicts of interest may arise from them in their roles as employees of our company and as shareholders of the VIE. The VIE’s shareholders may breach, or cause the VIE to breach, or refuse to renew, the existing contractual arrangements we have with them and the VIE, which would have a material and adverse effect on our ability to direct the significant activities of the VIE and receive economic benefits from them. For example, the shareholders may be able to cause our agreements with the VIE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w:t>
      </w:r>
    </w:p>
    <w:p>
      <w:pPr>
        <w:pStyle w:val="TextBody"/>
        <w:bidi w:val="0"/>
        <w:spacing w:before="240" w:after="0"/>
        <w:jc w:val="left"/>
        <w:rPr>
          <w:rFonts w:ascii="Times New Roman" w:hAnsi="Times New Roman"/>
          <w:sz w:val="20"/>
        </w:rPr>
      </w:pPr>
      <w:r>
        <w:rPr>
          <w:rFonts w:ascii="Times New Roman" w:hAnsi="Times New Roman"/>
          <w:sz w:val="20"/>
        </w:rPr>
        <w:t xml:space="preserve">Currently, we do not have any arrangements to address potential conflicts of interest between these shareholders and our company, except that we could exercise our purchase option under the exclusive option agreements with these shareholders to request them to transfer all of their equity interests in the VIE to a PRC entity or individual designated by us, to the extent permitted by PRC laws. The shareholders of the VIE have executed powers of attorney to appoint the WFOE to vote on their behalf and exercise voting rights as shareholders of the VIE, and such rights were reassigned to us in March 2021. If we cannot resolve any conflicts of interest or disputes between us and the shareholders of the VIE, we would have to rely on legal proceedings, which may be expensive, time-consuming and disruptive to our operations. There is also substantial uncertainty as to the outcome of any such legal proceedings. </w:t>
      </w:r>
    </w:p>
    <w:p>
      <w:pPr>
        <w:pStyle w:val="TextBody"/>
        <w:bidi w:val="0"/>
        <w:spacing w:before="240" w:after="0"/>
        <w:jc w:val="left"/>
        <w:rPr>
          <w:rFonts w:ascii="Times New Roman" w:hAnsi="Times New Roman"/>
          <w:sz w:val="20"/>
        </w:rPr>
      </w:pPr>
      <w:r>
        <w:rPr>
          <w:rFonts w:ascii="Times New Roman" w:hAnsi="Times New Roman"/>
          <w:sz w:val="20"/>
        </w:rPr>
        <w:t xml:space="preserve">The shareholders of the VIE may be involved in personal disputes with third parties or other incidents that may have an adverse effect on their respective equity interests in the VIE and the validity or enforceability of our contractual arrangements with them. For example, in the event that any shareholder of the VIE divorces his or her spouse, the spouse may claim that the equity interest of the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our power to direct the significant activities of the VIE. In addition, a judicial freeze was placed on the equity interests of the VIE in connection with an arbitration filed by a third party against Mr. Huazhi Hu, our founder, chairman of the board of directors and chief executive officer, who was also a former shareholder of the VIE. The arbitration arose from a financial dispute between the third party and Mr. Huazhi Hu, and was unrelated to our company. The third party did not have any claim against the VIE. The VIE was involved in the arbitration only because the third party regarded equity interests of the VIE as potential assets of shareholders of the VIE. The parties to the arbitration have reached a settlement. In March 2021, the third party filed a petition with the court and the judicial freeze on the VIE’s equity interests had been released. In addition to the aforementioned arbitration, in October 2020, the VIE paid a guarantee deposit to a court in Guangzhou, China to lift the judicial freeze. For details, see “Item 7. Major Shareholders and Related Party Transactions—B. Related Party Transactions.” If any of the equity interests of the VIE is similarly claimed by a third party with whom the current contractual arrangements are not binding, we could lose our power to direct the significant activities of the VIE or have to maintain such power by incurring unpredicted costs, which could cause significant disruption to our business and operations and harm our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Contractual arrangements in relation to the VIE may be subject to scrutiny by the PRC tax authorities and they may determine that we or the VIE and the VIE’s subsidiaries, owe additional taxes, which could negatively affect our financial condition and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Under applicable PRC laws and regulations, arrangements and transactions among related parties may be subject to audit or challenge by the PRC tax authorities. The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the contractual arrangements among the WFOE, the VIE and the VIE’s shareholders were not entered into on an arm’s length basis in such a way as to result in an impermissible reduction in taxes under applicable PRC laws, rules and regulations, and adjust the income of the VIE in the form of a transfer pricing adjustment. A transfer pricing adjustment could, among other things, result in a reduction of expense deductions recorded by the VIE for PRC tax purposes, which could increase our tax expenses. In addition, the PRC tax authorities may impose late payment fees and other penalties on the VIE for the adjusted but unpaid taxes according to the applicable regulations. Our financial position could be materially and adversely affected if the VIE’s tax liabilities increase or if it is required to pay late payment fees and other penalties.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lose the ability to use and enjoy assets held by the VIE that are material to certain business operations in the PRC if the VIE goes bankrupt or becomes subject to a dissolution or liquidation proceeding.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contractual arrangements with the VIE, the VIE and the VIE’s subsidiaries hold certain assets that are material to certain business operations in the PRC, including permits, domain names and IP rights, operating licenses, intangible assets and fixed assets. If the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 may not, in any manner, sell, transfer, mortgage or dispose of its assets or legal or beneficial interests in the business without our prior consent. If our consolidated affiliated entity undergoes a voluntary or involuntary liquidation proceeding, the independent third-party creditors may claim rights to some or all of these assets, thereby hindering our ability to operate our business,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dual-class share structure with different voting rights will limit your ability to influence corporate matters and could discourage others from pursuing any change of control transactions that holders of our Class A ordinary shares and ADSs may view as beneficial.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share capital is divided into Class A ordinary shares and Class B ordinary shares. In respect of matters requiring the votes of shareholders, holders of Class B ordinary shares are entitled to ten votes per share, while holders of Class A ordinary shares are entitled to one vote per share based on our dual-class share structure. Each Class B ordinary share is convertible into one Class A ordinary share at any time by its holder, while Class A ordinary shares are not convertible into Class B ordinary shares under any circumstances. Upon any sale, transfer, assignment or disposition of any Class B ordinary shares by their holder or a change of ultimate beneficial ownership of any Class B ordinary share to any person other than our founder, Mr. Huazhi Hu, or an affiliate controlled by our founder, such Class B ordinary shares shall be automatically and immediately converted into the same number of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Mr. Huazhi Hu, our founder, chairman of the board of directors and chief executive officer, beneficially owned all of our issued and outstanding Class B ordinary shares. These Class B ordinary shares constituted approximately 25.7% of our total issued and outstanding share capital and 77.6% of the aggregate voting power of our total issued and outstanding share capital as of March 31, 2026. See “Item 6. Directors, Senior Management and Employees—E. Share Ownership.”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we have no current plan to issue additional Class B ordinary shares, our board of directors has the authority without further action by our shareholders to issue additional Class B ordinary shares, which will further dilute the voting power of our Class A ordinary shareholders. As a result of the dual-class share structure and the concentration of ownership, our founder has considerable influence over matters such as mergers, consolidations and the sale of all or substantially all of our assets, election of directors, amendments to organizational documents and other significant corporate actions. Our founder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founder will continue to be able to control all matters submitted to our shareholders for approval even if his shareholdings represent substantially less than a majority of our outstanding common shares. This concentrated control will limit your ability to influence corporate matters for the foreseeable future, and, as a result, the market price of our Class A common shares could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July 2017, FTSE Russell and Standard &amp; Poor’s announced that they would cease to allow most newly public companies utilizing dual- or multi-class capital structures to be included in certain of their indices. Affected indices include the Russell 2000 and the S&amp;P 500, S&amp;P MidCap 400 and S&amp;P SmallCap 600, which together comprise the S&amp;P Composite 1500. Under the announced policies, our dual-class share structure would make us ineligible for inclusion in any of these indices, and as a result, mutual funds, exchange-traded funds and other investment vehicles that attempt to passively track these indices will not be investing in our shares, which may depress these valuations or depress our trading volume compared to those of other similar companies that are included in these indices.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Doing Business in China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PRC government’s oversight over our and the VIE’s business operation could result in a material adverse change in our operations and the value of the ADSs. </w:t>
      </w:r>
    </w:p>
    <w:p>
      <w:pPr>
        <w:pStyle w:val="TextBody"/>
        <w:bidi w:val="0"/>
        <w:spacing w:before="120" w:after="0"/>
        <w:jc w:val="left"/>
        <w:rPr>
          <w:rFonts w:ascii="Times New Roman" w:hAnsi="Times New Roman"/>
          <w:sz w:val="20"/>
        </w:rPr>
      </w:pPr>
      <w:r>
        <w:rPr>
          <w:rFonts w:ascii="Times New Roman" w:hAnsi="Times New Roman"/>
          <w:sz w:val="20"/>
        </w:rPr>
        <w:t xml:space="preserve">We conduct business operations in China primarily through our PRC subsidiaries. Our and the VIE’s operations in China are governed by PRC laws and regulations. The PRC government’s oversight over our and the VIE’s business operation could result in a material adverse change in our and the VIE’s operations and the value of the ADSs. The Chinese government may intervene or influence our operations, or may adjust policies over offerings conducted overseas and/or foreign investment in China-based issuers, which could result in a material change in our operations and/or the value of the ADSs.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 </w:t>
      </w:r>
    </w:p>
    <w:p>
      <w:pPr>
        <w:pStyle w:val="TextBody"/>
        <w:bidi w:val="0"/>
        <w:spacing w:before="240" w:after="0"/>
        <w:jc w:val="left"/>
        <w:rPr>
          <w:rFonts w:ascii="Times New Roman" w:hAnsi="Times New Roman"/>
          <w:sz w:val="20"/>
        </w:rPr>
      </w:pPr>
      <w:r>
        <w:rPr>
          <w:rFonts w:ascii="Times New Roman" w:hAnsi="Times New Roman"/>
          <w:sz w:val="20"/>
        </w:rPr>
        <w:t xml:space="preserve">There are uncertainties regarding the interpretation and application of PRC laws and regulations, including, but not limited to, the laws and regulations governing our and the VIE’s business, or the enforcement and performance of our contractual arrangements with the VIE. These laws and regulations may be subject to change, and the rules and policies in China may evolve over time, which could result in a material adverse change in our operations and the value of the ADSs. New laws and regulations that affect existing and proposed future businesses may also be applied retroactively. Due to the uncertainty and complexity of the regulatory environment, we cannot assure you that we and the VIE would always be in full compliance with applicable laws and regulations, the violation of which may have adverse effect on our and the VIE’s business and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in the interpretation and enforcement of PRC laws and regulations could limit the legal protections available to you and us. </w:t>
      </w:r>
    </w:p>
    <w:p>
      <w:pPr>
        <w:pStyle w:val="TextBody"/>
        <w:bidi w:val="0"/>
        <w:spacing w:before="120" w:after="0"/>
        <w:jc w:val="left"/>
        <w:rPr>
          <w:rFonts w:ascii="Times New Roman" w:hAnsi="Times New Roman"/>
          <w:sz w:val="20"/>
        </w:rPr>
      </w:pPr>
      <w:r>
        <w:rPr>
          <w:rFonts w:ascii="Times New Roman" w:hAnsi="Times New Roman"/>
          <w:sz w:val="20"/>
        </w:rPr>
        <w:t xml:space="preserve">The PRC legal system is a civil law system based on written statutes. Like other civil law jurisdictions, prior court decisions may be cited for reference but have limited precedential value in China. The PRC legal system continues to evolve, and its current framework may not cover all aspects of economic activities in China, including such activities that relate to or have an impact on our business. Implementation and interpretations of laws, regulations and rules involve uncertainties.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time to time, we, the VIE or the VIE’s subsidiaries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the VIE or the VIE’s subsidiaries enjoy than in more developed legal systems. Furthermore, the PRC legal system is based in part on government policies and internal rules (some of which are not published in a timely manner or at all) that may have a retroactive effect. As a result, we, the VIE or the VIE’s subsidiaries may not always be aware of any potential violation of these policies and rules until sometime after the violation. Such uncertainties, including unpredictability towards the scope and effect of our, the VIE or the VIE’s subsidiaries’ contractual, property (including intellectual property) and procedural rights, and any failure to respond to changes in the regulatory environment in China could materially and adversely affect our business and impede our ability to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adversely affected by changes in PRC regulations on technology companies.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imposes licensing and permit requirements for companies in the technology industry. These laws, regulations and announcements continue to evolve, and their interpretation and enforcement involve certain uncertainties. As a result, in certain circumstances it may be difficult to determine what actions or omissions may be deemed to be in violation of applicable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mobile application is regulated by the Administrative Provisions on Mobile Internet Applications Information Services, or the App Provisions, promulgated by the Cyberspace Administration of China, or the CAC,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warnings, service suspensions or removal of our mobile applications from relevant mobile application stores, which may materially and adversely affect our business and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The interpretation and application of existing PRC laws, regulations and policies and possible new laws, regulations or policies relating to the technology industry, particularly the policies relating to new energy vehicles, have created certain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or renew our existing licenses or obtain new ones.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exist with respect to the interpretation and implementation of the PRC Foreign Investment Law and its Implementation Regulations and how they may impact the viability of our current corporate structure, corporate governance and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National People’s Congress approved the </w:t>
      </w:r>
      <w:r>
        <w:rPr>
          <w:rFonts w:ascii="Times New Roman" w:hAnsi="Times New Roman"/>
          <w:i/>
          <w:sz w:val="20"/>
        </w:rPr>
        <w:t>PRC Foreign Investment Law</w:t>
      </w:r>
      <w:r>
        <w:rPr>
          <w:rFonts w:ascii="Times New Roman" w:hAnsi="Times New Roman"/>
          <w:sz w:val="20"/>
        </w:rPr>
        <w:t xml:space="preserve">, or the Foreign Investment Law, on March 15, 2019 and the State Council approved the </w:t>
      </w:r>
      <w:r>
        <w:rPr>
          <w:rFonts w:ascii="Times New Roman" w:hAnsi="Times New Roman"/>
          <w:i/>
          <w:sz w:val="20"/>
        </w:rPr>
        <w:t>Regulation on Implementing the Foreign Investment Law</w:t>
      </w:r>
      <w:r>
        <w:rPr>
          <w:rFonts w:ascii="Times New Roman" w:hAnsi="Times New Roman"/>
          <w:sz w:val="20"/>
        </w:rPr>
        <w:t xml:space="preserve">, or the Implementation Regulations on December 12, 2019, effective from January 1, 2020, to replace prior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the Foreign Investment Law and the Implementation Regulations are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our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approval of and the filing with the CSRC or other PRC governmental authorities may be required in connection with our future offshore offerings under PRC law and if required, we cannot predict whether or how soon we will be able to obtain such approval or complete such filing. </w:t>
      </w:r>
    </w:p>
    <w:p>
      <w:pPr>
        <w:pStyle w:val="TextBody"/>
        <w:bidi w:val="0"/>
        <w:spacing w:before="120" w:after="0"/>
        <w:jc w:val="left"/>
        <w:rPr>
          <w:rFonts w:ascii="Times New Roman" w:hAnsi="Times New Roman"/>
          <w:sz w:val="20"/>
        </w:rPr>
      </w:pPr>
      <w:r>
        <w:rPr>
          <w:rFonts w:ascii="Times New Roman" w:hAnsi="Times New Roman"/>
          <w:sz w:val="20"/>
        </w:rPr>
        <w:t xml:space="preserve">On February 17, 2023, the CSRC issued rules and regulations concerning the filing management of overseas listing, which came into effect on March 31, 2023, which include the Provisional Measures for the Administration of Overseas Issuance and Listing of Securities by Domestic Enterprises, or the New Filing Rules, and five supporting guidelines. The New Filing Rules dictate that enterprises that have been listed overseas prior to March 31, 2023 constitute “Existing Issuers.” Existing Issuers are required to complete filing procedure with the CSRC if and when they pursue any refinancing activities, securities offerings and listings outside of Mainland China, including but not limited to follow-on offerings, secondary listings, and listing by introduction in a different market, unless such securities are issued as equity incentive awards or in connection with conversion of public reserve funds into increased company capital, share dividends or share split. Although we are an Exiting Issuer and accordingly are not required to complete filing with the CSRC immediately, we may be subject to the CSRC filing procedures in the future in connection with our refinancing or other activities and, if required, we cannot predict whether we will be able to complete such filing procedures in time or at all. If we fail to complete such filing procedures, we may not conduct refinancing or other activities which are subject to the New Filing Rules, or we would be subject to sanctions by the CSRC or other PRC regulatory authorities. These regulatory authorities may impose fines and penalties on our operations in China, limit our ability to pay dividends outside of China, limit our operating activities in China, delay or restrict the repatriation of the proceeds from our offshore offerings into China or take other actions that could materially and adversely affect our business, financial condition, results of operations, and prospects, as well as the trading price of the ADSs. In addition, there remains uncertainties as to the interpretation, application, and enforcement of the New Filing Rules and how they will affect our operations and our future financing. We cannot guarantee that new rules or regulations promulgated in the future will not impose any additional requirements on us or otherwise tighten the regulations on companies with VIE structures.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ADSs will be delisted and prohibited from trading in the U.S. under the Holding Foreign Companies Accountable Act, or the HFCAA, if the PCAOB is unable to inspect or fully investigate auditors located in China.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May 26,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the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labor costs and enforcement of stricter labor laws and regulations in the PRC may adversely affect our business and our profitability. </w:t>
      </w:r>
    </w:p>
    <w:p>
      <w:pPr>
        <w:pStyle w:val="TextBody"/>
        <w:bidi w:val="0"/>
        <w:spacing w:before="120" w:after="0"/>
        <w:jc w:val="left"/>
        <w:rPr>
          <w:rFonts w:ascii="Times New Roman" w:hAnsi="Times New Roman"/>
          <w:sz w:val="20"/>
        </w:rPr>
      </w:pPr>
      <w:r>
        <w:rPr>
          <w:rFonts w:ascii="Times New Roman" w:hAnsi="Times New Roman"/>
          <w:sz w:val="20"/>
        </w:rPr>
        <w:t xml:space="preserve">China’s overall economy and the average wage level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our customers, our profitability and results of operations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been subject to stricter regulatory requirements in terms of entering into labor contracts with our employees and paying various statutory employee benefits, including pensions, housing funds,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October 2010, the Standing Committee of the National People’s Congress promulgated the PRC Social Insurance Law, which came into effect on July 1, 2011. In April 1999, the State Council promulgated the Regulations on the Administration of Housing Funds, which was amended in March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Recently, the PRC government enhanced its measures relating to social insurance collection, which lead to stricter enforcement. </w:t>
      </w:r>
    </w:p>
    <w:p>
      <w:pPr>
        <w:pStyle w:val="TextBody"/>
        <w:bidi w:val="0"/>
        <w:spacing w:before="240" w:after="0"/>
        <w:jc w:val="left"/>
        <w:rPr>
          <w:rFonts w:ascii="Times New Roman" w:hAnsi="Times New Roman"/>
          <w:sz w:val="20"/>
        </w:rPr>
      </w:pPr>
      <w:r>
        <w:rPr>
          <w:rFonts w:ascii="Times New Roman" w:hAnsi="Times New Roman"/>
          <w:sz w:val="20"/>
        </w:rPr>
        <w:t xml:space="preserve">On July 31, 2025, the PRC Supreme People’s Court promulgated the Interpretation (II) on Several Issues Concerning the Application of Law in the Trial of Labor Dispute Cases, which took effect on September 1, 2025. Pursuant to this interpretation, where an employer and an employee agree or the employee undertakes that social insurance contributions need not to be paid, the court shall deem such agreement or undertaking invalid. Where an employer fails to pay social insurance premiums in accordance with the law, and the employee requests to terminate the employment contract and for the employer to pay economic compensation, the people’s court shall uphold such requests in accordance with the law. The introduction of new judicial interpretations or changes in regulatory guidance in the future may result in certain aspects of our operations being deemed not fully compliant with evolving labor laws and regulations. We could be ordered by the competent labor authorities for rectification, and failure to comply with such orders may further subject us to administrative fines. </w:t>
      </w:r>
    </w:p>
    <w:p>
      <w:pPr>
        <w:pStyle w:val="TextBody"/>
        <w:bidi w:val="0"/>
        <w:spacing w:before="240" w:after="0"/>
        <w:jc w:val="left"/>
        <w:rPr>
          <w:rFonts w:ascii="Times New Roman" w:hAnsi="Times New Roman"/>
          <w:sz w:val="20"/>
        </w:rPr>
      </w:pPr>
      <w:r>
        <w:rPr>
          <w:rFonts w:ascii="Times New Roman" w:hAnsi="Times New Roman"/>
          <w:sz w:val="20"/>
        </w:rPr>
        <w:t xml:space="preserve">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laws and regulations including those relating to obligations to make social insurance payments and contribute to the housing provident funds. We have not fully paid the social insurance payment and housing provident funds for all of our employees as required by applicable PRC regulations. We may be required to make up the contributions for our employees, and may be further subjected to late fees payment and administrative fines, resulting in financial condition and results of operations to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We have made full provisions in respect of the outstanding amount of the social insurance fund contributions for current employees. As of the date of this annual report, we had not received any notification from the relevant PRC authorities requiring us to pay any shortfall with respect to the social insurance fund or imposing any administrative penalties on us, nor were we aware of any material employee complaints or involved in any material labour disputes with our employees with respect to the social insurance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we rely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its ability to pay dividends or make other distributions to us. </w:t>
      </w:r>
    </w:p>
    <w:p>
      <w:pPr>
        <w:pStyle w:val="TextBody"/>
        <w:bidi w:val="0"/>
        <w:spacing w:before="240" w:after="0"/>
        <w:jc w:val="left"/>
        <w:rPr>
          <w:rFonts w:ascii="Times New Roman" w:hAnsi="Times New Roman"/>
          <w:sz w:val="20"/>
        </w:rPr>
      </w:pPr>
      <w:r>
        <w:rPr>
          <w:rFonts w:ascii="Times New Roman" w:hAnsi="Times New Roman"/>
          <w:sz w:val="20"/>
        </w:rPr>
        <w:t xml:space="preserve">Under PRC laws and regulations, wholly foreign-owned enterprises in China, such as the WFOE,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dividends is primarily dependent on receiving distributions of funds from our PRC subsidiaries, the VIE and the VIE’s subsidiaries. Relevant PRC statutory laws and regulations permit payments of dividends by our PRC subsidiaries, the VIE and the VIE’s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our PRC subsidiaries, the VIE and the VIE’s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In response to the persistent capital outflow and the Renminbi’s depreciation against the U.S. dollar, the People’s Bank of China and the State Administration of Foreign Exchange, or SAFE, have implemented a series of capital control measures, including stricter vetting procedures for China-based companies to remit foreign currency for overseas acquisitions, dividend payments and shareholder loan repayments. The PRC government may continue to strengthen its capital controls, and the WFOE’s dividends and other distributions may be subjected to tighter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the VIE and the VIE’s subsidiaries, which could materially and adversely affect our liquidity and our ability to fund and expand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an offshore holding company conducting our operations in China through our PRC subsidiaries, VIE and its subsidiaries. We may make loans to our PRC subsidiaries, VIE and its subsidiaries, or we may make additional capital contributions to our PRC subsidiaries, or we may establish new PRC subsidiaries and make capital contributions to these new PRC subsidiaries, or we may acquire offshore entities with business operations in China in an offshore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Most of these activities are subject to PRC regulations and approvals. For example, loans by us to our wholly owned PRC subsidiaries to finance their activities cannot exceed statutory limits and must be registered with the local counterpart of the State Administration of Foreign Exchange, or SAFE. If we decide to finance our wholly owned PRC subsidiaries by means of capital contributions, these capital contributions are subject to the requirement of making necessary filings in the Foreign Investment Comprehensive Management Information System and registration with other governmental authorities in China. Due to the restrictions imposed on loans in foreign currencies extended to any PRC domestic companies, we are not likely to make such loans to the VIE, which is a PRC domestic company. SAFE promulgated the </w:t>
      </w:r>
      <w:r>
        <w:rPr>
          <w:rFonts w:ascii="Times New Roman" w:hAnsi="Times New Roman"/>
          <w:i/>
          <w:sz w:val="20"/>
        </w:rPr>
        <w:t>Circular on the Reforming of the Management Method of the Settlement of Foreign Currency Capital of Foreign-invested Enterprises</w:t>
      </w:r>
      <w:r>
        <w:rPr>
          <w:rFonts w:ascii="Times New Roman" w:hAnsi="Times New Roman"/>
          <w:sz w:val="20"/>
        </w:rPr>
        <w:t xml:space="preserve">, or SAFE Circular 19, effective on June 1, 2015, in replacement of the Circular on the Relevant Issues Concerning the Launch of Reforming Trial of the Administration Model of the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capital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w:t>
      </w:r>
      <w:r>
        <w:rPr>
          <w:rFonts w:ascii="Times New Roman" w:hAnsi="Times New Roman"/>
          <w:i/>
          <w:sz w:val="20"/>
        </w:rPr>
        <w:t>Notice of the State Administration of Foreign Exchange on Reforming and Standardizing the Foreign Exchange Settlement Management Policy of Capital Account</w:t>
      </w:r>
      <w:r>
        <w:rPr>
          <w:rFonts w:ascii="Times New Roman" w:hAnsi="Times New Roman"/>
          <w:sz w:val="20"/>
        </w:rPr>
        <w:t xml:space="preserve">,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our securities offerings, to our PRC subsidiaries, which may adversely affect our liquidity and our ability to fund and expand our business in China. </w:t>
      </w:r>
    </w:p>
    <w:p>
      <w:pPr>
        <w:pStyle w:val="TextBody"/>
        <w:bidi w:val="0"/>
        <w:spacing w:before="240" w:after="0"/>
        <w:jc w:val="left"/>
        <w:rPr>
          <w:rFonts w:ascii="Times New Roman" w:hAnsi="Times New Roman"/>
          <w:sz w:val="20"/>
        </w:rPr>
      </w:pPr>
      <w:r>
        <w:rPr>
          <w:rFonts w:ascii="Times New Roman" w:hAnsi="Times New Roman"/>
          <w:sz w:val="20"/>
        </w:rPr>
        <w:t xml:space="preserve">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by us to our PRC subsidiaries or with respect to future capital contributions by us to our PRC subsidiary. If we fail to complete such registrations or obtain such approvals, our ability to use the proceeds we received from our securities offerings and to capitalize or otherwise fund our PRC operations may be negatively affected, which could materially and adversely affect our liquidity and our ability to fund and expand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regulations relating to the establishment of offshore special purpose vehicles by PRC residents may subject our PRC resident beneficial owners or our PRC subsidiaries to liabilities or penalties, limit our ability to inject capital into our PRC subsidiaries, limit the ability of our PRC liabilities to increase its registered capital or distribute profits to us, or may otherwise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The SAFE promulgated the Circular on Relevant Issues Relating to Domestic Resident’s Investment and Financing and Round-Trip Investment through Special Purpose Vehicles, or SAFE Circular 37, in July 2014 that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On February 13, 2015, SAFE issued SAFE Circular No. 13, which took effect on June 1, 2015, pursuant to which, the power to accept SAFE registration was delegated from local SAFE to local qualified banks where the assets or interest in the domestic entity was located. SAFE Circular 37 is issued to replace the Notice on Relevant Issues Concerning Foreign Exchange Administration for PRC Residents Engaging in Financing and Roundtrip Investments via Overseas Special Purpose Vehicles, or SAFE Circular 75. </w:t>
      </w:r>
    </w:p>
    <w:p>
      <w:pPr>
        <w:pStyle w:val="TextBody"/>
        <w:bidi w:val="0"/>
        <w:spacing w:before="240" w:after="0"/>
        <w:jc w:val="left"/>
        <w:rPr>
          <w:rFonts w:ascii="Times New Roman" w:hAnsi="Times New Roman"/>
          <w:sz w:val="20"/>
        </w:rPr>
      </w:pPr>
      <w:r>
        <w:rPr>
          <w:rFonts w:ascii="Times New Roman" w:hAnsi="Times New Roman"/>
          <w:sz w:val="20"/>
        </w:rPr>
        <w:t xml:space="preserve">If our shareholders who are PRC residents or entities do not complete their registration pursuant to SAFE Circular 37 as required, our PRC subsidiaries may be prohibited from distributing their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the ability of our PRC subsidiaries to make distributions or pay dividends to us or affect our ownership structure, which could adversely affect our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M&amp;A Rules and certain other PRC regulations establish complex procedures for some acquisitions of Chinese companies by foreign investors, which could make it more difficult for us to pursue growth through acquisitions in China. </w:t>
      </w:r>
    </w:p>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Regulations on Mergers and Acquisitions of Domestic Companies by Foreign Investors</w:t>
      </w:r>
      <w:r>
        <w:rPr>
          <w:rFonts w:ascii="Times New Roman" w:hAnsi="Times New Roman"/>
          <w:sz w:val="20"/>
        </w:rPr>
        <w:t xml:space="preserve">, or the M&amp;A Rules, adopted by six PRC regulatory agencies in August 2006 and amended in September 2009, and some other regulations and rules concerning mergers and acquisitions established additional procedures and requirements that could make merger and acquisition activities by foreign investors more time consuming and complex, including requirements in some instances that shall obtained an approval from the MOFCOM in advance of any change-of-control transaction in which a foreign investor takes control of a PRC domestic enterprise. Moreover, the Anti-Monopoly Law requires that the MOFCOM shall be notified in advance of any concentration of undertaking if certain thresholds are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MOFCOM or its local counterparts may delay or inhibit our ability to complete such transactions, which could affect our ability to expand our business or maintain our market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movements in exchange rates between U.S. dollars and Renminbi may adversely affect the value of our ordinary shares or the ADSs. </w:t>
      </w:r>
    </w:p>
    <w:p>
      <w:pPr>
        <w:pStyle w:val="TextBody"/>
        <w:bidi w:val="0"/>
        <w:spacing w:before="120" w:after="0"/>
        <w:jc w:val="left"/>
        <w:rPr>
          <w:rFonts w:ascii="Times New Roman" w:hAnsi="Times New Roman"/>
          <w:sz w:val="20"/>
        </w:rPr>
      </w:pPr>
      <w:r>
        <w:rPr>
          <w:rFonts w:ascii="Times New Roman" w:hAnsi="Times New Roman"/>
          <w:sz w:val="20"/>
        </w:rPr>
        <w:t xml:space="preserve">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revaluation of the Renminbi may have a material and adverse effect on your investment. For example,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Very limited hedging options are available in China to reduce our exposure to exchange rate fluctuations. To date, we have not entered into any material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Governmental control of currency conversion may limit our ability to utilize our operating revenues effectively and affect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may rely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if certain procedural requirements are complied with.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consolidated affiliated entities to pay off their respective debt in a currency other than Renminbi owed to entities outside China, or to make other capital expenditure payments outside China in a currency other than Renminbi. </w:t>
      </w:r>
    </w:p>
    <w:p>
      <w:pPr>
        <w:pStyle w:val="TextBody"/>
        <w:bidi w:val="0"/>
        <w:spacing w:before="240" w:after="0"/>
        <w:jc w:val="left"/>
        <w:rPr>
          <w:rFonts w:ascii="Times New Roman" w:hAnsi="Times New Roman"/>
          <w:sz w:val="20"/>
        </w:rPr>
      </w:pPr>
      <w:r>
        <w:rPr>
          <w:rFonts w:ascii="Times New Roman" w:hAnsi="Times New Roman"/>
          <w:sz w:val="20"/>
        </w:rPr>
        <w:t xml:space="preserve">The PRC government has imposed more restrictive foreign exchange policies and stepped-up scrutiny of major outbound capital movements including overseas direct investments. More restrictions and substantial vetting processes are put in place by SAFE to regulate cross-border transactions falling under the capital account. For example, if a person (i) uses Renminbi to pay amounts due that should be settled in a foreign currency or (ii) makes payments in Renminbi on behalf of a third party in exchange for repayments in a foreign currency, such person may be subject to a fine of not more than 30% of the illegal payment. In severe cases, the fine could be increased to 100% of the illegal payment. If any of our shareholders or affiliates to whom SAFE regulations are applicable violates any of the foreign exchange policies, it may be subject to penalties from the relevant PRC authorities. Historically, certain minority shareholders invested in our company through payments in Renminbi to the VIE in lieu of payments in U.S. dollars outside of the PRC. In an uncertain event that we are deemed to have participated in our shareholders’ actions that are not in compliance with the relevant foreign exchange policies by the PRC regulatory authorities, we could be subject to restrictions on our ability to convert foreign currencies into Renminbi or vice versa, as well as monetary penalties. If the PRC foreign exchange control system prevents us from converting foreign currencies into Renminbi or vice versa, our ability to obtain sufficient foreign currencies to satisfy our foreign currency demands may be materially and adversely affected. For example, we may not be able to pay dividends in foreign currencies to our shareholders, including holders of the ADSs, and we may also encounter difficulties in remitting proceeds from our overseas financings and our revenue from the transactions with our overseas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comply with PRC regulations regarding the registration requirements for employee stock ownership plans or share option plans may subject the PRC plan participants or us to fines and other legal or administrative sanctions.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and who have been granted incentive share awards by us, may follow the Notices on Issues Concerning the Foreign Exchange Administration for Domestic Individuals Participating in Stock Incentive Plan of Overseas Publicly-Listed Company, promulgated by the SAFE in 2012. Pursuant to the 2012 SAFE notices, PRC citizens and non-PRC citizens who reside in China for a continuous period of not less than one year who participate in any stock incentive plan of an overseas publicly listed company,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restricted share units are subject to these regulations as our company has become an overseas listed company. Failure to complete the SAFE registrations may subject us to fines, and legal sanctions and may also limit our ability to contribute additional capital into our PRC subsidiaries and limit the ability of our PRC subsidiaries to distribute dividends to us. We also face regulatory uncertainties that could restrict our abilities to adopt additional incentive plans for our directors, executive officers and employees under PRC laws. </w:t>
      </w:r>
    </w:p>
    <w:p>
      <w:pPr>
        <w:pStyle w:val="TextBody"/>
        <w:bidi w:val="0"/>
        <w:spacing w:before="240" w:after="0"/>
        <w:jc w:val="left"/>
        <w:rPr>
          <w:rFonts w:ascii="Times New Roman" w:hAnsi="Times New Roman"/>
          <w:sz w:val="20"/>
        </w:rPr>
      </w:pPr>
      <w:r>
        <w:rPr>
          <w:rFonts w:ascii="Times New Roman" w:hAnsi="Times New Roman"/>
          <w:sz w:val="20"/>
        </w:rPr>
        <w:t xml:space="preserve">The State Administration of Taxation, or SAT, has issued certain circulars concerning employee share options and restricted shares. If our employees fail to pay or we fail to withhold their income taxes according to relevant laws and regulations, we may face sanctions imposed by the tax authorities or other PRC governmental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Discontinuation of any of the preferential tax treatments and government subsidies or imposition of any additional taxes and surcharges could adversely affect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Each of the WFOE and the VIE is currently qualified as a high and new technology enterprise, or HNTE, and as such is eligible for a 15% preferential tax rate, which will expire in December 2026 and December 2028, respectively.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PRC subsidiaries have received various financial subsidies from PRC local government authorities. The financial subsidies result from discretionary incentives and policies adopted by PRC local government authorities. The discontinuation of such financial subsidies or imposition of any additional taxes could adversely affect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classified as a PRC resident enterprise for PRC income tax purposes, such classification could result in unfavorable tax consequences to us and our non-PRC shareholders or ADS holders.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and overall management over the business, production, personnel, accounts and properties of an enterprise. In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sale or other disposition of the ADSs or ordinary shares may be subject to PRC tax at a rate of 10% (in the case of non-PRC enterprise) or 20% in the case of non-PRC individuals (in each case, subject to the provisions of any applicable tax treaty), if such gains are deemed to be from PRC sources. These rates may be reduced by an applicable tax treaty, but it is unclear whether non-PRC shareholders of the WFOE would be able to claim the benefits of any tax treaties between their country of tax residence and the PRC in the event that the WFOE is treated as a PRC resident enterprise. Any such PRC tax may reduce the returns on your investment in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obtain certain benefits under the relevant tax treaty on dividends paid by our PRC subsidiaries to us through our Hong Kong subsidiary.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w:t>
      </w:r>
      <w:r>
        <w:rPr>
          <w:rFonts w:ascii="Times New Roman" w:hAnsi="Times New Roman"/>
          <w:i/>
          <w:sz w:val="20"/>
        </w:rPr>
        <w:t>Arrangement between the Mainland China and the Hong Kong Special Administrative Region for the Avoidance of Double Taxation and Tax Evasion on Income</w:t>
      </w:r>
      <w:r>
        <w:rPr>
          <w:rFonts w:ascii="Times New Roman" w:hAnsi="Times New Roman"/>
          <w:sz w:val="20"/>
        </w:rPr>
        <w:t xml:space="preserve">, such withholding tax rate may be lowered to 5% if a Hong Kong resident enterprise owns no less than 25% of a PRC enterprise. Furthermore, the </w:t>
      </w:r>
      <w:r>
        <w:rPr>
          <w:rFonts w:ascii="Times New Roman" w:hAnsi="Times New Roman"/>
          <w:i/>
          <w:sz w:val="20"/>
        </w:rPr>
        <w:t>Administrative Measures for Non-Resident Enterprises to Enjoy Treatments under Tax Treaties</w:t>
      </w:r>
      <w:r>
        <w:rPr>
          <w:rFonts w:ascii="Times New Roman" w:hAnsi="Times New Roman"/>
          <w:sz w:val="20"/>
        </w:rPr>
        <w:t xml:space="preserve">,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“Item 10. Additional Information—E. Taxation—PRC Taxation.” As of December 31, 2025, our PRC subsidiaries and the VIE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We cannot assure you that our determination regarding our qualification to enjoy the preferential tax treatment could be challenged by the relevant tax authority and we may be unable to complete the necessary filings with the relevant tax authority and enjoy the preferential withholding tax rate of 5% under the arrangement with respect to dividends to be paid by our PRC subsidiary to our Hong Kong subsidiary.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uncertainty with respect to indirect transfers of equity interests in PRC resident enterprises by their non-PRC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In February 2015, the State Administration of Taxation issued the </w:t>
      </w:r>
      <w:r>
        <w:rPr>
          <w:rFonts w:ascii="Times New Roman" w:hAnsi="Times New Roman"/>
          <w:i/>
          <w:sz w:val="20"/>
        </w:rPr>
        <w:t>Public Notice Regarding Certain Enterprise Income Tax Matters on Indirect Transfer of Properties by Non-Resident Enterprises</w:t>
      </w:r>
      <w:r>
        <w:rPr>
          <w:rFonts w:ascii="Times New Roman" w:hAnsi="Times New Roman"/>
          <w:sz w:val="20"/>
        </w:rPr>
        <w:t xml:space="preserve">,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must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(subject to available preferential tax treatment under applicable tax treaties or similar arrangements) for the transfer of equity interests in a PRC resident enterprise. On October 17, 2017, the SAT issued the </w:t>
      </w:r>
      <w:r>
        <w:rPr>
          <w:rFonts w:ascii="Times New Roman" w:hAnsi="Times New Roman"/>
          <w:i/>
          <w:sz w:val="20"/>
        </w:rPr>
        <w:t>Announcement of the State Administration of Taxation on Issues Concerning the Withholding of Non-resident Enterprise Income Tax at Source</w:t>
      </w:r>
      <w:r>
        <w:rPr>
          <w:rFonts w:ascii="Times New Roman" w:hAnsi="Times New Roman"/>
          <w:sz w:val="20"/>
        </w:rPr>
        <w:t xml:space="preserve">, or SAT Bulletin 37, which came into effect on December 1, 2017. The SAT Bulletin 37 further clarifies the practice and procedure of the withholding of nonresident enterprise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risk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custodians or authorized users of controlling non-tangible assets of our company, including our corporate chops and seals, fail to fulfill their responsibilities, or misappropriate or misuse these assets, our business and operations could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Under PRC law, legal documents for corporate transactions are executed using the chops or seal of the signing entity or with the signature of a legal representative whose designation is registered and filed with the relevant branch of the Administration of Market Regulation. </w:t>
      </w:r>
    </w:p>
    <w:p>
      <w:pPr>
        <w:pStyle w:val="TextBody"/>
        <w:bidi w:val="0"/>
        <w:spacing w:before="240" w:after="0"/>
        <w:jc w:val="left"/>
        <w:rPr>
          <w:rFonts w:ascii="Times New Roman" w:hAnsi="Times New Roman"/>
          <w:sz w:val="20"/>
        </w:rPr>
      </w:pPr>
      <w:r>
        <w:rPr>
          <w:rFonts w:ascii="Times New Roman" w:hAnsi="Times New Roman"/>
          <w:sz w:val="20"/>
        </w:rPr>
        <w:t xml:space="preserve">Although we usually utilize chops to enter into contracts, the designated legal representatives of each of our PRC subsidiaries, VIE and its subsidiaries have the apparent authority to enter into contracts on behalf of such entities without chops and bind such entities. All designated legal representatives of our PRC subsidiaries, variable interest entity and its subsidiaries are members of our senior management team who have signed employment agreements with us or our PRC subsidiaries, VIE and its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VIE and its subsidiaries. Although we monitor such authorized personnel, there is no assurance such procedures will prevent all instances of abuse or negligence. </w:t>
      </w:r>
    </w:p>
    <w:p>
      <w:pPr>
        <w:pStyle w:val="TextBody"/>
        <w:bidi w:val="0"/>
        <w:spacing w:before="240" w:after="0"/>
        <w:jc w:val="left"/>
        <w:rPr>
          <w:rFonts w:ascii="Times New Roman" w:hAnsi="Times New Roman"/>
          <w:sz w:val="20"/>
        </w:rPr>
      </w:pPr>
      <w:r>
        <w:rPr>
          <w:rFonts w:ascii="Times New Roman" w:hAnsi="Times New Roman"/>
          <w:sz w:val="20"/>
        </w:rPr>
        <w:t xml:space="preserve">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VIE or its subsidiaries, we or our PRC subsidiaries, VIE and its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that the positions taken by authorities in mainland China and Hong Kong prevented it from inspecting and investigating completely registered public accounting firms headquartered in those jurisdictions.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PRC subsidiaries and the VIEs may be subject to monetary liability if their share capital is not fully paid up before statutory deadlines.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29, 2023, an amendment to the PRC Company Law was promulgated by the Standing Committee of the National People’s Congress, which took effect on July 1, 2024, shortening a company’s period for share capital contribution to five years. In addition, the State Administration for Market Regulation or SAMR has released the Provisions of the State Council on the Implementation of the Registered Capital Registration and Management System under the Company Law of the People’s Republic of China, released on July 1, 2024, which provides for an additional transition period of three years for companies incorporated before June 30, 2024. Under such rules, the share capital of all of our subsidiaries incorporated in the PRC, as well as Guangzhou EHang Intelligent Technology Co., Ltd., or the VIE, and its subsidiaries, shall be paid up by June 30, 2032. In the event that the share capital is not fully paid up by the statutory deadlines, the registered shareholder(s) of the foregoing companies may be subject to the legal liability including: (a) liability for the interest loss incurred therefrom on the overdue capital contribution amount on the subsidiaries (and possible interest on such loss); and (b) the supplementary compensation liability to creditors of the subsidiaries within the outstanding principal of share capital and overdue contribution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ADSs and Trading Market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trading price of the ADSs is likely to be volatile, which could result in substantial losses to investors. </w:t>
      </w:r>
    </w:p>
    <w:p>
      <w:pPr>
        <w:pStyle w:val="TextBody"/>
        <w:bidi w:val="0"/>
        <w:spacing w:before="120" w:after="0"/>
        <w:jc w:val="left"/>
        <w:rPr>
          <w:rFonts w:ascii="Times New Roman" w:hAnsi="Times New Roman"/>
          <w:sz w:val="20"/>
        </w:rPr>
      </w:pPr>
      <w:r>
        <w:rPr>
          <w:rFonts w:ascii="Times New Roman" w:hAnsi="Times New Roman"/>
          <w:sz w:val="20"/>
        </w:rPr>
        <w:t xml:space="preserve">Since the ADSs became listed on the Nasdaq Global Market on December 12, 2019, the trading price of the ADSs has ranged from a low of US$3.32 to a high of US$129.80 per ADS. The trading price of the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revenues, earnings and cash flows;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us, our customers, or our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studies and reports relating to the quality of our products and service offerings or those of our competitors;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new investments, acquisitions, strategic partnerships or joint ventures by us or our competitors;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new products or service offerings and expansions by us or our competitors;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by securities analysts;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detrimental adverse publicity about us, our products or services or our industry;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75"/>
        <w:gridCol w:w="110"/>
        <w:gridCol w:w="60"/>
        <w:gridCol w:w="6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detrimental negative publicity about us, our management or our industry;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release of lock-up or other transfer restrictions on our outstanding equity securities or sales of additional equity securities; and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potential litigation or regulatory investigations.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ADS being delisted and prohibited from trading in the U.S. See “Item 3. Key Information—D. Risk Factors—Risks Relating to Doing Business in China—The ADSs will be delisted and prohibited from trading in the U.S. under the Holding Foreign Companies Accountable Act, or the HFCAA, if the PCAOB is unable to inspect or fully investigate auditors located in China.”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these factors may result in large and sudden changes in the volume and price at which the ADSs will trade. </w:t>
      </w:r>
    </w:p>
    <w:p>
      <w:pPr>
        <w:pStyle w:val="TextBody"/>
        <w:bidi w:val="0"/>
        <w:spacing w:before="240" w:after="0"/>
        <w:jc w:val="left"/>
        <w:rPr>
          <w:rFonts w:ascii="Times New Roman" w:hAnsi="Times New Roman"/>
          <w:sz w:val="20"/>
        </w:rPr>
      </w:pPr>
      <w:r>
        <w:rPr>
          <w:rFonts w:ascii="Times New Roman" w:hAnsi="Times New Roman"/>
          <w:sz w:val="20"/>
        </w:rPr>
        <w:t xml:space="preserve">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adversely change their recommendations regarding the ADSs, the market price for the ADSs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or availability for sale of substantial amounts of the ADSs could adversely affect their market price. </w:t>
      </w:r>
    </w:p>
    <w:p>
      <w:pPr>
        <w:pStyle w:val="TextBody"/>
        <w:bidi w:val="0"/>
        <w:spacing w:before="120" w:after="0"/>
        <w:jc w:val="left"/>
        <w:rPr>
          <w:rFonts w:ascii="Times New Roman" w:hAnsi="Times New Roman"/>
          <w:sz w:val="20"/>
        </w:rPr>
      </w:pPr>
      <w:r>
        <w:rPr>
          <w:rFonts w:ascii="Times New Roman" w:hAnsi="Times New Roman"/>
          <w:sz w:val="20"/>
        </w:rPr>
        <w:t xml:space="preserve">Sales of substantial amounts of the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expect to pay dividends in the foreseeable future, the holders of the ADSs must rely on price appreciation of the ADSs for a return on their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most, if not all, of our available funds and any future earnings to fund the development and growth of our business. As a result, we do not expect to pay any cash dividends in the foreseeable future. Therefore, the ADS holders should not rely on an investment in the ADSs as a source for any future dividend income.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immediately following the date on which the dividend is paid.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to ADS holders on the investment in the ADSs will likely depend entirely upon any future price appreciation of the ADSs. There is no guarantee that the ADSs will appreciate in value or even maintain the price at which the ADS holders purchased the ADSs. The ADS holders may not realize a return on their investment in the ADSs and they may even lose their entire investment in the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memorandum and articles of association contain anti-takeover provisions that could have a material adverse effect on the rights of holders of our ordinary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Our memorandum and articles of association contain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face difficulties in protecting your interests, and your ability to protect your rights through U.S. courts may be limited, because we are incorporated under Cayman Islands law. </w:t>
      </w:r>
    </w:p>
    <w:p>
      <w:pPr>
        <w:pStyle w:val="TextBody"/>
        <w:bidi w:val="0"/>
        <w:spacing w:before="120" w:after="0"/>
        <w:jc w:val="left"/>
        <w:rPr>
          <w:rFonts w:ascii="Times New Roman" w:hAnsi="Times New Roman"/>
          <w:sz w:val="20"/>
        </w:rPr>
      </w:pPr>
      <w:r>
        <w:rPr>
          <w:rFonts w:ascii="Times New Roman" w:hAnsi="Times New Roman"/>
          <w:sz w:val="20"/>
        </w:rPr>
        <w:t xml:space="preserve">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Cayman Islands exempted companies like us have no general rights under Cayman Islands law to inspect corporate records (other than the memorandum and articles of association, our register of mortgages and charges and special resolutions of our shareholders)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conduct substantially all of our business operations in China, and substantially all of our directors and senior management are based in China. The SEC, U.S. Department of Justice and other authorities may face challenges in bringing and enforcing actions against non-U.S. companies and non-U.S. persons, including company directors and officers, in certain jurisdictions, including China. Additionally, shareholder claims that are common in the United States, including class action securities law and fraud claims, may be difficult to pursue as a matter of law or practicality in many jurisdictions, including China. For example, in China, there are significant legal and other obstacles to obtaining information needed for shareholder investigations or litigation outside China or otherwise with respect to foreign entities. Although the local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United States has not been fully efficient in the absence of a mutual and practical cooperation mechanism. According to Article 177 of the PRC Securities Law which became effective in March 2020, no foreign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foreign securities regulators.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“Item 10. Additional Information—B. Memorandum and Articles of Association—Differences in Corporate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judgments obtained against us by our shareholders may not be enforceable. </w:t>
      </w:r>
    </w:p>
    <w:p>
      <w:pPr>
        <w:pStyle w:val="TextBody"/>
        <w:bidi w:val="0"/>
        <w:spacing w:before="120" w:after="0"/>
        <w:jc w:val="left"/>
        <w:rPr>
          <w:rFonts w:ascii="Times New Roman" w:hAnsi="Times New Roman"/>
          <w:sz w:val="20"/>
        </w:rPr>
      </w:pPr>
      <w:r>
        <w:rPr>
          <w:rFonts w:ascii="Times New Roman" w:hAnsi="Times New Roman"/>
          <w:sz w:val="20"/>
        </w:rPr>
        <w:t xml:space="preserve">We are a Cayman Islands exempted company and substantially all of our assets are located outside of the United States. Most of our current operations are conducted in China.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voting rights of holders of ADSs are limited by the terms of the deposit agreement, and you may not be able to exercise your right to direct how the Class A ordinary shares which are represented by your ADSs are voted. </w:t>
      </w:r>
    </w:p>
    <w:p>
      <w:pPr>
        <w:pStyle w:val="TextBody"/>
        <w:bidi w:val="0"/>
        <w:spacing w:before="120" w:after="0"/>
        <w:jc w:val="left"/>
        <w:rPr>
          <w:rFonts w:ascii="Times New Roman" w:hAnsi="Times New Roman"/>
          <w:sz w:val="20"/>
        </w:rPr>
      </w:pPr>
      <w:r>
        <w:rPr>
          <w:rFonts w:ascii="Times New Roman" w:hAnsi="Times New Roman"/>
          <w:sz w:val="20"/>
        </w:rPr>
        <w:t xml:space="preserve">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Under the deposit agreement for the ADSs, if you do not vote, the depositary may give us a discretionary proxy to vote the Class A ordinary shares underlying your ADSs at shareholders’ meetings if: </w:t>
      </w:r>
    </w:p>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timely provided the depositary with notice of meeting and related voting materials; </w:t>
            </w:r>
          </w:p>
        </w:tc>
      </w:tr>
    </w:tbl>
    <w:p>
      <w:pPr>
        <w:pStyle w:val="TextBody"/>
        <w:bidi w:val="0"/>
        <w:spacing w:before="0" w:after="0"/>
        <w:jc w:val="left"/>
        <w:rPr/>
      </w:pPr>
      <w:r>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instructed the depositary that we wish a discretionary proxy to be given;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informed the depositary that there is no substantial opposition as to a matter to be voted on at the meeting; and </w:t>
            </w:r>
          </w:p>
        </w:tc>
      </w:tr>
    </w:tbl>
    <w:p>
      <w:pPr>
        <w:pStyle w:val="TextBody"/>
        <w:bidi w:val="0"/>
        <w:spacing w:before="0" w:after="0"/>
        <w:jc w:val="left"/>
        <w:rPr/>
      </w:pPr>
      <w:r>
        <w:rPr/>
        <w:t> </w:t>
      </w:r>
    </w:p>
    <w:tbl>
      <w:tblPr>
        <w:tblW w:w="8155" w:type="dxa"/>
        <w:jc w:val="left"/>
        <w:tblInd w:w="0" w:type="dxa"/>
        <w:tblLayout w:type="fixed"/>
        <w:tblCellMar>
          <w:top w:w="0" w:type="dxa"/>
          <w:left w:w="0" w:type="dxa"/>
          <w:bottom w:w="0" w:type="dxa"/>
          <w:right w:w="0" w:type="dxa"/>
        </w:tblCellMar>
      </w:tblPr>
      <w:tblGrid>
        <w:gridCol w:w="75"/>
        <w:gridCol w:w="110"/>
        <w:gridCol w:w="60"/>
        <w:gridCol w:w="7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matter to be voted on at the meeting would not have a material adverse impact on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effect of this discretionary proxy is that if you do not vote at shareholders’ meetings, you cannot prevent the underlying Class A ordinary shares represented by your ADSs from being voted, except under the circumstances described above. This may make it more difficult for shareholders to influence the management of our company. Holders of our ordinary shares are not subject to this discretionary proxy.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our memorandum and articles of association, the minimum notice period required to be given by our company to our registered shareholders to convene a general meeting is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dividends or other distributions on our ordinary shares and you may not receive any value for them, if it is illegal or impractical to make them available to you.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dilution of your holdings due to inability to participate in rights offerings.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subject to limitations on transfer of your ADSs. </w:t>
      </w:r>
    </w:p>
    <w:p>
      <w:pPr>
        <w:pStyle w:val="TextBody"/>
        <w:bidi w:val="0"/>
        <w:spacing w:before="120" w:after="0"/>
        <w:jc w:val="left"/>
        <w:rPr>
          <w:rFonts w:ascii="Times New Roman" w:hAnsi="Times New Roman"/>
          <w:sz w:val="20"/>
        </w:rPr>
      </w:pPr>
      <w:r>
        <w:rPr>
          <w:rFonts w:ascii="Times New Roman" w:hAnsi="Times New Roman"/>
          <w:sz w:val="20"/>
        </w:rPr>
        <w:t xml:space="preserve">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 it is advisable to do so because of any requirement of law or of any government or governmental body, or under any provision of the deposit agreement, or for any other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ADSs holders may not be entitled to a jury trial with respect to claims arising under the deposit agreement, which could result in less favorable outcomes to the plaintiffs in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 </w:t>
      </w:r>
    </w:p>
    <w:p>
      <w:pPr>
        <w:pStyle w:val="TextBody"/>
        <w:bidi w:val="0"/>
        <w:spacing w:before="240" w:after="0"/>
        <w:jc w:val="left"/>
        <w:rPr>
          <w:rFonts w:ascii="Times New Roman" w:hAnsi="Times New Roman"/>
          <w:sz w:val="20"/>
        </w:rPr>
      </w:pPr>
      <w:r>
        <w:rPr>
          <w:rFonts w:ascii="Times New Roman" w:hAnsi="Times New Roman"/>
          <w:sz w:val="20"/>
        </w:rPr>
        <w:t xml:space="preserve">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foreign private issuer within the meaning of the rules under the Exchange Act, and as such we are exempt from certain provisions applicable to United States domestic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Because we are a foreign private issuer under the Exchange Act, we are exempt from certain provisions of the securities rules and regulations in the United States that are applicable to U.S. domestic issuers,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Exchange Act requiring the filing of quarterly reports on Form 10-Q or current reports on Form 8-K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regulating the solicitation of proxies, consents, or authorizations in respect of a security registered under the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Exchange Act requiring principal shareholders to file public reports of their stock ownership and trading activities and liability for insiders who profit from trades made in a short period of time; and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selective disclosure rules by issuers of material nonpublic information under Regulation FD.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incur increased costs as a result of being a public company, particularly after we have ceased to qualify as an “emerging growth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public company and expect to incur significant legal, accounting and other expenses that we did not incur as a private company, including additional costs associated with our public company reporting obligations. The Sarbanes-Oxley Act of 2002, as well as rules subsequently implemented by the SEC and the Nasdaq Stock Market, impose various requirements on the corporate governance practices of public companies. We expect these rules and regulations to increase our legal and financial compliance costs and to make some corporate activities more time-consuming and costly. As we are no longer an “emerging growth company,” we expect to incur significant expenses and devote substantial management effort toward ensuring compliance with the requirements of Section 404 of the Sarbanes-Oxley Act and the other rules and regulations of the SEC. For example, as a result of being a public company, we need to increase the number of independent directors and adopt policies regarding internal controls and disclosure controls and procedures. In addition, operating as a public company makes it more difficult and more expensive for us to obtain director and officer liability insurance, and we may be required to accept reduced policy limits and coverage or incur substantially higher costs to obtain the same or similar coverage. It may also be more difficult for us to find qualified persons to serve on our board of directors or as executive officers. We cannot predict or estimate with any degree of certainty the amount of additional costs we may incur or the timing of such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company incorporated in the Cayman Islands, we are permitted to adopt certain home country practices in relation to corporate governance matters that differ significantly from the Nasdaq Stock Market corporate governance listing standards; these practices may afford less protection to shareholders than they would enjoy if we comply fully with the Nasdaq Stock Market corporate governance listing standards. </w:t>
      </w:r>
    </w:p>
    <w:p>
      <w:pPr>
        <w:pStyle w:val="TextBody"/>
        <w:bidi w:val="0"/>
        <w:spacing w:before="120" w:after="0"/>
        <w:jc w:val="left"/>
        <w:rPr>
          <w:rFonts w:ascii="Times New Roman" w:hAnsi="Times New Roman"/>
          <w:sz w:val="20"/>
        </w:rPr>
      </w:pPr>
      <w:r>
        <w:rPr>
          <w:rFonts w:ascii="Times New Roman" w:hAnsi="Times New Roman"/>
          <w:sz w:val="20"/>
        </w:rPr>
        <w:t xml:space="preserve">As a Cayman Islands exempted company listed on Nasdaq Global Market, we are subject to the Nasdaq Stock Market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listing standards. We have elected to follow our home country practice in lieu of certain corporate governance requirements of the Nasdaq Stock Market. See “Item 16G. Corporate Governance.” As a result, our shareholders may be afforded less protection than they would otherwise enjoy under the Nasdaq Stock Market corporate governance listing standards applicable to U.S. domestic issuers.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 “controlled company” within the meaning of the Nasdaq Stock Market Rules and, as a result, may rely on exemptions from certain corporate governance requirements that provide protection to shareholders of other companies. </w:t>
      </w:r>
    </w:p>
    <w:p>
      <w:pPr>
        <w:pStyle w:val="TextBody"/>
        <w:bidi w:val="0"/>
        <w:spacing w:before="120" w:after="0"/>
        <w:jc w:val="left"/>
        <w:rPr>
          <w:rFonts w:ascii="Times New Roman" w:hAnsi="Times New Roman"/>
          <w:sz w:val="20"/>
        </w:rPr>
      </w:pPr>
      <w:r>
        <w:rPr>
          <w:rFonts w:ascii="Times New Roman" w:hAnsi="Times New Roman"/>
          <w:sz w:val="20"/>
        </w:rPr>
        <w:t xml:space="preserve">We are a “controlled company” as defined under the Nasdaq Stock Market Rules because our founder, chairman of the board of directors and chief executive officer, Mr. Huazhi Hu, owns more than 50% of our total voting power. For so long as we remain a controlled company under that definition, we may rely on certain exemptions from corporate governance rules, including the rule that a majority of our board of directors must be independent directors and that we have to establish a nominating committee and a compensation committee composed entirely of independent directors. As a result, you will not have the same protection afforded to shareholders of companies that are subject to these corporate governance requirements should we choose to rely on such exemptions. We currently do not plan to rely on these exemptions.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a passive foreign investment company, or PFIC, for any taxable year, our U.S. shareholders may be subject to adverse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such as our company, will be a PFIC for U.S. federal income tax purposes for any taxable year if either (i) at least 75% of its gross income for such year is passive income or (ii) at least 50% of the value of its assets (based on an average of the quarterly values of the assets) during such year is attributable to assets that produce or are held for the production of passive income. A separate determination must be made after the close of each taxable year as to whether a non-U.S. corporation is a PFIC for that year. Although the law in this regard is unclear, we intend to treat the VIE and the VIE’s subsidiaries as being owned by us for U.S. federal income tax purposes, not only because we have the power to direct the significant activities of such entities but also because we are entitled to substantially all of their economic benefits and, as a result, we consolidate their results of operations in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Based on our analysis of our activities as well as the composition of our income and valuation of our assets, including goodwill, we do not believe we were a PFIC for U.S. federal income tax purposes for the taxable year ended December 31, 2025. The determination of whether we are a PFIC is a fact-intensive determination made on an annual basis and the applicable law is subject to varying interpretation. Since the value of our assets for purposes of the asset test may be determined by reference to the market price of the ADSs, fluctuations in the market price of the ADSs may cause us to become a PFIC for the current or subsequent taxable years. In addition, the composition of our income and assets will also be affected by our business plans including how quickly we use our cash and other liquid assets. If we determine not to deploy significant amounts of cash for active purposes or if it were determined that we do not own the stock of the VIE for U.S. federal income tax purposes, our risk of being a PFIC may substantially increase. In light of the foregoing, there can be no assurance that we were not, or will not be, a PFIC for any taxable year. Our U.S. counsel expresses no opinion with respect to our PFIC status for any taxable year.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with their tax advisors regarding the implications of owning stock in a PFIC. If we are a PFIC for any taxable year during which a U.S. Holder (as defined in “Item 10. Additional Information—E. Taxation—U.S. Federal Income Taxation”) holds the ADS or a Class A ordinary share, certain adverse U.S. federal income tax consequences could apply to the U.S. Holder. See “Item 10. Additional Information—E. Taxation—U.S. Federal Income Taxation—Passive Foreign Investment Company Rules.”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25"/>
        <w:gridCol w:w="2540"/>
      </w:tblGrid>
      <w:tr>
        <w:trPr/>
        <w:tc>
          <w:tcPr>
            <w:tcW w:w="725" w:type="dxa"/>
            <w:tcBorders/>
            <w:vAlign w:val="center"/>
          </w:tcPr>
          <w:p>
            <w:pPr>
              <w:pStyle w:val="TableContents"/>
              <w:bidi w:val="0"/>
              <w:spacing w:before="0" w:after="283"/>
              <w:jc w:val="left"/>
              <w:rPr>
                <w:b/>
              </w:rPr>
            </w:pPr>
            <w:bookmarkStart w:id="9" w:name="txa39307_7"/>
            <w:bookmarkEnd w:id="9"/>
            <w:r>
              <w:rPr>
                <w:b/>
              </w:rPr>
              <w:t>Item 4.</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the Company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History and Development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2014, EHang Holdings Limited, or EHang Holdings, was incorporated in the Cayman Islands as our offshore holding company to facilitate offshore financing and listing. In the same month, Ehfly Technology Limited, or Ehfly Technology, was incorporated in Hong Kong as a direct, wholly-owned subsidiary of EHang Holdings. In addition, the following entities were incorporated to engage in the business of product manufacturing and sales and the provision of commercial solutions and related services: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October 2015, Ehfly Technology established EHang Intelligent Equipment Co., Ltd. (formerly known as EHang Intelligent Equipment (Guangzhou) Co., Ltd.), or the WFOE, as a wholly-owned subsidiary in China. The WFOE is engaged in the research, development, manufacture and sale of pilotless eVTOL aircraft and UAVs, and the research and development of software, communication technology and UAV technologies related to air mobility and intelligent aviation.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January 2016, we obtained a controlling financial interest in Guangzhou EHang Intelligent Technology Co., Ltd., or the VIE, because the WFOE entered into a series of contractual arrangements with the VIE and the VIE’s shareholders. The VIE is primarily engaged in the research, development, manufacture and sale of pilotless eVTOL aircraft for emergency rescue and firefighting and UAVs for drone shows, sale of software, and commercial services of eVTOL operations and drone shows.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June 2020, the WFOE, jointly with two other shareholders, established Yunfu EHang Intelligent Technology Limited to manufacture mainly pilotless eVTOL aircraft.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2021, the VIE established Guangdong EHang General Aviation Co., Ltd., to provide operational flight services with pilotless eVTOL aircraft.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PRC laws and regulations, our PRC subsidiaries may pay cash dividends to us out of their respective accumulated profits. However, the ability to our PRC subsidiaries to make such distribution to us is subject to various PRC laws and regulations, including the requirement to fund certain statutory funds, as well as potential restriction on currency exchange and capital controls imposed by the PRC government. For more details, see “Item 3. Key Information—D. Risk Factors—Risks Relating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 and “Item 4. Information on the Company—B. Business Overview—PRC Regulation—Dividend Distribution.” As a result of our contractual arrangements with the VIE and the VIE’s shareholders, we are regarded as the primary beneficiary of the VIE, and we treat the VIE and the VIE’s subsidiaries as our consolidated affiliated entities under U.S. GAAP. We have consolidated the financial results of the VIE and the VIE’s subsidiaries in our consolidated financial statements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On December 12, 2019, the ADSs commenced trading on the Nasdaq Global Market under the symbol “EH.” We raised US$33.9 million in net proceeds from the issuance of new shares in our initial public offering after deducting underwriting commissions and the offering expenses payable by us. In January 2020, the underwriters exercised their over-allotment option and we raised US$1.0 million in net proceeds from the issuance of new shares after deducting underwriting discounts and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On April 19, 2024, we entered into an At Market Issuance Sales Agreement with China Renaissance Securities (Hong Kong) Limited as the sales agent, or the Sales Agreement, in connection with our “at-the-market offering” program, or the ATM Program. Pursuant to the Sales Agreement, we may from time to time offer, issue and sell up to US$100 million of our Class A ordinary shares represented by ADSs. For the years ended of December 31, 2024 and 2025, we had sold 9,231,510 and 2,769,184 Class A ordinary shares for aggregate gross proceeds of US$76.2 million and US$23.8 million under the ATM Program, respectively. As of July 2025, we have sold 12,000,694 Class A ordinary shares for aggregate gross proceeds of US$100.0 million under the ATM Program, which constituted the entire amount of the ATM Program.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EHang Future City (Group Headquarters), No. 118 Dongjiang Avenue, Huangpu District, Guangzhou City, Guangdong Province, 510730, People’s Republic of China. Our telephone number at this address is +86 20 2902 8899. Our registered office is situated at the office of Maples Corporate Services Limited, PO Box 309, Ugland House, Grand Cayman, KY1-1104, Cayman Islands. Our agent for service of process in the United States is Cogency Global Inc., located at 122 East 42nd Street, 18th Floor, New York, NY 10168.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that contains reports, proxy and information statements, and other information regarding issuers that file electronically with the SEC on www.sec.gov. You can also find information on our website </w:t>
      </w:r>
      <w:r>
        <w:rPr>
          <w:rFonts w:ascii="Times New Roman" w:hAnsi="Times New Roman"/>
          <w:i/>
          <w:sz w:val="20"/>
        </w:rPr>
        <w:t>www.ehang.com</w:t>
      </w:r>
      <w:r>
        <w:rPr>
          <w:rFonts w:ascii="Times New Roman" w:hAnsi="Times New Roman"/>
          <w:sz w:val="20"/>
        </w:rPr>
        <w:t xml:space="preserve">. The information on our website should not be deemed a part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B. Business 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electric vertical take-off and landing (“eVTOL”) aircraft products and services in the global advanced air mobility (“AAM”) industry and China’s low-altitude economy industry. Leveraging our proprietary, safe, autonomous, and eco-friendly eVTOL technologies, we offer a range of eVTOL products and integrated services for passenger transportation, aerial tourism, aerial logistics, and emergency response. Our commitment to technological innovation and operational excellence has enabled us to achieve several significant global industry firsts, establishing our first-mover advantage and leadership in the global AAM industry. </w:t>
      </w:r>
    </w:p>
    <w:p>
      <w:pPr>
        <w:pStyle w:val="TextBody"/>
        <w:bidi w:val="0"/>
        <w:spacing w:before="240" w:after="0"/>
        <w:jc w:val="left"/>
        <w:rPr>
          <w:rFonts w:ascii="Times New Roman" w:hAnsi="Times New Roman"/>
          <w:sz w:val="20"/>
        </w:rPr>
      </w:pPr>
      <w:r>
        <w:rPr>
          <w:rFonts w:ascii="Times New Roman" w:hAnsi="Times New Roman"/>
          <w:sz w:val="20"/>
        </w:rPr>
        <w:t xml:space="preserve">As urban populations grow and vehicle numbers rise, existing roads are becoming increasingly congested, and expanding traditional road infrastructure is proving less effective at alleviating traffic bottlenecks. In response to the growing scarcity of urban space, the low-altitude space is emerging as a vital transportation resource, offering new mobility and logistics solutions that extend beyond traditional land, sea, and high-altitude airspace. The rapid development of the low-altitude economy industry is closely linked to the growth of the AAM industry, both fueled by technological innovation, supportive policies, and rising demand for new mobility and logistics solutions. The convergence of these favorable trends creates significant opportunities for growth, making the AAM market a key driver of future mobility.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expertise and industry leadership uniquely position us to capitalize on these favorable trends. We have developed and launched an array of pilotless eVTOL aircraft, equipped with proprietary technologies to deliver safe, intelligent, reliable and cost-efficient pilotless human-carrying flight solutions for air mobility. These aircraft feature lightweight, space-efficient design and advanced capabilities such as low noise operation, zero carbon emissions, autonomous flight, and intelligent systems. Their compact size and lightweight design make them particularly suitable for addressing the mobility challenges faced by increasingly crowded urban environments, providing scalable solutions for modern cities. Having successfully transitioned from the certification phase to commercial operations, we are well positioned to consistently leverage our first-mover advantage in the rapidly growing AAM industry. </w:t>
      </w:r>
    </w:p>
    <w:p>
      <w:pPr>
        <w:pStyle w:val="TextBody"/>
        <w:bidi w:val="0"/>
        <w:spacing w:before="240" w:after="0"/>
        <w:jc w:val="left"/>
        <w:rPr>
          <w:rFonts w:ascii="Times New Roman" w:hAnsi="Times New Roman"/>
          <w:sz w:val="20"/>
        </w:rPr>
      </w:pPr>
      <w:r>
        <w:rPr>
          <w:rFonts w:ascii="Times New Roman" w:hAnsi="Times New Roman"/>
          <w:sz w:val="20"/>
        </w:rPr>
        <w:t xml:space="preserve">We strive to design safe, reliable and functional products. We adopt a full redundancy design approach for our eVTOL products to avoid single points of failure. During the airworthiness certification by the Civil Aviation Administration of China (the “CAAC”), the safety, airworthiness, performance, functionality, usability and reliability of our EH216-S have been thoroughly and rigorously validated through over 500 specific test items, more than 40,000 test flights for adjustments, and formal conformity validation tests encompassing 65 major categories and over 450 individual test items. These tests included but were not limited to main material performance, structural strength, flame resistance, crashworthiness, gas toxicity, environmental conditions of equipment and systems, software simulation, data links, ground control stations, overall system functionality, electromagnetic compatibility, flight performance and flight stability characteristics. In October 2023, we obtained the Type Certificate (the “TC”) for EH216-S from the CAAC, the world’s first of its kind for human-carrying pilotless eVTOL aircraft, demonstrating that the type design of our EH216-S complies with the CAAC’s safety standards and airworthiness requirements and is qualified for conducting human-carrying commercial operations. Since December 2023, our certified EH216-S with the Standard Airworthiness Certificate (the “AC”) issued by the CAAC began delivery to our customers. In March 2024, we further obtained the Production Certificate (the “PC”) issued by the CAAC allowing our mass production of the EH216-S. In March 2025, Guangdong EHang General Aviation Co., Ltd. and our joint venture company Hefei Heyi Aviation Co., Ltd. were granted the Air Operator Certificates (“OC”) for EH216-S commercial operations from the CAAC. As of December 31, 2025, the flight footprints of our pilotless eVTOL aircraft have accumulated more than 83,000 safe flights in 21 countries across Asia, Europe, the Americas and Africa, predominantly in China. Complementing the EH216 series are the VT35, a lift-and-cruise eVTOL aircraft under the VT series, engineered for longer-haul, higher-speed regional connectivity, and GD4.0, which features aerial media performance drones for large-scale aerial advertising and light shows.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manufacturing of eVTOL and other UAVs, we offer a comprehensive suite of services that strengthen our position as a fully integrated solution provider. These services include maintenance, repair and overhaul (“MRO”), eVTOL operation training, flight demonstration, and aerial media performances. We also provide a wide range of operation services, such as vertiport site planning and layout, flight operations and management, route design, and trial operations. Looking ahead, we plan to further expand our service offerings to include managed commercial operations and additional services. </w:t>
      </w:r>
    </w:p>
    <w:p>
      <w:pPr>
        <w:pStyle w:val="TextBody"/>
        <w:bidi w:val="0"/>
        <w:spacing w:before="240" w:after="0"/>
        <w:jc w:val="left"/>
        <w:rPr>
          <w:rFonts w:ascii="Times New Roman" w:hAnsi="Times New Roman"/>
          <w:sz w:val="20"/>
        </w:rPr>
      </w:pPr>
      <w:r>
        <w:rPr>
          <w:rFonts w:ascii="Times New Roman" w:hAnsi="Times New Roman"/>
          <w:sz w:val="20"/>
        </w:rPr>
        <w:t xml:space="preserve">Our major source of revenue comes from our core business, air mobility solutions, from our continued deliveries of the EH216 series products since 2018. We delivered 169 units of the EH216 series and six units of VT35 in 2025. </w:t>
      </w:r>
    </w:p>
    <w:p>
      <w:pPr>
        <w:pStyle w:val="TextBody"/>
        <w:bidi w:val="0"/>
        <w:spacing w:before="240" w:after="0"/>
        <w:jc w:val="left"/>
        <w:rPr>
          <w:rFonts w:ascii="Times New Roman" w:hAnsi="Times New Roman"/>
          <w:sz w:val="20"/>
        </w:rPr>
      </w:pPr>
      <w:r>
        <w:rPr>
          <w:rFonts w:ascii="Times New Roman" w:hAnsi="Times New Roman"/>
          <w:sz w:val="20"/>
        </w:rPr>
        <w:t xml:space="preserve">We had accumulatively delivered a total of 628 units of our eVTOL products, including 593 units of the EH216-S, 17 units of the EH216-F and 12 units of the EH216-L and six units of VT35, mainly operated on a limited trial basis in tourism locations in China, for testing, training, demonstration and trial operation purposes, and we had also delivered four command-and-control centers or systems for smart city management in China. </w:t>
      </w:r>
    </w:p>
    <w:p>
      <w:pPr>
        <w:pStyle w:val="TextBody"/>
        <w:bidi w:val="0"/>
        <w:spacing w:before="240" w:after="0"/>
        <w:jc w:val="left"/>
        <w:rPr>
          <w:rFonts w:ascii="Times New Roman" w:hAnsi="Times New Roman"/>
          <w:sz w:val="20"/>
        </w:rPr>
      </w:pPr>
      <w:r>
        <w:rPr>
          <w:rFonts w:ascii="Times New Roman" w:hAnsi="Times New Roman"/>
          <w:sz w:val="20"/>
        </w:rPr>
        <w:t xml:space="preserve">Our revenues increased significantly from RMB117.4 million in 2023 to RMB456.2 million in 2024, and decreased to RMB418.0 million (US$59.8 million) in 2025. Our net loss decreased by 23.9% from RMB302.3 million in 2023 to RMB230.0 million in 2024, and increased to RMB276.4 million (US$39.5 million) in 2025. In 2025, revenues generated by air mobility solutions and others were RMB395.2 million (US$56.5 million) and RMB22.8 million (US$3.3 million), respectively, representing 94.5% and 5.5% of our total revenues, respectively. As of December 31, 2025, our accumulated deficit amounted to RMB2,262.4 million (US$323.5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Emerging AAM Market </w:t>
      </w:r>
    </w:p>
    <w:p>
      <w:pPr>
        <w:pStyle w:val="TextBody"/>
        <w:bidi w:val="0"/>
        <w:spacing w:before="120" w:after="0"/>
        <w:jc w:val="left"/>
        <w:rPr>
          <w:rFonts w:ascii="Times New Roman" w:hAnsi="Times New Roman"/>
          <w:b/>
          <w:i/>
          <w:sz w:val="20"/>
        </w:rPr>
      </w:pPr>
      <w:r>
        <w:rPr>
          <w:rFonts w:ascii="Times New Roman" w:hAnsi="Times New Roman"/>
          <w:b/>
          <w:i/>
          <w:sz w:val="20"/>
        </w:rPr>
        <w:t xml:space="preserve">Urban Transportation Faces Increasing Challenges with Ground Mobility </w:t>
      </w:r>
    </w:p>
    <w:p>
      <w:pPr>
        <w:pStyle w:val="TextBody"/>
        <w:bidi w:val="0"/>
        <w:spacing w:before="120" w:after="0"/>
        <w:jc w:val="left"/>
        <w:rPr>
          <w:rFonts w:ascii="Times New Roman" w:hAnsi="Times New Roman"/>
          <w:sz w:val="20"/>
        </w:rPr>
      </w:pPr>
      <w:r>
        <w:rPr>
          <w:rFonts w:ascii="Times New Roman" w:hAnsi="Times New Roman"/>
          <w:sz w:val="20"/>
        </w:rPr>
        <w:t xml:space="preserve">Continued population growth and increased urbanization are adding pressure to urban transportation on the ground. Some 56% of the global population – 4.4 billion inhabitants – live in cities, according to the World Bank’s data in 2022. The urban population is projected to more than double by 2050, when almost 7 of 10 people will live in cities. </w:t>
      </w:r>
    </w:p>
    <w:p>
      <w:pPr>
        <w:pStyle w:val="TextBody"/>
        <w:bidi w:val="0"/>
        <w:spacing w:before="240" w:after="0"/>
        <w:jc w:val="left"/>
        <w:rPr>
          <w:rFonts w:ascii="Times New Roman" w:hAnsi="Times New Roman"/>
          <w:sz w:val="20"/>
        </w:rPr>
      </w:pPr>
      <w:r>
        <w:rPr>
          <w:rFonts w:ascii="Times New Roman" w:hAnsi="Times New Roman"/>
          <w:sz w:val="20"/>
        </w:rPr>
        <w:t xml:space="preserve">Transportation is a nonnegligible part in this migration. The speed and scale of urbanization have led to unprecedented traffic congestion in megacities and could further exacerbate challenges faced by ground mobility, with growing demand for higher travel volume, frequency and efficiency across urban and suburban areas. </w:t>
      </w:r>
    </w:p>
    <w:p>
      <w:pPr>
        <w:pStyle w:val="TextBody"/>
        <w:bidi w:val="0"/>
        <w:spacing w:before="240" w:after="0"/>
        <w:jc w:val="left"/>
        <w:rPr>
          <w:rFonts w:ascii="Times New Roman" w:hAnsi="Times New Roman"/>
          <w:sz w:val="20"/>
        </w:rPr>
      </w:pPr>
      <w:r>
        <w:rPr>
          <w:rFonts w:ascii="Times New Roman" w:hAnsi="Times New Roman"/>
          <w:sz w:val="20"/>
        </w:rPr>
        <w:t xml:space="preserve">Expanding ground-based urban transportation infrastructure requires significant investment, including increasing costs of time and money in building traffic systems and parking lots. It is also becoming increasingly difficult given how the constraints in ground mobility capacity cause complications in scaling networks across locations. Ultimately, a new, innovative and environmentally friendly transportation solution is needed in urban areas and in high demand.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eVTOL Technologies Make AAM Possible </w:t>
      </w:r>
    </w:p>
    <w:p>
      <w:pPr>
        <w:pStyle w:val="TextBody"/>
        <w:bidi w:val="0"/>
        <w:spacing w:before="120" w:after="0"/>
        <w:jc w:val="left"/>
        <w:rPr>
          <w:rFonts w:ascii="Times New Roman" w:hAnsi="Times New Roman"/>
          <w:sz w:val="20"/>
        </w:rPr>
      </w:pPr>
      <w:r>
        <w:rPr>
          <w:rFonts w:ascii="Times New Roman" w:hAnsi="Times New Roman"/>
          <w:sz w:val="20"/>
        </w:rPr>
        <w:t xml:space="preserve">The advancements in eVTOL technologies are enabling a new era of transportation with AAM, poised to revolutionize the way we move people and goods across intracity and intercity areas. </w:t>
      </w:r>
    </w:p>
    <w:p>
      <w:pPr>
        <w:pStyle w:val="TextBody"/>
        <w:bidi w:val="0"/>
        <w:spacing w:before="240" w:after="0"/>
        <w:jc w:val="left"/>
        <w:rPr>
          <w:rFonts w:ascii="Times New Roman" w:hAnsi="Times New Roman"/>
          <w:sz w:val="20"/>
        </w:rPr>
      </w:pPr>
      <w:r>
        <w:rPr>
          <w:rFonts w:ascii="Times New Roman" w:hAnsi="Times New Roman"/>
          <w:sz w:val="20"/>
        </w:rPr>
        <w:t xml:space="preserve">One of the key drivers of eVTOL technology is the rapid development of battery technology driven by continued investment in ground-based electric vehicles. Lithium-ion batteries are becoming more efficient, with higher capacity and energy density, shorter charge times, and longer cycle life. These advancements are enabling eVTOL aircraft to fly longer distances and carry more passengers and cargo, while reducing the weight and cost of the overall system. Moreover, distributed electric propulsion (“DEP”), which uses multiple small electric motors instead of a single central engine, makes quiet and cost-effective eVTOL aircraft accessible. Other critical enablers include the development of advanced materials and manufacturing techniques, which are helping to reduce the weight and improve the performance of eVTOL aircraft, and the telecommunications and sensor technologies that are essential for safe and efficient operation of these aircraft. </w:t>
      </w:r>
    </w:p>
    <w:p>
      <w:pPr>
        <w:pStyle w:val="TextBody"/>
        <w:bidi w:val="0"/>
        <w:spacing w:before="240" w:after="0"/>
        <w:jc w:val="left"/>
        <w:rPr>
          <w:rFonts w:ascii="Times New Roman" w:hAnsi="Times New Roman"/>
          <w:sz w:val="20"/>
        </w:rPr>
      </w:pPr>
      <w:r>
        <w:rPr>
          <w:rFonts w:ascii="Times New Roman" w:hAnsi="Times New Roman"/>
          <w:sz w:val="20"/>
        </w:rPr>
        <w:t xml:space="preserve">On the other hand, eVTOL technologies offer a range of advantages over traditional ground-based two-dimensional transportation options. It is a safe, efficient, simple and carbon-free mobility solution. With their ability to vertically take off and land, eVTOL aircraft require less infrastructure than traditional airports or helipads, and can utilize more of the three-dimensional urban airspace. Additionally, it also allows efficient direct point-to-point flights, reducing the time in travel and increasing productivity. </w:t>
      </w:r>
    </w:p>
    <w:p>
      <w:pPr>
        <w:pStyle w:val="TextBody"/>
        <w:bidi w:val="0"/>
        <w:spacing w:before="240" w:after="0"/>
        <w:jc w:val="left"/>
        <w:rPr>
          <w:rFonts w:ascii="Times New Roman" w:hAnsi="Times New Roman"/>
          <w:sz w:val="20"/>
        </w:rPr>
      </w:pPr>
      <w:r>
        <w:rPr>
          <w:rFonts w:ascii="Times New Roman" w:hAnsi="Times New Roman"/>
          <w:sz w:val="20"/>
        </w:rPr>
        <w:t xml:space="preserve">As a result, eVTOL technologies are making AAM possible, unlocking greater freedom of mobility. eVTOL aircraft could become an important part of a three-dimensional mobility solution that connects the ground, the sea and the sky for future’s transportation.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Pilotless eVTOL Aircraft Bring Revolutions to AAM </w:t>
      </w:r>
    </w:p>
    <w:p>
      <w:pPr>
        <w:pStyle w:val="TextBody"/>
        <w:bidi w:val="0"/>
        <w:spacing w:before="120" w:after="0"/>
        <w:jc w:val="left"/>
        <w:rPr>
          <w:rFonts w:ascii="Times New Roman" w:hAnsi="Times New Roman"/>
          <w:sz w:val="20"/>
        </w:rPr>
      </w:pPr>
      <w:r>
        <w:rPr>
          <w:rFonts w:ascii="Times New Roman" w:hAnsi="Times New Roman"/>
          <w:sz w:val="20"/>
        </w:rPr>
        <w:t xml:space="preserve">Pilotless eVTOL aircraft are transforming the AAM landscape, bringing a host of benefits that were previously unattainable. The integration of artificial intelligence and autonomous systems into eVTOL aircraft enables them to reduce traffic congestion and accidents caused by human pilot errors. With an on-demand ridesharing network, pilotless air taxi can increase the utilization of vehicles, improving travel efficiency and convenience for commuters. The resulting reduction in traffic congestion and commute times can significantly enhance the quality of life for urban residents.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pilotless aircraft can save costs on professional pilots, who are often scarce and expensive to train. With autonomous systems, it is also convenient to effectively manage large-scale aircraft fleets and flight routes. The ability to remotely monitor and control aircraft in emergencies makes them a reliable transportation option for emergency services and critical medical supplies. </w:t>
      </w:r>
    </w:p>
    <w:p>
      <w:pPr>
        <w:pStyle w:val="TextBody"/>
        <w:bidi w:val="0"/>
        <w:spacing w:before="240" w:after="0"/>
        <w:jc w:val="left"/>
        <w:rPr>
          <w:rFonts w:ascii="Times New Roman" w:hAnsi="Times New Roman"/>
          <w:sz w:val="20"/>
        </w:rPr>
      </w:pPr>
      <w:r>
        <w:rPr>
          <w:rFonts w:ascii="Times New Roman" w:hAnsi="Times New Roman"/>
          <w:sz w:val="20"/>
        </w:rPr>
        <w:t xml:space="preserve">Furthermore, with their vertical take-off and landing capabilities, eVTOL aircraft can utilize more urban airspace and reduce the strain on ground transportation infrastructure. The introduction of pilotless eVTOL aircraft has the potential to change the way people live and travel, bringing social and economic revolutions in many conventional fields, including tourism and local transportation.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AAM Market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The potential of global AAM market is immense and is expected to grow exponentially over the next few decades. The opportunities presented by the AAM market extend beyond just transportation. The emergence of eVTOL aircraft offers an alternative travel solution that is more efficient and sustainable than traditional modes of transportation such as helicopters, cars, and airlines. They have the potential to enable faster and more convenient travel, reduce traffic congestion and carbon emissions, and increase economic growth through job creation and new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China has positioned the low-altitude economy as one of the national strategic emerging pillar industries, and promoted increasingly favorable policies and regulations for the development and AAM operations of pilotless, electric, intelligent UAVs and eVTOL aircraft. In line with the national government’s strategic planning, local governments have introduced policies to support areas such as low-altitude aircraft vertiport construction, manufacturing, commercial operations, and technological innovation. As of July 2025, almost more than 90 cities in China have included low-altitude economy development in their work plans, creating a favorable environment for commercialization and industry growth. Based on its large populations and massive market demand, the China low-altitude economy market has great potential for our pilotless eVTOL aircraft with various use cases in aerial tourism, urban transportation, aerial logistics, emergency services, smart city management, etc. According to public information, it is estimated that the market size of the low-altitude economy will reach RMB2 trillion and there will be 100,000 units of eVTOL aircraft in China market by 2030. Besides, China’s efficient and cost-effective UAV and electric vehicle manufacturing and supply chain competence bolster up its AAM market growth potential. </w:t>
      </w:r>
    </w:p>
    <w:p>
      <w:pPr>
        <w:pStyle w:val="TextBody"/>
        <w:bidi w:val="0"/>
        <w:spacing w:before="36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120" w:after="0"/>
        <w:jc w:val="left"/>
        <w:rPr>
          <w:rFonts w:ascii="Times New Roman" w:hAnsi="Times New Roman"/>
          <w:b/>
          <w:i/>
          <w:sz w:val="20"/>
        </w:rPr>
      </w:pPr>
      <w:r>
        <w:rPr>
          <w:rFonts w:ascii="Times New Roman" w:hAnsi="Times New Roman"/>
          <w:b/>
          <w:i/>
          <w:sz w:val="20"/>
        </w:rPr>
        <w:t xml:space="preserve">Pioneer and leader in the global AAM industry </w:t>
      </w:r>
    </w:p>
    <w:p>
      <w:pPr>
        <w:pStyle w:val="TextBody"/>
        <w:bidi w:val="0"/>
        <w:spacing w:before="120" w:after="0"/>
        <w:jc w:val="left"/>
        <w:rPr>
          <w:rFonts w:ascii="Times New Roman" w:hAnsi="Times New Roman"/>
          <w:sz w:val="20"/>
        </w:rPr>
      </w:pPr>
      <w:r>
        <w:rPr>
          <w:rFonts w:ascii="Times New Roman" w:hAnsi="Times New Roman"/>
          <w:sz w:val="20"/>
        </w:rPr>
        <w:t xml:space="preserve">As the world’s leading AAM technology platform company, we are the pioneer and leader in the global AAM industry with prominent first-mover advantages. </w:t>
      </w:r>
    </w:p>
    <w:p>
      <w:pPr>
        <w:pStyle w:val="TextBody"/>
        <w:bidi w:val="0"/>
        <w:spacing w:before="240" w:after="0"/>
        <w:jc w:val="left"/>
        <w:rPr>
          <w:rFonts w:ascii="Times New Roman" w:hAnsi="Times New Roman"/>
          <w:sz w:val="20"/>
        </w:rPr>
      </w:pPr>
      <w:r>
        <w:rPr>
          <w:rFonts w:ascii="Times New Roman" w:hAnsi="Times New Roman"/>
          <w:sz w:val="20"/>
        </w:rPr>
        <w:t xml:space="preserve">We unveiled the world’s first human-carrying pilotless eVTOL aircraft, the EH184, at CES in the U.S. in 2016, attracting worldwide interest and passion to this disruptive technological revolution and the emerging AAM industry. </w:t>
      </w:r>
    </w:p>
    <w:p>
      <w:pPr>
        <w:pStyle w:val="TextBody"/>
        <w:bidi w:val="0"/>
        <w:spacing w:before="240" w:after="0"/>
        <w:jc w:val="left"/>
        <w:rPr>
          <w:rFonts w:ascii="Times New Roman" w:hAnsi="Times New Roman"/>
          <w:sz w:val="20"/>
        </w:rPr>
      </w:pPr>
      <w:r>
        <w:rPr>
          <w:rFonts w:ascii="Times New Roman" w:hAnsi="Times New Roman"/>
          <w:sz w:val="20"/>
        </w:rPr>
        <w:t xml:space="preserve">We developed and established the first command-and-control system and center at our headquarters in Guangzhou, China, in 2017, enabling cluster management of our pilotless eVTOL aircraft and UAVs through an intelligent system platform. </w:t>
      </w:r>
    </w:p>
    <w:p>
      <w:pPr>
        <w:pStyle w:val="TextBody"/>
        <w:bidi w:val="0"/>
        <w:spacing w:before="240" w:after="0"/>
        <w:jc w:val="left"/>
        <w:rPr>
          <w:rFonts w:ascii="Times New Roman" w:hAnsi="Times New Roman"/>
          <w:sz w:val="20"/>
        </w:rPr>
      </w:pPr>
      <w:r>
        <w:rPr>
          <w:rFonts w:ascii="Times New Roman" w:hAnsi="Times New Roman"/>
          <w:sz w:val="20"/>
        </w:rPr>
        <w:t xml:space="preserve">In December 2019, EHang was successfully listed on Nasdaq following an initial public offering, becoming the world’s first publicly traded company in the AAM industry. </w:t>
      </w:r>
    </w:p>
    <w:p>
      <w:pPr>
        <w:pStyle w:val="TextBody"/>
        <w:bidi w:val="0"/>
        <w:spacing w:before="240" w:after="0"/>
        <w:jc w:val="left"/>
        <w:rPr>
          <w:rFonts w:ascii="Times New Roman" w:hAnsi="Times New Roman"/>
          <w:sz w:val="20"/>
        </w:rPr>
      </w:pPr>
      <w:r>
        <w:rPr>
          <w:rFonts w:ascii="Times New Roman" w:hAnsi="Times New Roman"/>
          <w:sz w:val="20"/>
        </w:rPr>
        <w:t xml:space="preserve">As a first mover, we not only design, develop, manufacture and sell our pilotless eVTOL aircraft and UAV products, but also actively collaborate with our customers and partners to explore various practical use cases through operating our products globally. As of December 31, 2025, the flight footprints of our human-carrying pilotless eVTOL aircraft have accumulated more than 83,000 safe, autonomous flights in 21 countries across Asia, Europe, the Americas and Africa, predominantly in China. The industry-leading flight record demonstrated our product safety, reliability, adaptability and performance in different environments.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also a first mover in certification breakthrough in global eVTOL aircraft industry. In 2023, our EH216-S obtained the TC and standard AC from the CAAC, demonstrating that the EH216-S complies with the CAAC’s safety standards and airworthiness requirements and is qualified for conducting human-carrying commercial operations. In March 2024, we further obtained the PC from the CAAC, allowing our mass production of EH216-S. In March 2025, Guangdong EHang General Aviation Co., Ltd. and our joint venture company Hefei Heyi Aviation Co., Ltd. were granted the OC for EH216-S commercial operations from the CAAC. These certificates are not only the world’s first for the new type of human-carrying pilotless eVTOL aircraft, but also serves as an epoch-making milestone for commercial AAM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Proprietary and revolutionary pilotless eVTOL aircraft and UAV technologies </w:t>
      </w:r>
    </w:p>
    <w:p>
      <w:pPr>
        <w:pStyle w:val="TextBody"/>
        <w:bidi w:val="0"/>
        <w:spacing w:before="120" w:after="0"/>
        <w:jc w:val="left"/>
        <w:rPr>
          <w:rFonts w:ascii="Times New Roman" w:hAnsi="Times New Roman"/>
          <w:sz w:val="20"/>
        </w:rPr>
      </w:pPr>
      <w:r>
        <w:rPr>
          <w:rFonts w:ascii="Times New Roman" w:hAnsi="Times New Roman"/>
          <w:sz w:val="20"/>
        </w:rPr>
        <w:t xml:space="preserve">With our mission to make safe, autonomous and eco-friendly air mobility accessible to everyone, we have proprietarily developed the revolutionary pilotless eVTOL aircraft and UAV technologies and products through deeply integrating our strong expertise in the fields of both aviation and software system. This makes our products different from and competitive than helicopters and piloted eVTOL aircraft and UAVs. </w:t>
      </w:r>
    </w:p>
    <w:p>
      <w:pPr>
        <w:pStyle w:val="TextBody"/>
        <w:bidi w:val="0"/>
        <w:spacing w:before="240" w:after="0"/>
        <w:jc w:val="left"/>
        <w:rPr>
          <w:rFonts w:ascii="Times New Roman" w:hAnsi="Times New Roman"/>
          <w:sz w:val="20"/>
        </w:rPr>
      </w:pPr>
      <w:r>
        <w:rPr>
          <w:rFonts w:ascii="Times New Roman" w:hAnsi="Times New Roman"/>
          <w:sz w:val="20"/>
        </w:rPr>
        <w:t xml:space="preserve">Compared with fuel-powered piloted helicopters, our EH216-S eVTOL aircraft has much lower lifetime cost by greatly decreasing acquisition price, maintenance costs, and pilot expenses, while providing a safe, autonomous, eco-friendly and quieter new way of air mobility. </w:t>
      </w:r>
    </w:p>
    <w:p>
      <w:pPr>
        <w:pStyle w:val="TextBody"/>
        <w:bidi w:val="0"/>
        <w:spacing w:before="240" w:after="0"/>
        <w:jc w:val="left"/>
        <w:rPr>
          <w:rFonts w:ascii="Times New Roman" w:hAnsi="Times New Roman"/>
          <w:sz w:val="20"/>
        </w:rPr>
      </w:pPr>
      <w:r>
        <w:rPr>
          <w:rFonts w:ascii="Times New Roman" w:hAnsi="Times New Roman"/>
          <w:sz w:val="20"/>
        </w:rPr>
        <w:t xml:space="preserve">With safety as the orientation as well as our first priority above anything else, we innovate and stick to three fundamental technological principles, which are redundancy design, autonomous flying, and cluster management that are reflected in all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To ensure the safety, we adopt a full redundancy design and technologies in our products from day one in order to avoid single points of failure. Through the configuration of distributed electric propulsion, our pilotless eVTOL aircraft provide a safe and reliable propulsion system with backups for key components and sub-systems. If any would malfunction, the fail-safe system in our intelligent flight control systems can automatically monitor the situation in real time and quickly respond to restore the lost functionality through backups to ensure safety. For example, our EH216 series have 16 coaxial propellers driven by 16 independent motors mounted on eight arms. According to our tests, the aircraft could still land safely even if any three propellers were intendedly stopped in flight, although the probability of which happens is extremely rare in normal situations. Additionally, our redundancy design with multiple backups is also reflected in our electric systems, sensors, flight control systems, communication systems, etc. to strengthen safety and reliability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Autonomous flying is also embedded in our genes from day one. Unlike other manually controlled UAVs or piloted eVTOL aircraft, our intelligent pilotless eVTOL aircraft and UAVs can fly without any human pilot onboard and operate autonomously from take-off to landing along pre-determined flight routes under the safe protection by electric fence within the pre-approved airspace. </w:t>
      </w:r>
    </w:p>
    <w:p>
      <w:pPr>
        <w:pStyle w:val="TextBody"/>
        <w:bidi w:val="0"/>
        <w:spacing w:before="240" w:after="0"/>
        <w:jc w:val="left"/>
        <w:rPr>
          <w:rFonts w:ascii="Times New Roman" w:hAnsi="Times New Roman"/>
          <w:sz w:val="20"/>
        </w:rPr>
      </w:pPr>
      <w:r>
        <w:rPr>
          <w:rFonts w:ascii="Times New Roman" w:hAnsi="Times New Roman"/>
          <w:sz w:val="20"/>
        </w:rPr>
        <w:t xml:space="preserve">Cluster management is another key principle as well as our technological advantage to ensure flight safety and autonomy. Our proprietary airborne operating systems and on-the-ground command-and-control systems, or standalone smartphone-or-tablet-or-computer-based controller app, enable reliable and simultaneous management of aircraft fleets at scale. Through high-speed telecommunication networks, it allows real-time monitoring and warning of flight data and status of our products, route planning and fleet management, remote control in emergencies to take contingency measures, etc. to ensure flight safety and enhance intelligence and efficiency. </w:t>
      </w:r>
    </w:p>
    <w:p>
      <w:pPr>
        <w:pStyle w:val="TextBody"/>
        <w:bidi w:val="0"/>
        <w:spacing w:before="240" w:after="0"/>
        <w:jc w:val="left"/>
        <w:rPr>
          <w:rFonts w:ascii="Times New Roman" w:hAnsi="Times New Roman"/>
          <w:sz w:val="20"/>
        </w:rPr>
      </w:pPr>
      <w:r>
        <w:rPr>
          <w:rFonts w:ascii="Times New Roman" w:hAnsi="Times New Roman"/>
          <w:sz w:val="20"/>
        </w:rPr>
        <w:t xml:space="preserve">With the three technological principles, we strive to make safe, reliable and functional products through strict tests. During the airworthiness certification by the CAAC, the safety, airworthiness, performance, functionality, usability and reliability of our EH216-S have been thoroughly and rigorously validated through over 500 specific test items, more than 40,000 test flights for adjustments, and formal conformity validation tests encompassing 65 major categories and over 450 individual test items. These tests included but were not limited to main material performance, structural strength, flame resistance, crashworthiness, gas toxicity, environmental conditions of equipment and systems, software simulation, data links, ground control stations, overall system functionality, electromagnetic compatibility, flight performance and flight stability characteristics.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 rich set of product portfolio for diversified commercial solutions </w:t>
      </w:r>
    </w:p>
    <w:p>
      <w:pPr>
        <w:pStyle w:val="TextBody"/>
        <w:bidi w:val="0"/>
        <w:spacing w:before="120" w:after="0"/>
        <w:jc w:val="left"/>
        <w:rPr>
          <w:rFonts w:ascii="Times New Roman" w:hAnsi="Times New Roman"/>
          <w:sz w:val="20"/>
        </w:rPr>
      </w:pPr>
      <w:r>
        <w:rPr>
          <w:rFonts w:ascii="Times New Roman" w:hAnsi="Times New Roman"/>
          <w:sz w:val="20"/>
        </w:rPr>
        <w:t xml:space="preserve">Based on our first priority of safety as well as our three fundamental technological principles, we have developed an accessible, scalable, integrated AAM technology platform. Adhering to the philosophy of designing reliable, compact, and efficient pilotless aerial vehicles that meet the evolving needs of urban transportation, we have a rich set of innovative products with differentiated advantages for diversified and immense market demands. </w:t>
      </w:r>
    </w:p>
    <w:p>
      <w:pPr>
        <w:pStyle w:val="TextBody"/>
        <w:bidi w:val="0"/>
        <w:spacing w:before="240" w:after="0"/>
        <w:jc w:val="left"/>
        <w:rPr>
          <w:rFonts w:ascii="Times New Roman" w:hAnsi="Times New Roman"/>
          <w:sz w:val="20"/>
        </w:rPr>
      </w:pPr>
      <w:r>
        <w:rPr>
          <w:rFonts w:ascii="Times New Roman" w:hAnsi="Times New Roman"/>
          <w:sz w:val="20"/>
        </w:rPr>
        <w:t xml:space="preserve">Our proprietary products have multiple designs for different suitable uses, including the EH216 series multi-rotor eVTOL aircraft for low-altitude intra-city air mobility, VT series lift-and-cruise eVTOL aircraft for long-range inter-city air mobility, the medium-sized UAV Falcon B for industrial uses, and the small-sized GD series drones for aerial media performance. Additionally, we provide flexible and customized solutions for different customer demands for high-rise firefighting, and aerial logistics. </w:t>
      </w:r>
    </w:p>
    <w:p>
      <w:pPr>
        <w:pStyle w:val="TextBody"/>
        <w:bidi w:val="0"/>
        <w:spacing w:before="240" w:after="0"/>
        <w:jc w:val="left"/>
        <w:rPr>
          <w:rFonts w:ascii="Times New Roman" w:hAnsi="Times New Roman"/>
          <w:sz w:val="20"/>
        </w:rPr>
      </w:pPr>
      <w:r>
        <w:rPr>
          <w:rFonts w:ascii="Times New Roman" w:hAnsi="Times New Roman"/>
          <w:sz w:val="20"/>
        </w:rPr>
        <w:t xml:space="preserve">The diversity of our product strategy will bring various commercial solutions suitable for our diversified customers and market demand, and will also generate extensive revenue streams from our multiple business lines of air mobility and other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Strong in-house and collaborative research &amp; development and production capabilities </w:t>
      </w:r>
    </w:p>
    <w:p>
      <w:pPr>
        <w:pStyle w:val="TextBody"/>
        <w:bidi w:val="0"/>
        <w:spacing w:before="120" w:after="0"/>
        <w:jc w:val="left"/>
        <w:rPr>
          <w:rFonts w:ascii="Times New Roman" w:hAnsi="Times New Roman"/>
          <w:sz w:val="20"/>
        </w:rPr>
      </w:pPr>
      <w:r>
        <w:rPr>
          <w:rFonts w:ascii="Times New Roman" w:hAnsi="Times New Roman"/>
          <w:sz w:val="20"/>
        </w:rPr>
        <w:t xml:space="preserve">Our cutting-edge pilotless eVTOL aircraft technologies and products rely on our strong in-house R&amp;D capabilities. Motivated by Mr. Huazhi Hu, our founder, chairman and chief executive officer, who has a life-time passion and strong technical expertise in both aviation and command-and-control systems, we value the engineer culture and talents, and keep focusing and investing in technology innovation and product R&amp;D since day one.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our R&amp;D team accounted for 48.61% of our total employees. As of December 31, 2025, we had 506 issued patents, 324 pending patent applications, 698 registered trademarks, and 25 registered software copyrights, to protect our key technologies and intellectual property and maintain our core competitiveness in the long term. </w:t>
      </w:r>
    </w:p>
    <w:p>
      <w:pPr>
        <w:pStyle w:val="TextBody"/>
        <w:bidi w:val="0"/>
        <w:spacing w:before="240" w:after="0"/>
        <w:jc w:val="left"/>
        <w:rPr>
          <w:rFonts w:ascii="Times New Roman" w:hAnsi="Times New Roman"/>
          <w:sz w:val="20"/>
        </w:rPr>
      </w:pPr>
      <w:r>
        <w:rPr>
          <w:rFonts w:ascii="Times New Roman" w:hAnsi="Times New Roman"/>
          <w:sz w:val="20"/>
        </w:rPr>
        <w:t xml:space="preserve">Moreover, we are in extensive cooperations with industry-leading enterprises and academic institutions, including Tsinghua University, Changan Automobile, Inx Technology, Gotion Hi-Tech, Enpower, Minth Group, etc. to jointly develop next-generation technology solutions, components and products for further enhancing our eVTOL product capabilities and portfolio. </w:t>
      </w:r>
    </w:p>
    <w:p>
      <w:pPr>
        <w:pStyle w:val="TextBody"/>
        <w:bidi w:val="0"/>
        <w:spacing w:before="240" w:after="0"/>
        <w:jc w:val="left"/>
        <w:rPr>
          <w:rFonts w:ascii="Times New Roman" w:hAnsi="Times New Roman"/>
          <w:sz w:val="20"/>
        </w:rPr>
      </w:pPr>
      <w:r>
        <w:rPr>
          <w:rFonts w:ascii="Times New Roman" w:hAnsi="Times New Roman"/>
          <w:sz w:val="20"/>
        </w:rPr>
        <w:t xml:space="preserve">We are the first eVTOL company in the world having established a production base with production capabilities of pilotless eVTOL aircraft. Our Yunfu Production Facility ran into operation in June 2021, with an annual capacity of 300 units of eVTOL products at the Phase I plant. Since 2017, we have been certified to AS9100 or EN9100:2018, a globally recognized aerospace and aviation quality management system standard. Further, we obtained the PC from the CAAC in March 2024, allowing our mass production of the certified EH216-S pilotless eVTOL aircraft. Additionally, we can further increase our production capability by expanding the Phase II plant at the Yunfu Production Facility and more facilities in Hefei, Weihai, Beijing in China. This lays a solid cornerstone of our high-quality, efficient and sufficient product manufacturing and delivery capabilities.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Strong customer base and wide partnership network across the value chain to enable AAM ecosystem and commercial operations </w:t>
      </w:r>
    </w:p>
    <w:p>
      <w:pPr>
        <w:pStyle w:val="TextBody"/>
        <w:bidi w:val="0"/>
        <w:spacing w:before="120" w:after="0"/>
        <w:jc w:val="left"/>
        <w:rPr>
          <w:rFonts w:ascii="Times New Roman" w:hAnsi="Times New Roman"/>
          <w:sz w:val="20"/>
        </w:rPr>
      </w:pPr>
      <w:r>
        <w:rPr>
          <w:rFonts w:ascii="Times New Roman" w:hAnsi="Times New Roman"/>
          <w:sz w:val="20"/>
        </w:rPr>
        <w:t xml:space="preserve">With the first certified pilotless eVTOL aircraft available in the market ahead of our peers with years of the first mover advantage, we have accumulated a strong customer base and wide partnership network with key stakeholders worldwide including regulators, governments and public sectors, universities, aviation companies, tourism companies, infrastructure providers, telecommunication providers, industry associations, etc. We have also participated in a number of European Union’s AAM demonstration projects. Our joint efforts and collaborations across the value chain will empower the AAM ecosystem for commercial operations and sustainable development. In addition, the growing market demand for our products and solutions lays a solid foundation for our future revenue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Leading Products and Solutions </w:t>
      </w:r>
    </w:p>
    <w:p>
      <w:pPr>
        <w:pStyle w:val="TextBody"/>
        <w:bidi w:val="0"/>
        <w:spacing w:before="120" w:after="0"/>
        <w:jc w:val="left"/>
        <w:rPr>
          <w:rFonts w:ascii="Times New Roman" w:hAnsi="Times New Roman"/>
          <w:sz w:val="20"/>
        </w:rPr>
      </w:pPr>
      <w:r>
        <w:rPr>
          <w:rFonts w:ascii="Times New Roman" w:hAnsi="Times New Roman"/>
          <w:sz w:val="20"/>
        </w:rPr>
        <w:t xml:space="preserve">Adhering to the three fundamental technological principles to ensure safety, which are redundancy, autonomous flying, and cluster management, we have designed, developed and provided turnkey total solutions to our customers including our proprietary pilotless eVTOL aircraft and UAVs, related operating systems and infrastructures.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Pilotless eVTOL Aircraft and UAVs </w:t>
      </w:r>
    </w:p>
    <w:p>
      <w:pPr>
        <w:pStyle w:val="TextBody"/>
        <w:bidi w:val="0"/>
        <w:spacing w:before="120" w:after="0"/>
        <w:jc w:val="left"/>
        <w:rPr>
          <w:rFonts w:ascii="Times New Roman" w:hAnsi="Times New Roman"/>
          <w:sz w:val="20"/>
        </w:rPr>
      </w:pPr>
      <w:r>
        <w:rPr>
          <w:rFonts w:ascii="Times New Roman" w:hAnsi="Times New Roman"/>
          <w:sz w:val="20"/>
        </w:rPr>
        <w:t xml:space="preserve">Based on different designs and uses, our product portfolio mainly consists of the EH216 series, the VT series, and the GD4.0. </w:t>
      </w:r>
    </w:p>
    <w:p>
      <w:pPr>
        <w:pStyle w:val="TextBody"/>
        <w:bidi w:val="0"/>
        <w:spacing w:before="0" w:after="0"/>
        <w:jc w:val="left"/>
        <w:rPr/>
      </w:pPr>
      <w:r>
        <w:rPr/>
        <w:t> </w:t>
      </w:r>
    </w:p>
    <w:tbl>
      <w:tblPr>
        <w:tblW w:w="1465" w:type="dxa"/>
        <w:jc w:val="left"/>
        <w:tblInd w:w="0" w:type="dxa"/>
        <w:tblLayout w:type="fixed"/>
        <w:tblCellMar>
          <w:top w:w="0" w:type="dxa"/>
          <w:left w:w="0" w:type="dxa"/>
          <w:bottom w:w="0" w:type="dxa"/>
          <w:right w:w="0" w:type="dxa"/>
        </w:tblCellMar>
      </w:tblPr>
      <w:tblGrid>
        <w:gridCol w:w="75"/>
        <w:gridCol w:w="110"/>
        <w:gridCol w:w="60"/>
        <w:gridCol w:w="12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EH216 Series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EH216 series consists of the EH216-S (standard model), the EH216-F (firefighting model), and the EH216-L (logistics model). By a multirotor configuration with a compact and lightweight design, the EH216 series adopt a distributed electric propulsion with 16 propellers driven by 16 independent motors mounted on 8 arms, which not only ensures redundancy and flight safety, but also enables stable and accurate navigating, vertically takeoff and landing in urban airspace. With the eight arms folded, the size of the EH216 series is similar to a private car, taking minor space for storage and vertiports than helicopters and large-sized eVTOL aircraft, to provide higher flexibility and operation efficiency especially in urban areas. </w:t>
      </w:r>
    </w:p>
    <w:p>
      <w:pPr>
        <w:pStyle w:val="TextBody"/>
        <w:bidi w:val="0"/>
        <w:spacing w:before="240" w:after="0"/>
        <w:jc w:val="left"/>
        <w:rPr>
          <w:rFonts w:ascii="Times New Roman" w:hAnsi="Times New Roman"/>
          <w:sz w:val="20"/>
        </w:rPr>
      </w:pPr>
      <w:r>
        <w:rPr>
          <w:rFonts w:ascii="Times New Roman" w:hAnsi="Times New Roman"/>
          <w:sz w:val="20"/>
        </w:rPr>
        <w:t xml:space="preserve">Our flagship product the EH216-S is an electric dual-seat human-carrying pilotless eVTOL aircraft launched in 2018. Designed for short-to-medium-range low-altitude intra-city air mobility, it has a suitable flight performance for urban environment, the current maximum flight range of 30km, a flight time of 25min, and a top speed of 130km/h. With no pilot onboard, it can fly autonomously from the origin to the destination along pre-determined flight routes. Through a large panoramic windshield for wide vision and an intuitive tablet interface in front of the seats, people can enjoy the bird’s eye view, check the real-time flight status, and communicate with ground crew for support if needed. The modularized structure with an upper cabin for passengers and a lower compartment to house major components and sub-systems ensures structural safety to better protect people on board. </w:t>
      </w:r>
    </w:p>
    <w:p>
      <w:pPr>
        <w:pStyle w:val="TextBody"/>
        <w:bidi w:val="0"/>
        <w:spacing w:before="240" w:after="0"/>
        <w:jc w:val="left"/>
        <w:rPr>
          <w:rFonts w:ascii="Times New Roman" w:hAnsi="Times New Roman"/>
          <w:sz w:val="20"/>
        </w:rPr>
      </w:pPr>
      <w:r>
        <w:rPr>
          <w:rFonts w:ascii="Times New Roman" w:hAnsi="Times New Roman"/>
          <w:sz w:val="20"/>
        </w:rPr>
        <w:t xml:space="preserve">The EH216-F is a firefighting eVTOL aircraft launched in 2020. Customized for high-rise firefighting, it is equipped with customized firefighting devices, such as fire extinguishing projectiles and launchers, a firefighting foam tank and a high-pressure nozzle. It is capable of flying up to 600m height to distinguish high-rise fires accurately and efficiently, while traditional rescue ladders and fire nozzles cannot reach the height. In July 2021, the EH216-F has passed a comprehensive 10-month technical examination to prove its reliability and performance through 52 different types of tests by the China National Fire-Fighting Equipment Quality Supervision Testing Center, which is under the Ministry of Emergency Management of China. </w:t>
      </w:r>
    </w:p>
    <w:p>
      <w:pPr>
        <w:pStyle w:val="TextBody"/>
        <w:bidi w:val="0"/>
        <w:spacing w:before="240" w:after="0"/>
        <w:jc w:val="left"/>
        <w:rPr>
          <w:rFonts w:ascii="Times New Roman" w:hAnsi="Times New Roman"/>
          <w:sz w:val="20"/>
        </w:rPr>
      </w:pPr>
      <w:r>
        <w:rPr>
          <w:rFonts w:ascii="Times New Roman" w:hAnsi="Times New Roman"/>
          <w:sz w:val="20"/>
        </w:rPr>
        <w:t xml:space="preserve">The EH216-L is an aerial logistics eVTOL aircraft launched in 2020, customized for cargo transportation with 250kg payload.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75"/>
        <w:gridCol w:w="110"/>
        <w:gridCol w:w="60"/>
        <w:gridCol w:w="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VT Series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VT series refers to a series of electric lift-and-cruise models we have designed and developed, consisting of the VT35, the VT20, and the VT10. They combine the advantages of both multirotor and fixed wings, enabling vertically takeoff and landing and longer flight range than multirotor aircraft, while with no requirement for large infrastructures such as runways. </w:t>
      </w:r>
    </w:p>
    <w:p>
      <w:pPr>
        <w:pStyle w:val="TextBody"/>
        <w:bidi w:val="0"/>
        <w:spacing w:before="240" w:after="0"/>
        <w:jc w:val="left"/>
        <w:rPr>
          <w:rFonts w:ascii="Times New Roman" w:hAnsi="Times New Roman"/>
          <w:sz w:val="20"/>
        </w:rPr>
      </w:pPr>
      <w:r>
        <w:rPr>
          <w:rFonts w:ascii="Times New Roman" w:hAnsi="Times New Roman"/>
          <w:sz w:val="20"/>
        </w:rPr>
        <w:t xml:space="preserve">The VT35 is a dual-seat passenger-carrying pilotless eVTOL aircraft, expanding our product portfolio into intercity mobility scenarios. VT35 features a lift-and-cruise layout with eight distributed lift propellers for vertical take-off and landing, transitioning to a pusher propeller and tandem fixed wings for efficient cruise flight. With a fully loaded design range of approximately 200 kilometers, VT35 delivers both long-range capability and compact versatility. Compared to its predecessor VT30, VT35 maintains superior aerodynamic efficiency and flight stability while achieving a more compact footprint – measuring approximately 8 meters in length and wingspan, and 3 meters in height, with a maximum takeoff weight of 950 kg. This compact design reduces ground operational risks and enhances cost-effectiveness. Notably, VT35 is compatible with existing EH216-S vertiports and can utilize a wide range of urban takeoff and landing sites, including parks, rooftops, parking lots, etc. This interoperability greatly enhances infrastructure utilization and supports seamless intercity air mobility directly between city centers.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VT20 and the VT10 are electric medium-sized lift-and-cruise models with four propellers and fixed wings. They are designed for long-range surveillance, power line inspection, air delivery, and others. </w:t>
      </w:r>
    </w:p>
    <w:p>
      <w:pPr>
        <w:pStyle w:val="TextBody"/>
        <w:bidi w:val="0"/>
        <w:spacing w:before="0" w:after="0"/>
        <w:jc w:val="left"/>
        <w:rPr/>
      </w:pPr>
      <w:r>
        <w:rPr/>
        <w:t> </w:t>
      </w:r>
    </w:p>
    <w:tbl>
      <w:tblPr>
        <w:tblW w:w="850" w:type="dxa"/>
        <w:jc w:val="left"/>
        <w:tblInd w:w="0" w:type="dxa"/>
        <w:tblLayout w:type="fixed"/>
        <w:tblCellMar>
          <w:top w:w="0" w:type="dxa"/>
          <w:left w:w="0" w:type="dxa"/>
          <w:bottom w:w="0" w:type="dxa"/>
          <w:right w:w="0" w:type="dxa"/>
        </w:tblCellMar>
      </w:tblPr>
      <w:tblGrid>
        <w:gridCol w:w="75"/>
        <w:gridCol w:w="110"/>
        <w:gridCol w:w="60"/>
        <w:gridCol w:w="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GD4.0</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GD4.0 is our electric small-sized quadrotor UAV, which features aerial media performance drones for large-scale aerial advertising and light shows. With up to 45 minutes of flight time, centimeter-level positioning accuracy, robust performance in complex environments, and dynamic performance, the GD4.0 deeply integrates large-scale fleet management technology, precision navigation, and intelligent coordination. These capabilities enable the reliable execution of complex aerial formations by more than 20,000 drones, even under challenging low-temperature nighttime conditions. Supported by box-launch ability for rapid deployment, autonomous flight and reduced manpower requirements, the GD4.0 significantly enhances operational efficiency of aerial media performances.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Systems </w:t>
      </w:r>
    </w:p>
    <w:p>
      <w:pPr>
        <w:pStyle w:val="TextBody"/>
        <w:bidi w:val="0"/>
        <w:spacing w:before="120" w:after="0"/>
        <w:jc w:val="left"/>
        <w:rPr>
          <w:rFonts w:ascii="Times New Roman" w:hAnsi="Times New Roman"/>
          <w:sz w:val="20"/>
        </w:rPr>
      </w:pPr>
      <w:r>
        <w:rPr>
          <w:rFonts w:ascii="Times New Roman" w:hAnsi="Times New Roman"/>
          <w:sz w:val="20"/>
        </w:rPr>
        <w:t xml:space="preserve">We have proprietarily designed and developed an integrated and digitalized operating platform with airborne operating systems installed in our eVTOL aircraft and UAV products, the command-and-control system, the UAM flight operation and management platform, and related infrastructure to allow our products to operate in various scenarios safely and efficiently. The operating systems for different commercial solutions share the same underlying technological architecture. </w:t>
      </w:r>
    </w:p>
    <w:p>
      <w:pPr>
        <w:pStyle w:val="TextBody"/>
        <w:bidi w:val="0"/>
        <w:spacing w:before="240" w:after="0"/>
        <w:jc w:val="left"/>
        <w:rPr>
          <w:rFonts w:ascii="Times New Roman" w:hAnsi="Times New Roman"/>
          <w:sz w:val="20"/>
        </w:rPr>
      </w:pPr>
      <w:r>
        <w:rPr>
          <w:rFonts w:ascii="Times New Roman" w:hAnsi="Times New Roman"/>
          <w:sz w:val="20"/>
        </w:rPr>
        <w:t xml:space="preserve">Our airborne operating systems include an autopilot and flight control system, a communication system, a battery management system and a safety management system, among other things. They are installed on each of our products to enable autopilot, navigation, real-time monitoring, control and performance adjustment. Human control can be exercised from the ground using smartphones, tablets or computers as well as through our command-and-control system, meeting the varied demands of our customers or passengers and contingencies.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75"/>
        <w:gridCol w:w="110"/>
        <w:gridCol w:w="60"/>
        <w:gridCol w:w="3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Autopilot and Flight Control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autopilot and flight control system enables the autonomous operation of our products without any human pilot onboard and helps to ensure that our products fly in pre-determined routes from the origin to the destination with precise vertical take-off and landing.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75"/>
        <w:gridCol w:w="110"/>
        <w:gridCol w:w="60"/>
        <w:gridCol w:w="2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Communication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developed proprietary network protocols based on advanced communication technologies to support high-speed wireless networks between our products and ground command-and-control system. Our communication system is secured with data-encryption technologies for data security. We also use redundant data transmission links, which enable us to switch to a backup communication system if the primary system is breached.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5"/>
        <w:gridCol w:w="110"/>
        <w:gridCol w:w="60"/>
        <w:gridCol w:w="2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Battery Management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intelligent battery management system, or BMS, is an industrial-grade solution that monitors all parameters of our products’ batteries, including temperature, capacity and voltage. The core of our BMS is the self-adaptive smart battery management algorithm that optimizes the balance between performance and battery life and provides accurate predictions based on data and analysis of flight status. To ensure effective management of battery performance and battery life, an onboard battery management unit transmits real-time BMS data to the flight control system and command-and-control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90" w:type="dxa"/>
        <w:jc w:val="left"/>
        <w:tblInd w:w="0" w:type="dxa"/>
        <w:tblLayout w:type="fixed"/>
        <w:tblCellMar>
          <w:top w:w="0" w:type="dxa"/>
          <w:left w:w="0" w:type="dxa"/>
          <w:bottom w:w="0" w:type="dxa"/>
          <w:right w:w="0" w:type="dxa"/>
        </w:tblCellMar>
      </w:tblPr>
      <w:tblGrid>
        <w:gridCol w:w="75"/>
        <w:gridCol w:w="110"/>
        <w:gridCol w:w="60"/>
        <w:gridCol w:w="2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Safety Management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products use full-redundancy safety technologies in their flight control system, sensors, propulsion system and battery management system. Our proprietary redundancy control algorithms are based on a real-time voting mechanism. Our products are designed with distributed electric propulsion, with an aim of achieving the highest level of safety through redundancy and efficiency. In the event of malfunction of certain parts of our products, the operating systems utilize the backup components to ensure proper functioning and performance of our products.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Command-and-Control System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extensive expertise in command-and-control system. Our proprietary command-and-control system can accurately monitor in-flight status, dispatch aircraft, effect pre-warning and contingency measures, etc. The system ensures that our products fly in pre-determined routes and maintain smooth and efficient operation. It also has the capability to monitor and detect irregularity in the status and operation of our products and to activate contingency measures to restrict and limit actions or movements of our products in emergency situations. </w:t>
      </w:r>
    </w:p>
    <w:p>
      <w:pPr>
        <w:pStyle w:val="TextBody"/>
        <w:bidi w:val="0"/>
        <w:spacing w:before="240" w:after="0"/>
        <w:jc w:val="left"/>
        <w:rPr>
          <w:rFonts w:ascii="Times New Roman" w:hAnsi="Times New Roman"/>
          <w:sz w:val="20"/>
        </w:rPr>
      </w:pPr>
      <w:r>
        <w:rPr>
          <w:rFonts w:ascii="Times New Roman" w:hAnsi="Times New Roman"/>
          <w:sz w:val="20"/>
        </w:rPr>
        <w:t xml:space="preserve">Powered by advanced technologies, our command-and-control system allows for adaptability and scalability. Through continuous uplinks maintained between aircraft and the ground command-and-control system, we are able to simultaneously manage up to 22,580 units of UAVs with precision and accuracy to complete pre-defined actions and movements in the air for aerial media shows. </w:t>
      </w:r>
    </w:p>
    <w:p>
      <w:pPr>
        <w:pStyle w:val="TextBody"/>
        <w:bidi w:val="0"/>
        <w:spacing w:before="240" w:after="0"/>
        <w:jc w:val="left"/>
        <w:rPr>
          <w:rFonts w:ascii="Times New Roman" w:hAnsi="Times New Roman"/>
          <w:sz w:val="20"/>
        </w:rPr>
      </w:pPr>
      <w:r>
        <w:rPr>
          <w:rFonts w:ascii="Times New Roman" w:hAnsi="Times New Roman"/>
          <w:sz w:val="20"/>
        </w:rPr>
        <w:t xml:space="preserve">Besides the command-and-control system for large-scale operations and management, we have also developed an app to enable standalone operations through portable smartphones, tablets or computers to individually monitor and control our products.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except for the first UAV command-and-control center established in Guangzhou for our own use, we had delivered four command-and-control centers or systems along with suitable models as integrated packages for smart city management solutions to our customers in Shaoguan, Lianyungang, Hezhou and Shenzhen, China. These delivered command-and-control centers or systems are currently operated by our customers, while we provide related required trainings and technical supports. Besides, we sell UAVs to some smart city management customers on a standalone basis, which can be controlled by our app.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UAM Operational Platform</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Digitization is essential for UAM flight operation and safety management. We have built a digital UAM operational platform architecture and established a visualized flight operation module for managing our pilotless eVTOL flight schedule, ground crew, availability of vertiports and landing pads, and other factors across the entire front-line UAM operational process. This platform, which has been put into trial running internally, is designed to connect and interact with the back-end command-and-control system, as well as the future front-end flight booking and payment service windows through either our own app or third-party apps, in order to provide the operation team with a clear and efficient management platform, and offer consumers a smooth flight booking and riding experience.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Infrastructures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Vertiports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Vertiports are also essential for eVTOL aircraft operations and mobility efficiency. We have developed a set of requirements and different concept of vertiport designs for our eVTOL aircraft, and we call it E-Ports. </w:t>
      </w:r>
    </w:p>
    <w:p>
      <w:pPr>
        <w:pStyle w:val="TextBody"/>
        <w:bidi w:val="0"/>
        <w:spacing w:before="240" w:after="0"/>
        <w:jc w:val="left"/>
        <w:rPr>
          <w:rFonts w:ascii="Times New Roman" w:hAnsi="Times New Roman"/>
          <w:sz w:val="20"/>
        </w:rPr>
      </w:pPr>
      <w:r>
        <w:rPr>
          <w:rFonts w:ascii="Times New Roman" w:hAnsi="Times New Roman"/>
          <w:sz w:val="20"/>
        </w:rPr>
        <w:t xml:space="preserve">Taking the EH216-S as an example, each E-Port is identified and registered in our UAM flight operation and management platform, therefore our eVTOL aircraft can serve for on-demand flights only within E-Port network to ensure safety and autonomy. </w:t>
      </w:r>
    </w:p>
    <w:p>
      <w:pPr>
        <w:pStyle w:val="TextBody"/>
        <w:bidi w:val="0"/>
        <w:spacing w:before="240" w:after="0"/>
        <w:jc w:val="left"/>
        <w:rPr>
          <w:rFonts w:ascii="Times New Roman" w:hAnsi="Times New Roman"/>
          <w:sz w:val="20"/>
        </w:rPr>
      </w:pPr>
      <w:r>
        <w:rPr>
          <w:rFonts w:ascii="Times New Roman" w:hAnsi="Times New Roman"/>
          <w:sz w:val="20"/>
        </w:rPr>
        <w:t xml:space="preserve">Our E-Ports can locate flexibly at the rooftop, on mountains, near to parking lots, subway or railway stations, airports or harbors, so as to seamlessly connect with other transportation nodes to expand the three-dimensional travel networks.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scale of each E-Port is determined by the customer demands, density of flight routes and traffic volumes. It could be either a simple landing pad, or a hub station with several landing pads, charging piles, passenger service areas, hangars for storage and maintenance, and more facilities. </w:t>
      </w:r>
    </w:p>
    <w:p>
      <w:pPr>
        <w:pStyle w:val="TextBody"/>
        <w:bidi w:val="0"/>
        <w:spacing w:before="240" w:after="0"/>
        <w:jc w:val="left"/>
        <w:rPr>
          <w:rFonts w:ascii="Times New Roman" w:hAnsi="Times New Roman"/>
          <w:sz w:val="20"/>
        </w:rPr>
      </w:pPr>
      <w:r>
        <w:rPr>
          <w:rFonts w:ascii="Times New Roman" w:hAnsi="Times New Roman"/>
          <w:sz w:val="20"/>
        </w:rPr>
        <w:t xml:space="preserve">Leveraging the advantages of EH216-S’s smaller size, lighter weight, lower noise, higher flexibility compared with helicopters or larger eVTOL aircraft, the E-Port network is easier to be deployed, established and expanded by operators in urban areas with lesser costs and time. Usually, our customers and partners take the role to build E-Ports, while we provide designs and requirements.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75"/>
        <w:gridCol w:w="110"/>
        <w:gridCol w:w="60"/>
        <w:gridCol w:w="1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Charging Piles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developed efficient and intelligent charging piles for our eVTOL aircraft, and have delivered to our customers along with our products. They can monitor real-time charging status and battery health.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Solutions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Air Mobility </w:t>
      </w:r>
    </w:p>
    <w:p>
      <w:pPr>
        <w:pStyle w:val="TextBody"/>
        <w:bidi w:val="0"/>
        <w:spacing w:before="120" w:after="0"/>
        <w:jc w:val="left"/>
        <w:rPr>
          <w:rFonts w:ascii="Times New Roman" w:hAnsi="Times New Roman"/>
          <w:sz w:val="20"/>
        </w:rPr>
      </w:pPr>
      <w:r>
        <w:rPr>
          <w:rFonts w:ascii="Times New Roman" w:hAnsi="Times New Roman"/>
          <w:sz w:val="20"/>
        </w:rPr>
        <w:t xml:space="preserve">Air mobility is our main business solution. We aim to provide customers with safe, autonomous, eco-friendly and efficient eVTOL aircraft products, solutions and services for aerial tourism, air transportations of passengers, cargos, emergencies, etc. </w:t>
      </w:r>
    </w:p>
    <w:p>
      <w:pPr>
        <w:pStyle w:val="TextBody"/>
        <w:bidi w:val="0"/>
        <w:spacing w:before="240" w:after="0"/>
        <w:jc w:val="left"/>
        <w:rPr>
          <w:rFonts w:ascii="Times New Roman" w:hAnsi="Times New Roman"/>
          <w:sz w:val="20"/>
        </w:rPr>
      </w:pPr>
      <w:r>
        <w:rPr>
          <w:rFonts w:ascii="Times New Roman" w:hAnsi="Times New Roman"/>
          <w:sz w:val="20"/>
        </w:rPr>
        <w:t xml:space="preserve">Currently, we focus on providing low-altitude urban air mobility solutions to our customers mainly through the sale of our EH216 series eVTOL products and related services including preparation for commercial operations, personnel training, maintenance and repair, etc. In addition, we intent to extent to long-range inter-city air transportation with our VT series eVTOL aircraft for the regional air mobility market in the future. We have delivered six units of the VT35 in 2025, for testing, demonstration and certification purposes. </w:t>
      </w:r>
    </w:p>
    <w:p>
      <w:pPr>
        <w:pStyle w:val="TextBody"/>
        <w:bidi w:val="0"/>
        <w:spacing w:before="240" w:after="0"/>
        <w:jc w:val="left"/>
        <w:rPr>
          <w:rFonts w:ascii="Times New Roman" w:hAnsi="Times New Roman"/>
          <w:sz w:val="20"/>
        </w:rPr>
      </w:pPr>
      <w:r>
        <w:rPr>
          <w:rFonts w:ascii="Times New Roman" w:hAnsi="Times New Roman"/>
          <w:sz w:val="20"/>
        </w:rPr>
        <w:t xml:space="preserve">To take aviation safety as our top priority and the social responsibilities as the first mover entering the emerging commercial market, we will take a prudent approach and business strategy to gradually expand commercial operation scenarios of our certified EH216-S human-carrying pilotless eVTOL aircraft in a safe, progressive manner. Starting from aerial sightseeing and flight experience in the tourism area, we will expand stage by stage under the regulator’s guidance to air transportation and on-demand air taxi travel in the long term. </w:t>
      </w:r>
    </w:p>
    <w:p>
      <w:pPr>
        <w:pStyle w:val="TextBody"/>
        <w:bidi w:val="0"/>
        <w:spacing w:before="240" w:after="0"/>
        <w:jc w:val="left"/>
        <w:rPr>
          <w:rFonts w:ascii="Times New Roman" w:hAnsi="Times New Roman"/>
          <w:sz w:val="20"/>
        </w:rPr>
      </w:pPr>
      <w:r>
        <w:rPr>
          <w:rFonts w:ascii="Times New Roman" w:hAnsi="Times New Roman"/>
          <w:sz w:val="20"/>
        </w:rPr>
        <w:t xml:space="preserve">China is our principal market. Driven by increasingly favorable policies and regulations for civil unmanned aviation and low-altitude economy in recent years, the massive local market demand for various commercial applications, and the TC, PC, AC and OC for our EH216-S from the CAAC, our total delivery volume for EH216 series eVTOL aircraft in 2025 was 169 units, including 164 units in China market, and five units in overseas markets. </w:t>
      </w:r>
    </w:p>
    <w:p>
      <w:pPr>
        <w:pStyle w:val="TextBody"/>
        <w:bidi w:val="0"/>
        <w:spacing w:before="240" w:after="0"/>
        <w:jc w:val="left"/>
        <w:rPr>
          <w:rFonts w:ascii="Times New Roman" w:hAnsi="Times New Roman"/>
          <w:sz w:val="20"/>
        </w:rPr>
      </w:pPr>
      <w:r>
        <w:rPr>
          <w:rFonts w:ascii="Times New Roman" w:hAnsi="Times New Roman"/>
          <w:sz w:val="20"/>
        </w:rPr>
        <w:t xml:space="preserve">Apart from delivery, we also actively prepare for the EH216-S commercial operations. In March 2025, our subsidiary Guangdong EHang General Aviation Co., Ltd. and our joint venture company Hefei HeYi Aviation Co., Ltd. were simultaneously granted the first batch of OCs by the CAAC, approving them as commercial operators to provide human-carrying pilotless eVTOL flight services with the certified EH216-S starting from their current operation sites in Guangzhou and Hefei. Meanwhile, we assist our customers in setting up for their flight operations, including planning operation sites, vertiports and flight routes, training operating ground crew team and maintenance staff, preparing for their OC application, and conducting trial operations at more than 40 sites across China.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actively extend our partnership with industry stakeholders to pave the way for a long-term sustainable development of the AAM market. For instance, we partnered with China Communications Information &amp; Technology Group and local governments in December 2024 for co-developing digital UAM infrastructure and low-altitude flight hubs across China. We partnered with the Civil Aviation Flight University of China in October 2024 to train skilled professionals for eVTOL operations and maintenance and address the estimated demand for millions of talents of the low-altitude economy sector in China. We partnered with Tsinghua University in July 2025 for establishing a world-class research center for scientific research, technology innovation and talent development in the low-altitude aviation field. We also partnered with the China Academy of Civil Aviation Science and Technology to deepen cooperation in resource sharing, joint innovation, key project collaboration, breakthrough research and development, standards system development and high-level talent cultivation, and accelerate the commercialization of the low-altitude economy and jointly promote the high-quality development of civil UAVs and eVTOL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Meanwhile, we are actively exploring and expanding international markets. We delivered a total of five units of EH216 series eVTOL aircraft to customers in Japan, Korea, Malaysia and Thailand in 2025. Additionally, in collaboration with our global customers and partners, we have expanded our eVTOL flights in Spain, Japan, Thailand, Rwanda, Indonesia and Qatar in 2025. As of December 31, 2025, the flight footprints of our pilotless eVTOL aircraft have accumulated more than 83,000 safe flights in 21 countries globally. Meanwhile, we have been working with the aviation regulators in multiple countries for local certifications or approvals of our eVTOL trial flights, validation of TC, and commercial operations in the future. In October 2025, we launched a pioneering AAM Sandbox Initiative in Thailand, which is designed to accelerate the pathway toward future commercial operations of our EH216-S pilotless eVTOL aircraft there.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Smart City Management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we are the first company having developed and delivered the smart city management solutions with integrated and intelligent command-and-control systems or centers that can centralize and coordinate a wide range of UAV applications simultaneously. We customize and adapt our UAVs to capture live videos, images and data generated by attached modules such as cameras, electro-optical, infrared or other sensors, and loudspeakers as our customers’ requirements. The signals and instructions are wirelessly transmitted through high-speed telecommunication network between UAVs and the command-and-control systems we develop for our customers, enabling our customers to receive and send crucial information in real time remotely and safely. </w:t>
      </w:r>
    </w:p>
    <w:p>
      <w:pPr>
        <w:pStyle w:val="TextBody"/>
        <w:bidi w:val="0"/>
        <w:spacing w:before="240" w:after="0"/>
        <w:jc w:val="left"/>
        <w:rPr>
          <w:rFonts w:ascii="Times New Roman" w:hAnsi="Times New Roman"/>
          <w:sz w:val="20"/>
        </w:rPr>
      </w:pPr>
      <w:r>
        <w:rPr>
          <w:rFonts w:ascii="Times New Roman" w:hAnsi="Times New Roman"/>
          <w:sz w:val="20"/>
        </w:rPr>
        <w:t xml:space="preserve">The main customers of our smart city management solutions are public sectors. We provide an integrated and efficient digital platform with customized UAV models as turn-key solutions for monitoring and management across many ordinary municipal functions and public utilities, such as traffic management, powerline inspection, environmental monitoring, firefighting, emergency rescue, aerial mapping, etc. Compared with the traditional manpower-and-time-consuming working mode, the cost-effectiveness and efficiency are greatly improved.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except for the first UAV command-and-control center established in Guangzhou for our own use, we had delivered four command-and-control centers or systems along with suitable models as integrated packages for smart city management solutions to our customers in Shaoguan, Lianyungang, Hezhou and Shenzhen, China. These delivered command-and-control centers or systems are currently operated by our customers, while we provide related required trainings and technical supports. Besides, we sell UAVs to some smart city management customers on a standalone basis, which can be controlled by our app. </w:t>
      </w:r>
    </w:p>
    <w:p>
      <w:pPr>
        <w:pStyle w:val="TextBody"/>
        <w:bidi w:val="0"/>
        <w:spacing w:before="360" w:after="0"/>
        <w:jc w:val="left"/>
        <w:rPr>
          <w:rFonts w:ascii="Times New Roman" w:hAnsi="Times New Roman"/>
          <w:b/>
          <w:i/>
          <w:sz w:val="20"/>
        </w:rPr>
      </w:pPr>
      <w:r>
        <w:rPr>
          <w:rFonts w:ascii="Times New Roman" w:hAnsi="Times New Roman"/>
          <w:b/>
          <w:i/>
          <w:sz w:val="20"/>
        </w:rPr>
        <w:t xml:space="preserve">Aerial Media </w:t>
      </w:r>
    </w:p>
    <w:p>
      <w:pPr>
        <w:pStyle w:val="TextBody"/>
        <w:bidi w:val="0"/>
        <w:spacing w:before="120" w:after="0"/>
        <w:jc w:val="left"/>
        <w:rPr>
          <w:rFonts w:ascii="Times New Roman" w:hAnsi="Times New Roman"/>
          <w:sz w:val="20"/>
        </w:rPr>
      </w:pPr>
      <w:r>
        <w:rPr>
          <w:rFonts w:ascii="Times New Roman" w:hAnsi="Times New Roman"/>
          <w:sz w:val="20"/>
        </w:rPr>
        <w:t xml:space="preserve">We were the first company to launch the aerial media solutions in 2016 and are a leading player in providing aerial media performances, also known as drone light shows. Our services involve managing and choreographing a fleet of UAVs that are equipped with LED lights into a series of moving images. We utilize a range of proprietary navigation technologies, operating systems, and infrastructure to deliver smooth and mesmerizing UAV formations, synchronized movement and accurate display of two-dimensional and three-dimensional patterns, brand logos, or messages. Our remote command-and-control capacity and auto formation flight system enable us to support diverse flight missions and light effects with varying degrees of difficulties. We also use real-time kinematic satellite-based navigation technology (RTK-GPS) to achieve centimeter-level positioning precision for our UAVs. We not only provide large-scale aerial media performance services for outdoor events such as celebrations, festivals, and brand campaigns, but also offer aerial media packages that includes our proprietary GD4.0 UAVs and relevant software to our customers who are able to design and carry out performances themselves with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we, together with our customers and partners, had completed over 480 aerial media performances by our UAVs in Asia, Africa and Europe. Moreover, we broke the Guinness World Records with our aerial media performances for several times, including the recent record of “the most multirotor/drones airborne simultaneously from a single computer” by 22,580 units of our GD4.0 formation drones at the CMG 2026 China Spring Festival Gala Hefei venue in February 2026. </w:t>
      </w:r>
    </w:p>
    <w:p>
      <w:pPr>
        <w:pStyle w:val="TextBody"/>
        <w:bidi w:val="0"/>
        <w:spacing w:before="360" w:after="0"/>
        <w:jc w:val="left"/>
        <w:rPr>
          <w:rFonts w:ascii="Times New Roman" w:hAnsi="Times New Roman"/>
          <w:b/>
          <w:sz w:val="20"/>
        </w:rPr>
      </w:pPr>
      <w:r>
        <w:rPr>
          <w:rFonts w:ascii="Times New Roman" w:hAnsi="Times New Roman"/>
          <w:b/>
          <w:sz w:val="20"/>
        </w:rPr>
        <w:t xml:space="preserve">Our Business Strategies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Extend our technological leadership </w:t>
      </w:r>
    </w:p>
    <w:p>
      <w:pPr>
        <w:pStyle w:val="TextBody"/>
        <w:bidi w:val="0"/>
        <w:spacing w:before="120" w:after="0"/>
        <w:jc w:val="left"/>
        <w:rPr>
          <w:rFonts w:ascii="Times New Roman" w:hAnsi="Times New Roman"/>
          <w:sz w:val="20"/>
        </w:rPr>
      </w:pPr>
      <w:r>
        <w:rPr>
          <w:rFonts w:ascii="Times New Roman" w:hAnsi="Times New Roman"/>
          <w:sz w:val="20"/>
        </w:rPr>
        <w:t xml:space="preserve">We plan to continue to invest in technological innovation to cement our leadership in pilotless eVTOL aircraft technologies and establish ourselves as the industry benchmark for AAM commercial solutions. We will continue to expand our talent pool and intellectual property, and drive innovation.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Expand our product portfolio and strengthen our platform </w:t>
      </w:r>
    </w:p>
    <w:p>
      <w:pPr>
        <w:pStyle w:val="TextBody"/>
        <w:bidi w:val="0"/>
        <w:spacing w:before="120" w:after="0"/>
        <w:jc w:val="left"/>
        <w:rPr>
          <w:rFonts w:ascii="Times New Roman" w:hAnsi="Times New Roman"/>
          <w:sz w:val="20"/>
        </w:rPr>
      </w:pPr>
      <w:r>
        <w:rPr>
          <w:rFonts w:ascii="Times New Roman" w:hAnsi="Times New Roman"/>
          <w:sz w:val="20"/>
        </w:rPr>
        <w:t xml:space="preserve">We plan to continue to optimize our existing models, expand our product portfolio, and obtain required certificates for commercial applications. We will continue to develop and certify more models for different uses. We will continue to develop our technology platform and ancillary products and services to strengthen our ability to provide end-to-end AAM commercial solutions that address the growing needs of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Take advantage of the first eVTOL aircraft certifications for entry into market </w:t>
      </w:r>
    </w:p>
    <w:p>
      <w:pPr>
        <w:pStyle w:val="TextBody"/>
        <w:bidi w:val="0"/>
        <w:spacing w:before="120" w:after="0"/>
        <w:jc w:val="left"/>
        <w:rPr>
          <w:rFonts w:ascii="Times New Roman" w:hAnsi="Times New Roman"/>
          <w:sz w:val="20"/>
        </w:rPr>
      </w:pPr>
      <w:r>
        <w:rPr>
          <w:rFonts w:ascii="Times New Roman" w:hAnsi="Times New Roman"/>
          <w:sz w:val="20"/>
        </w:rPr>
        <w:t xml:space="preserve">Our EH216-S has obtained the world’s first TC, Standard AC and PC for pilotless eVTOL aircraft from the CAAC, demonstrating it is qualified for human-carrying commercial operations and mass production. Moreover, the EH216-S operators have obtained the OCs for their commercial flight operations in China. On this basis, we plan to further extend to more countries in Asia and other regions worldwide by potential bilateral agreements between aviation regulators and required local certifications.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Capitalize our first mover advantages to continue commercialization and promote adoption </w:t>
      </w:r>
    </w:p>
    <w:p>
      <w:pPr>
        <w:pStyle w:val="TextBody"/>
        <w:bidi w:val="0"/>
        <w:spacing w:before="120" w:after="0"/>
        <w:jc w:val="left"/>
        <w:rPr>
          <w:rFonts w:ascii="Times New Roman" w:hAnsi="Times New Roman"/>
          <w:sz w:val="20"/>
        </w:rPr>
      </w:pPr>
      <w:r>
        <w:rPr>
          <w:rFonts w:ascii="Times New Roman" w:hAnsi="Times New Roman"/>
          <w:sz w:val="20"/>
        </w:rPr>
        <w:t xml:space="preserve">We will capitalize our first mover advantages ahead of our peers and our uniqueness of pilotless eVTOL aircraft in the commercial market to accelerate the commercialization pace for both product sales and flight operational services. As we continue collaborating with governments, our customers and partners to promote the regulatory and social acceptance, infrastructure establishment, and industrial deployment, we will pilot air mobility services with our pilotless eVTOL aircraft in pre-determined routes as a precursor for more flexible, on-demand services networks starting from scenic areas gradually to urban areas.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Keep enhancing commercial operation capabilities </w:t>
      </w:r>
    </w:p>
    <w:p>
      <w:pPr>
        <w:pStyle w:val="TextBody"/>
        <w:bidi w:val="0"/>
        <w:spacing w:before="120" w:after="0"/>
        <w:jc w:val="left"/>
        <w:rPr>
          <w:rFonts w:ascii="Times New Roman" w:hAnsi="Times New Roman"/>
          <w:sz w:val="20"/>
        </w:rPr>
      </w:pPr>
      <w:r>
        <w:rPr>
          <w:rFonts w:ascii="Times New Roman" w:hAnsi="Times New Roman"/>
          <w:sz w:val="20"/>
        </w:rPr>
        <w:t xml:space="preserve">We will keep developing and improving our AAM digital operational platform for an effective and efficient management of aircraft, flight schedule and routes, ground crew, vertiports, air traffic, and approved airspace. In addition, we will continue to enhance commercial operation capabilities by expanding air mobility operation team, improving operational standards and rules, and exploring feasible and replicable commercial operational mode together with our business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Explore new monetization opportunities and develop diversified revenue streams </w:t>
      </w:r>
    </w:p>
    <w:p>
      <w:pPr>
        <w:pStyle w:val="TextBody"/>
        <w:bidi w:val="0"/>
        <w:spacing w:before="120" w:after="0"/>
        <w:jc w:val="left"/>
        <w:rPr>
          <w:rFonts w:ascii="Times New Roman" w:hAnsi="Times New Roman"/>
          <w:sz w:val="20"/>
        </w:rPr>
      </w:pPr>
      <w:r>
        <w:rPr>
          <w:rFonts w:ascii="Times New Roman" w:hAnsi="Times New Roman"/>
          <w:sz w:val="20"/>
        </w:rPr>
        <w:t xml:space="preserve">We plan to explore new monetization opportunities and develop diversified revenue streams by leveraging our fundamental technology platform to pursuit operating synergies across our business lines and better economic efficiency. For example, we may charge recurring fees for our software system licenses, operational and maintenance services for our products. We may also enter into revenue sharing, financial leasing, strategic investment arrangements with customers to capture flexible and greater business opportunities.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Expand strategic partnerships across the value chain to develop a sustainable AAM ecosystem </w:t>
      </w:r>
    </w:p>
    <w:p>
      <w:pPr>
        <w:pStyle w:val="TextBody"/>
        <w:bidi w:val="0"/>
        <w:spacing w:before="120" w:after="0"/>
        <w:jc w:val="left"/>
        <w:rPr>
          <w:rFonts w:ascii="Times New Roman" w:hAnsi="Times New Roman"/>
          <w:sz w:val="20"/>
        </w:rPr>
      </w:pPr>
      <w:r>
        <w:rPr>
          <w:rFonts w:ascii="Times New Roman" w:hAnsi="Times New Roman"/>
          <w:sz w:val="20"/>
        </w:rPr>
        <w:t xml:space="preserve">We plan to continue to expand our partnership network across the value chain in the global AAM industry with business partners and regulatory agencies to foster and grow the commercial eVTOL aircraft market and develop a sustainable AAM ecosystem. </w:t>
      </w:r>
    </w:p>
    <w:p>
      <w:pPr>
        <w:pStyle w:val="TextBody"/>
        <w:bidi w:val="0"/>
        <w:spacing w:before="360" w:after="0"/>
        <w:jc w:val="left"/>
        <w:rPr>
          <w:rFonts w:ascii="Times New Roman" w:hAnsi="Times New Roman"/>
          <w:b/>
          <w:sz w:val="20"/>
        </w:rPr>
      </w:pPr>
      <w:r>
        <w:rPr>
          <w:rFonts w:ascii="Times New Roman" w:hAnsi="Times New Roman"/>
          <w:b/>
          <w:sz w:val="20"/>
        </w:rPr>
        <w:t xml:space="preserve">Research and Development Capabilities </w:t>
      </w:r>
    </w:p>
    <w:p>
      <w:pPr>
        <w:pStyle w:val="TextBody"/>
        <w:bidi w:val="0"/>
        <w:spacing w:before="120" w:after="0"/>
        <w:jc w:val="left"/>
        <w:rPr>
          <w:rFonts w:ascii="Times New Roman" w:hAnsi="Times New Roman"/>
          <w:sz w:val="20"/>
        </w:rPr>
      </w:pPr>
      <w:r>
        <w:rPr>
          <w:rFonts w:ascii="Times New Roman" w:hAnsi="Times New Roman"/>
          <w:sz w:val="20"/>
        </w:rPr>
        <w:t xml:space="preserve">Our in-house design, development and engineering capabilities underpin our leadership and support the advancement of our platform. Our design is characterized by unabated efforts to improve safety, reliability and functionality. We have a dedicated research, design and development team in Guangzhou. The team consists of members with strong backgrounds in the fields of electrical engineering, aerospace engineering, mechanical engineering, automation, material engineering and software development. The key R&amp;D team members are mainly graduates of top universities. Our research and development team focuses on core research development, engineering technology, hardware development, and command-and-control systems. We have a dedicated software technology group to lead the research and development of software and algorithms. </w:t>
      </w:r>
    </w:p>
    <w:p>
      <w:pPr>
        <w:pStyle w:val="TextBody"/>
        <w:bidi w:val="0"/>
        <w:spacing w:before="240" w:after="0"/>
        <w:jc w:val="left"/>
        <w:rPr>
          <w:rFonts w:ascii="Times New Roman" w:hAnsi="Times New Roman"/>
          <w:sz w:val="20"/>
        </w:rPr>
      </w:pPr>
      <w:r>
        <w:rPr>
          <w:rFonts w:ascii="Times New Roman" w:hAnsi="Times New Roman"/>
          <w:sz w:val="20"/>
        </w:rPr>
        <w:t xml:space="preserve">Our success has been driven by a passionate, visionary, tech-savvy and entrepreneurial management team with a unique combination of aviation, internet and software expertise. Our founder, chairman and chief executive officer, Mr. Huazhi Hu is one of the pioneers and leaders in the global pilotless eVTOL aircraft industry, who was awarded the Technology Innovation Award by the Living Legends of Aviation Europe in 2019 and ranked the Top one inventor at air taxi firms, who personally took 10% share of all patents filed globally as of August 11, 2022 according to a Roland Berger analyst’s research. As a Tsinghua University-trained software engineer, Mr. Hu has amassed substantial experience in the development of command-and-control systems. He was one of the key architects and lead developers behind certain large-scale command-and-control systems, such as that for the 2008 Summer Olympics Games in Beijing. </w:t>
      </w:r>
    </w:p>
    <w:p>
      <w:pPr>
        <w:pStyle w:val="TextBody"/>
        <w:bidi w:val="0"/>
        <w:spacing w:before="240" w:after="0"/>
        <w:jc w:val="left"/>
        <w:rPr>
          <w:rFonts w:ascii="Times New Roman" w:hAnsi="Times New Roman"/>
          <w:sz w:val="20"/>
        </w:rPr>
      </w:pPr>
      <w:r>
        <w:rPr>
          <w:rFonts w:ascii="Times New Roman" w:hAnsi="Times New Roman"/>
          <w:sz w:val="20"/>
        </w:rPr>
        <w:t xml:space="preserve">During the airworthiness certification by the CAAC, our R&amp;D and certification team have well demonstrated their professionalism, comprehensive expertise and innovation spirit, and thoroughly and rigorously validated the safety, airworthiness, performance, functionality, usability and reliability of our EH216-S through over 500 specific test items, more than 40,000 test flights for adjustments, and formal conformity validation tests encompassing 65 major categories and over 450 individual test items. These tests included but were not limited to main material performance, structural strength, flame resistance, crashworthiness, gas toxicity, environmental conditions of equipment and systems, software simulation, data links, ground control stations, overall system functionality, electromagnetic compatibility, flight performance and flight stability characteristics. As of December 31, 2025, the flight footprints of our human-carrying pilotless eVTOL aircraft have accumulated more than 83,000 safe flights in 21 countries across Asia, Europe, the Americas and Africa. The industry-leading flight record demonstrated our technology and product safety, reliability, adaptability and performance in diversified environments.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Quality Control and Supply Chain </w:t>
      </w:r>
    </w:p>
    <w:p>
      <w:pPr>
        <w:pStyle w:val="TextBody"/>
        <w:bidi w:val="0"/>
        <w:spacing w:before="120" w:after="0"/>
        <w:jc w:val="left"/>
        <w:rPr>
          <w:rFonts w:ascii="Times New Roman" w:hAnsi="Times New Roman"/>
          <w:sz w:val="20"/>
        </w:rPr>
      </w:pPr>
      <w:r>
        <w:rPr>
          <w:rFonts w:ascii="Times New Roman" w:hAnsi="Times New Roman"/>
          <w:sz w:val="20"/>
        </w:rPr>
        <w:t xml:space="preserve">As an original equipment manufacturer of eVTOL aircraft and UAVs, we adopt a safe, compliant, lean and efficient production strategy across our business, focusing on effective prototyping, manufacturing, supply chain management, final assembly, integration, quality control and final acceptance testing.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a production facility in Yunfu city, Guangdong province, China, which commenced operation in June 2021. It has a total gross floor area of approximately 48,000 square meters, equipped with a series of function areas across the production processes for different types of our products from manufacturing of key components and carbon fiber composite airframes to aircraft assembling and flight testing. In 2025, the Yunfu facility reached an annual production capability of 1,000 units of eVTOL aircraft and related components following the completion of the Phase II plant. The Phase II plant entered trial operations and was engineered to enhance production quality and efficiency by smart manufacturing, featuring a full-process Manufacturing Execution System, paperless operations, Automated Guided Vehicles for automated material calling and delivery, and visual error-proofing systems. As of December 31, 2025, there were 310 contract workers from an independent third-party entity who were involved in the manufacturing of our products in the Yunfu production facility. In addition, we are preparing two additional production facilities in Heifei city, Anhui province, China and Weihai city, Shandong province, China. We also plan to establish a production hub in Beijing focused on emergency rescue equipment, including the EH216-F firefighting aircraft. We expect the production of the Hefei and Weihai facilities to commence following the receipt of relevant PCs.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ensure high levels of quality and reliability, our dedicated manufacturing team, in close collaboration with our design and engineering arm, manages and conducts the design, engineering and production of key proprietary components, such as flight control system units, communication system units, battery management system units and motor drivers, and performs in-house final assembly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Our production partners are subject to rigorous selection and review procedures. All of our production system operations incorporate internal and external quality programs and processes to ensure our required standards for acceptance rates, reduce lead times and lower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Quality Control </w:t>
      </w:r>
    </w:p>
    <w:p>
      <w:pPr>
        <w:pStyle w:val="TextBody"/>
        <w:bidi w:val="0"/>
        <w:spacing w:before="120" w:after="0"/>
        <w:jc w:val="left"/>
        <w:rPr>
          <w:rFonts w:ascii="Times New Roman" w:hAnsi="Times New Roman"/>
          <w:sz w:val="20"/>
        </w:rPr>
      </w:pPr>
      <w:r>
        <w:rPr>
          <w:rFonts w:ascii="Times New Roman" w:hAnsi="Times New Roman"/>
          <w:sz w:val="20"/>
        </w:rPr>
        <w:t xml:space="preserve">Our quality control efforts focus on designing and producing products and implementing processes that will ensure high levels of safety and reliability. We have a dedicated quality control team that works with our engineering arm and our suppliers to ensure that the product designs meet safety requirements and functional specifications. Together with our supplier review committee, our quality control team also collaborates with our suppliers to ensure that their processes and systems are capable of delivering the parts and components we need at the required quality levels, on time and within budgets. </w:t>
      </w:r>
    </w:p>
    <w:p>
      <w:pPr>
        <w:pStyle w:val="TextBody"/>
        <w:bidi w:val="0"/>
        <w:spacing w:before="240" w:after="0"/>
        <w:jc w:val="left"/>
        <w:rPr>
          <w:rFonts w:ascii="Times New Roman" w:hAnsi="Times New Roman"/>
          <w:sz w:val="20"/>
        </w:rPr>
      </w:pPr>
      <w:r>
        <w:rPr>
          <w:rFonts w:ascii="Times New Roman" w:hAnsi="Times New Roman"/>
          <w:sz w:val="20"/>
        </w:rPr>
        <w:t xml:space="preserve">Our products are produced with strict product quality control. Our quality control team undertakes robust inspections of our production lines in accordance with internal guidelines and assessment criteria. We also conduct licensed flight tests for our products under a variety of conditions, which have proven to be an efficient and effective means for us to assess the quality and airworthiness of our products. Data and results generated from flight tests are carefully studied and analyzed to inform any process of alteration or improvement that may follow. In conjunction with our provision of a broad range of after-sales services and assistance to our customers, our product quality control management extends beyond the point of sale as we continue tracking the performance and quality of our products. </w:t>
      </w:r>
    </w:p>
    <w:p>
      <w:pPr>
        <w:pStyle w:val="TextBody"/>
        <w:bidi w:val="0"/>
        <w:spacing w:before="240" w:after="0"/>
        <w:jc w:val="left"/>
        <w:rPr>
          <w:rFonts w:ascii="Times New Roman" w:hAnsi="Times New Roman"/>
          <w:sz w:val="20"/>
        </w:rPr>
      </w:pPr>
      <w:r>
        <w:rPr>
          <w:rFonts w:ascii="Times New Roman" w:hAnsi="Times New Roman"/>
          <w:sz w:val="20"/>
        </w:rPr>
        <w:t xml:space="preserve">We are committed to a high level of quality assurance. Since 2017, we have been certified to AS9100 or EN9100:2018, a globally recognized aerospace and aviation quality management system standard. Further, we obtained the PC from the CAAC in March 2024, allowing our continued mass production of the certified EH216-S. During the PC certification process, our mass production capabilities and quality management system, which encompasses raw materials, supplier management, production organization, production quality control, aircraft pre-delivery test, after-sales repair and maintenance, etc., have been thoroughly validated by the CAAC.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Supply Chain </w:t>
      </w:r>
    </w:p>
    <w:p>
      <w:pPr>
        <w:pStyle w:val="TextBody"/>
        <w:bidi w:val="0"/>
        <w:spacing w:before="120" w:after="0"/>
        <w:jc w:val="left"/>
        <w:rPr>
          <w:rFonts w:ascii="Times New Roman" w:hAnsi="Times New Roman"/>
          <w:sz w:val="20"/>
        </w:rPr>
      </w:pPr>
      <w:r>
        <w:rPr>
          <w:rFonts w:ascii="Times New Roman" w:hAnsi="Times New Roman"/>
          <w:sz w:val="20"/>
        </w:rPr>
        <w:t xml:space="preserve">We adopt a strict reviewing mechanism to ensure quality and stability of our supply chain. We also aim to fully engage with our suppliers to foster long-standing and strong partnership with qualified suppliers. Our Yunfu production facility is located in the Pearl River Delta area, a world-leading manufacturing hub, giving us easy access to a large number of high-quality suppliers in an efficient manner. Our products are generally manufactured on specific orders and we have been able to effectively manage our inventory level. Historically, we have not experienced significant delays in the supply or availability of our key raw materials or components provided by our suppliers, nor have we experienced a significant price increase for raw materials or components. </w:t>
      </w:r>
    </w:p>
    <w:p>
      <w:pPr>
        <w:pStyle w:val="TextBody"/>
        <w:bidi w:val="0"/>
        <w:spacing w:before="240" w:after="0"/>
        <w:jc w:val="left"/>
        <w:rPr>
          <w:rFonts w:ascii="Times New Roman" w:hAnsi="Times New Roman"/>
          <w:sz w:val="20"/>
        </w:rPr>
      </w:pPr>
      <w:r>
        <w:rPr>
          <w:rFonts w:ascii="Times New Roman" w:hAnsi="Times New Roman"/>
          <w:sz w:val="20"/>
        </w:rPr>
        <w:t xml:space="preserve">We require our suppliers to maintain high-quality deliverables and to comply with specified industry standards. Parts and components sourced from our suppliers must be certified by the China Compulsory Certification or the Underwriters Laboratory, and/or certified with the ISO 9001. Our suppliers of key parts and components are additionally required to be certified with AS9100 or alternative equivalent certificates. We regularly monitor the performance of our suppliers using parameters such as supplier defect rates, production and delivery performance, as well as inventory management.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Marketing, Sales and After-Sales Services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Marketing </w:t>
      </w:r>
    </w:p>
    <w:p>
      <w:pPr>
        <w:pStyle w:val="TextBody"/>
        <w:bidi w:val="0"/>
        <w:spacing w:before="120" w:after="0"/>
        <w:jc w:val="left"/>
        <w:rPr>
          <w:rFonts w:ascii="Times New Roman" w:hAnsi="Times New Roman"/>
          <w:sz w:val="20"/>
        </w:rPr>
      </w:pPr>
      <w:r>
        <w:rPr>
          <w:rFonts w:ascii="Times New Roman" w:hAnsi="Times New Roman"/>
          <w:sz w:val="20"/>
        </w:rPr>
        <w:t xml:space="preserve">As the first mover in the emerging AAM industry, we have spent years dedicated to educating the stakeholders of regulators, partners, customers and end users with our innovative and cutting-edge pilotless eVTOL aircraft technologies and knowledges, to increase social acceptance of this new way of air mobility, and to promote the visibility of our EHang brand and products globally. We believe these are necessary and significant efforts to accumulate our customer base and partner network, to cultivate the new market from the infancy stage evolving to the mature period, and to catalyze the establishment of AAM ecosystem for the commercial operations. </w:t>
      </w:r>
    </w:p>
    <w:p>
      <w:pPr>
        <w:pStyle w:val="TextBody"/>
        <w:bidi w:val="0"/>
        <w:spacing w:before="240" w:after="0"/>
        <w:jc w:val="left"/>
        <w:rPr>
          <w:rFonts w:ascii="Times New Roman" w:hAnsi="Times New Roman"/>
          <w:sz w:val="20"/>
        </w:rPr>
      </w:pPr>
      <w:r>
        <w:rPr>
          <w:rFonts w:ascii="Times New Roman" w:hAnsi="Times New Roman"/>
          <w:sz w:val="20"/>
        </w:rPr>
        <w:t xml:space="preserve">We kept communicating with our customers, investors and followers through multiple domestic and international online and offline channels and activities, including but not limited to our website, various social media and video platforms, e-commerce platforms, hotlines and emails, mainstream media coverages, brand and product launch events, high-profile exhibitions and industry conferences, worldwide trial and demonstration autonomous flights, etc. The consistent exposures and marketing efforts contributed to our brand awareness, reputation and sales leads.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w:t>
      </w:r>
    </w:p>
    <w:p>
      <w:pPr>
        <w:pStyle w:val="TextBody"/>
        <w:bidi w:val="0"/>
        <w:spacing w:before="120" w:after="0"/>
        <w:jc w:val="left"/>
        <w:rPr>
          <w:rFonts w:ascii="Times New Roman" w:hAnsi="Times New Roman"/>
          <w:sz w:val="20"/>
        </w:rPr>
      </w:pPr>
      <w:r>
        <w:rPr>
          <w:rFonts w:ascii="Times New Roman" w:hAnsi="Times New Roman"/>
          <w:sz w:val="20"/>
        </w:rPr>
        <w:t xml:space="preserve">We adopted the direct sales model to sell our products and solutions to our customers, which currently are mainly corporate clients. We have established an in-house direct sales team based in the PRC and Europe to serve our customers from around the world. We are also in discussion with existing and potential business partners in the PRC and abroad to complement our direct sales efforts with sales to distributors and franchise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 top of our sales in the PRC, we have exported our products to Asia, Europe, Africa, North America and South America. In 2023, we delivered our EH216 series products to customers in Japan, Brazil, Colombia, Saudi Arabia and Qatar. In 2024, we delivered our EH216 series products to customers in Japan, Brazil, the United Arab Emirates and the Dominican Republic. In 2025, we delivered five units of the EH216 series products to customers in Japan, Malaysia, Thailand and Korea. We strive to ensure that our exported products comply with the regulatory and safety standards of the local markets. </w:t>
      </w:r>
    </w:p>
    <w:p>
      <w:pPr>
        <w:pStyle w:val="TextBody"/>
        <w:bidi w:val="0"/>
        <w:spacing w:before="240" w:after="0"/>
        <w:jc w:val="left"/>
        <w:rPr>
          <w:rFonts w:ascii="Times New Roman" w:hAnsi="Times New Roman"/>
          <w:sz w:val="20"/>
        </w:rPr>
      </w:pPr>
      <w:r>
        <w:rPr>
          <w:rFonts w:ascii="Times New Roman" w:hAnsi="Times New Roman"/>
          <w:sz w:val="20"/>
        </w:rPr>
        <w:t xml:space="preserve">Our customers place purchase orders taking into account the terms of the relevant framework agreement, if applicable, and the customer’s procurement requirements. We start production after the purchase order from customers is made, and production generally takes three months to deliver. Customers are contractually required to make upfront payment to us. </w:t>
      </w:r>
    </w:p>
    <w:p>
      <w:pPr>
        <w:pStyle w:val="TextBody"/>
        <w:bidi w:val="0"/>
        <w:spacing w:before="240" w:after="0"/>
        <w:jc w:val="left"/>
        <w:rPr>
          <w:rFonts w:ascii="Times New Roman" w:hAnsi="Times New Roman"/>
          <w:sz w:val="20"/>
        </w:rPr>
      </w:pPr>
      <w:r>
        <w:rPr>
          <w:rFonts w:ascii="Times New Roman" w:hAnsi="Times New Roman"/>
          <w:sz w:val="20"/>
        </w:rPr>
        <w:t xml:space="preserve">Except for purchase orders, we have also entered into a number of long-term framework and conditional agreements time to time with our customers and business partners relating to preorder or distribution of our products and solutions. These non-binding agreements do not obligate the customers to purchase the products unless certain conditions are satisfied. Fulfillment is expected to take several years and is conditional upon, among other things, achievement of performance milestones and receipt of regulatory approvals. See “Item 3. Key Information—D. Risk Factors—Risks Relating to Our Business and Industry—Our framework and conditional agreements may not result in material sales of our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After-Sales Services and Warranty </w:t>
      </w:r>
    </w:p>
    <w:p>
      <w:pPr>
        <w:pStyle w:val="TextBody"/>
        <w:bidi w:val="0"/>
        <w:spacing w:before="120" w:after="0"/>
        <w:jc w:val="left"/>
        <w:rPr>
          <w:rFonts w:ascii="Times New Roman" w:hAnsi="Times New Roman"/>
          <w:sz w:val="20"/>
        </w:rPr>
      </w:pPr>
      <w:r>
        <w:rPr>
          <w:rFonts w:ascii="Times New Roman" w:hAnsi="Times New Roman"/>
          <w:sz w:val="20"/>
        </w:rPr>
        <w:t xml:space="preserve">We provide after-sales services for customers of our products. We currently offer free installation and training programs thereafter to prepare our customers for its safe operation. The term of our warranty for the EH216 series products is six months to three years depending on the specific parts and components, and the term of our warranty for our small-and-medium-sized UAVs is from six to twelve months depending on the product line and the specific parts and components. Within the warranty period, customers are entitled to free repair and maintenance services, while costs for accessories and maintenance fees beyond the warranty will be charged separately. The warranty on certain components of our products, such as batteries, is covered by our suppliers’ back-to-back warranty and we are entitled to have the suppliers replace or repair these defective components at their costs. We also provide our customers with lifetime consulting services on maintenance and operation through our website, over the telephone and via email.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our commercial solutions, we provide a full spectrum of services. To facilitate the efficient operation of our command-and-control systems, we provide, among others, system operation and maintenance training, service support, engineering support, inspection and repair, and technical consulting support. Our customers enjoy services throughout the operational life of our command-and-control systems. Most of these services are performed on-site. </w:t>
      </w:r>
    </w:p>
    <w:p>
      <w:pPr>
        <w:pStyle w:val="TextBody"/>
        <w:bidi w:val="0"/>
        <w:spacing w:before="240" w:after="0"/>
        <w:jc w:val="left"/>
        <w:rPr>
          <w:rFonts w:ascii="Times New Roman" w:hAnsi="Times New Roman"/>
          <w:sz w:val="20"/>
        </w:rPr>
      </w:pPr>
      <w:r>
        <w:rPr>
          <w:rFonts w:ascii="Times New Roman" w:hAnsi="Times New Roman"/>
          <w:sz w:val="20"/>
        </w:rPr>
        <w:t xml:space="preserve">We continue to maintain and upgrade our airborne software infrastructure to enhance the functionality, reliability and safety of our products. We regularly inspect, maintain and upgrade the fundamental communication network and transmission system to ensure the smooth communication between our aircraft and the command-and-control systems.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Operational Services </w:t>
      </w:r>
    </w:p>
    <w:p>
      <w:pPr>
        <w:pStyle w:val="TextBody"/>
        <w:bidi w:val="0"/>
        <w:spacing w:before="120" w:after="0"/>
        <w:jc w:val="left"/>
        <w:rPr>
          <w:rFonts w:ascii="Times New Roman" w:hAnsi="Times New Roman"/>
          <w:sz w:val="20"/>
        </w:rPr>
      </w:pPr>
      <w:r>
        <w:rPr>
          <w:rFonts w:ascii="Times New Roman" w:hAnsi="Times New Roman"/>
          <w:sz w:val="20"/>
        </w:rPr>
        <w:t xml:space="preserve">With our strategic positioning to be a AAM platform operator, we adopt an integrated business model by selling products and solutions and providing operational services. </w:t>
      </w:r>
    </w:p>
    <w:p>
      <w:pPr>
        <w:pStyle w:val="TextBody"/>
        <w:bidi w:val="0"/>
        <w:spacing w:before="240" w:after="0"/>
        <w:jc w:val="left"/>
        <w:rPr>
          <w:rFonts w:ascii="Times New Roman" w:hAnsi="Times New Roman"/>
          <w:sz w:val="20"/>
        </w:rPr>
      </w:pPr>
      <w:r>
        <w:rPr>
          <w:rFonts w:ascii="Times New Roman" w:hAnsi="Times New Roman"/>
          <w:sz w:val="20"/>
        </w:rPr>
        <w:t xml:space="preserve">For commercial operations, we have established a well-trained in-house air mobility operation team specifically for flight operations of our pilotless eVTOL aircraft, including the staff for route planning, flight operations, safety management, regulatory compliance, digital operational platform, sales and marketing.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we and our customers have completed about 83,000 safe flights in 21 countries across Asia, Europe, the Americas and Africa, predominantly with the EH216 series pilotless eVTOL aircraft in China, mainly for aerial sightseeing and tourism applications. In this process, we have been exploring and improving operational procedures and safety rules, running our digital UAM operational platform on a trial basis, and developing feasible, replicable operational expertise and mode. It lays a solid foundation for our eVTOL operators to initiate commercial operations after required certifications and approvals are completed.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We operate in the emerging AAM industry, and provide various commercial solutions, including air mobility, smart city management and aerial media solutions. Our air mobility solutions may be alternatives with better efficiency and economics to those offered by traditional industry players, such as helicopters and ground transportation service providers. We believe the primary competitive factors in our markets include technological innovation, safety, certification, quality, user experience, and operational and manufacturing efficiency. </w:t>
      </w:r>
    </w:p>
    <w:p>
      <w:pPr>
        <w:pStyle w:val="TextBody"/>
        <w:bidi w:val="0"/>
        <w:spacing w:before="240" w:after="0"/>
        <w:jc w:val="left"/>
        <w:rPr>
          <w:rFonts w:ascii="Times New Roman" w:hAnsi="Times New Roman"/>
          <w:sz w:val="20"/>
        </w:rPr>
      </w:pPr>
      <w:r>
        <w:rPr>
          <w:rFonts w:ascii="Times New Roman" w:hAnsi="Times New Roman"/>
          <w:sz w:val="20"/>
        </w:rPr>
        <w:t xml:space="preserve">We believe we are the first mover and a leader in air mobility solutions. We are the world’s first company to secure the TC, PC, standard AC and OC for human-carrying pilotless eVTOL aircraft from the aviation authority, allowing for commercial operations and mass production of our eVTOL aircraft. In comparison, according to our knowledge, most of our domestic and foreign peer companies have no such certificates yet and may still need years for them to obtain. In addition, our eVTOL aircraft’s unique features of compact, lightweight design, and autonomous flying and cluster management technologies enable higher safety, efficiency and economics for air taxi commercial operations in urban areas compared with other larger-sized, heavier, human-piloted, higher-cost aircraft products. In other areas of our business, including aerial logistics, smart city management and aerial media solutions, we also face several major competitors in separate field. We believe that we are strategically positioned in the commercial AAM market with exceptional pilotless eVTOL aircraft technologies, innovation capabilities, certifications, broad use cases and leading positions in providing integrated smart city management solutions and aerial media solutions.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have significant capabilities in the areas of engineering, development and design and have developed a number of proprietary products, systems and technologies. Our success depends in part on our ability to protect our core technologies and intellectual property. We rely on a combination of patents, patent applications, trade secrets, know-how, copyrights, trademarks, intellectual property licenses and other contractual rights to establish and protect our proprietary rights in our technologies. In addition, we have entered into confidentiality and non-disclosure agreements with our employees and business partners. The agreements we entered into with employees provide that all software, inventions, developments, works of authorship and trade secrets created by them during the course of their employment are our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2025, we had 506 issued patents, 324 pending patent applications, 698 registered trademarks, and 25 registered software copyrights. We will continue to expand our intellectual property portfolio.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nature of our business model, our overall business may experience a pattern of seasonality. For instance, some of our specific businesses such as aerial media solutions have showed seasonality in which we may receive more revenues from such business in major holidays. We may also have a lower number of deliveries of our products in the first quarter of each fiscal year due to holiday seasons. We may experience more pronounced seasonality as our business continues to expand.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w:t>
      </w:r>
    </w:p>
    <w:p>
      <w:pPr>
        <w:pStyle w:val="TextBody"/>
        <w:bidi w:val="0"/>
        <w:spacing w:before="120" w:after="0"/>
        <w:jc w:val="left"/>
        <w:rPr>
          <w:rFonts w:ascii="Times New Roman" w:hAnsi="Times New Roman"/>
          <w:sz w:val="20"/>
        </w:rPr>
      </w:pPr>
      <w:r>
        <w:rPr>
          <w:rFonts w:ascii="Times New Roman" w:hAnsi="Times New Roman"/>
          <w:sz w:val="20"/>
        </w:rPr>
        <w:t xml:space="preserve">We maintain various types of insurance, employer’s liability insurance, to protect assets in the event of any accident that might cause significant losses. We also purchase insurance policies that are either legally compulsory or required by our customers. For example, we maintain third-party liability insurance for UAVs, which is required for our commercial operation license. We have liability insurances with coverage and conditions that we consider appropriate. For example, we maintain aviation product liability insurance, which covers bodily injury or property damage caused by defects in our products. In relation to our human-carrying pilotless eVTOL aircraft in operation, we have maintained airplane body and flight insurance to cover damages to passengers and third-party liabilities. We believe that our insurance coverage is adequate to cover our key assets, facilities and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PRC Regulation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sets forth a summary of the most significant rules and regulations that affect our business activities in China.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Laws and Regulations Relating to Civil Aviation Administration </w:t>
      </w:r>
    </w:p>
    <w:p>
      <w:pPr>
        <w:pStyle w:val="TextBody"/>
        <w:bidi w:val="0"/>
        <w:spacing w:before="120" w:after="0"/>
        <w:jc w:val="left"/>
        <w:rPr>
          <w:rFonts w:ascii="Times New Roman" w:hAnsi="Times New Roman"/>
          <w:sz w:val="20"/>
        </w:rPr>
      </w:pPr>
      <w:r>
        <w:rPr>
          <w:rFonts w:ascii="Times New Roman" w:hAnsi="Times New Roman"/>
          <w:sz w:val="20"/>
        </w:rPr>
        <w:t xml:space="preserve">On October 30, 1995, the Standing Committee of the National People’s Congress of the People’s Republic of China adopted the Civil Aviation Law of the People’s Republic of China (hereinafter referred to as the “Civil Aviation Law”), which was subsequently amended on August 27, 2009, April 24, 2015, November 7, 2016, November 4, 2017, December 29, 2018 and April 29, 2021. The Civil Aviation Law establishes the general principles and rules for civil aviation administration and domestic airspace management. Pursuant to the Civil Aviation Law, the State has absolute and exclusive sovereignty over its territorial airspace. The division of airspace must take into consideration the needs of both civil aviation and national defense and security, as well as the interests of the public, with a view to effect a rational, full and efficient use of the airspace. Detailed measures for airspace control will be formulated by the State Council and the Central Military Commission. The State Council’s department in charge of civil aviation will exercise uniform supervision and administration of civil aviation activities nationwide and will, in accordance with the law and the decisions of the State Council and within the limits of its authority, promulgate regulations and decisions concerning civil aviation activities. Regional civil aviation administration office established by the State Council’s department in charge of civil aviation will supervise and administer civil aviation activities within their respective regions in accordance with the authority delegated by the State Council’s department in charge of civil aviation. In addition, where it is otherwise provided for by the State Council or the Central Military Commission on the administration of unmanned aircrafts, such provisions shall prevail. </w:t>
      </w:r>
    </w:p>
    <w:p>
      <w:pPr>
        <w:pStyle w:val="TextBody"/>
        <w:bidi w:val="0"/>
        <w:spacing w:before="240" w:after="0"/>
        <w:jc w:val="left"/>
        <w:rPr>
          <w:rFonts w:ascii="Times New Roman" w:hAnsi="Times New Roman"/>
          <w:sz w:val="20"/>
        </w:rPr>
      </w:pPr>
      <w:r>
        <w:rPr>
          <w:rFonts w:ascii="Times New Roman" w:hAnsi="Times New Roman"/>
          <w:sz w:val="20"/>
        </w:rPr>
        <w:t xml:space="preserve">On May 24, 2017, the Ministry of Transport promulgated the Civil Aviation Product and Parts Certification Regulations (hereinafter referred to as “CCAR-21”), which came into force on July 1, 2017. The purpose of these Regulations is to ensure the airworthiness of civil aviation products and parts, and they apply to the type certification, production certification and airworthiness certification of civil aviation products and parts.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11, 2022, the Ministry of Transport promulgated the Certificate Rules on Civil Aircraft Maintenance Organization (hereinafter referred to as “CCAR-145”), which came into force on July 1, 2022. The purpose of these Rules is to regulate the issuance and administration of civil aircraft maintenance organization certificates and ensure the continued airworthiness and flight safety of civil aircrafts, and apply to the qualification certification, supervision and administration of organizations which have obtained civil aircraft maintenance organization certificates (hereinafter referred to as the “MO”). MO include Independent MO and Operator’s MO; Independent MO shall include Domestic MO and Foreign MO. </w:t>
      </w:r>
    </w:p>
    <w:p>
      <w:pPr>
        <w:pStyle w:val="TextBody"/>
        <w:bidi w:val="0"/>
        <w:spacing w:before="240" w:after="0"/>
        <w:jc w:val="left"/>
        <w:rPr>
          <w:rFonts w:ascii="Times New Roman" w:hAnsi="Times New Roman"/>
          <w:sz w:val="20"/>
        </w:rPr>
      </w:pPr>
      <w:r>
        <w:rPr>
          <w:rFonts w:ascii="Times New Roman" w:hAnsi="Times New Roman"/>
          <w:sz w:val="20"/>
        </w:rPr>
        <w:t xml:space="preserve">On May 31, 2023, the State Council and the Central Military Commission jointly promulgated the Interim Regulations on the Operation Management of Unmanned Aerial Vehicle (hereinafter referred to as the “Interim Regulations on UAV”), which entered into force on January 1, 2024. The Interim Regulations on UAV classify UAV into five categories (micro, light, small, medium and large) based on performance indicators, and establish a full-chain management system covering airworthiness certification, registration management, operation requirements, airspace and flight activity management, operator management, liability insurance, etc. As China’s first administrative regulation comprehensively regulating the flight management of UAV, the Interim Regulations on UAV clarify the management system, objects and contents, realize the legalization of classification, scope, authority, procedures and responsibilities, and provide important guidelines for the high-quality implementation of low-altitude safety management.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1, 2024, the Ministry of Transport promulgated the Rules for the Administration of Operational Safety of Civil Unmanned Aerial Vehicle (hereinafter referred to as the “UAV Safety Rules” or “CCAR-92”), which entered into force on the same day. The UAV Safety Rules require real-name registration and risk-based operational classification of UAVs, clarify the basic requirements, scope of application, application and review procedures for airworthiness management, airspace management and operation management, and specify safety operation requirements for operators. Its promulgation marks PRC’s entry into an era of standardized and legalized unmanned aircraft supervision, and has become a milestone in maintaining aviation order, ensuring public safety, and promoting the healthy and orderly development of the AAM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Airworthiness Management of UAV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Design Approval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Design approval refers to a certificate issued by the Civil Aviation Administration of China (the “CAAC”) to confirm that the design of a model of aviation product complies with relevant airworthiness regulations and requirements. Forms of design approval include Type Certificates (“TC”) and Supplemental Type Certificates. A civil aircraft can only be put into production and use after passing type certification.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Civil Aviation Law, application shall be filed with the competent civil aviation authority under the State Council for type certificate for the design of civil aircraft and is engines, propellers and on-board equipment. A type certificate shall be issued accordingly if found qualified through examination.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relevant provisions of the Interim Regulations on UAV, CCAR-92 and CCAR-21, entities engaged in the design of medium and large unmanned aircraft systems (including unmanned aircraft and their remote-control stations, etc.) shall apply to the competent civil aviation authority of the State Council for design approval of civil unmanned aircraft in accordance with the law. The “Design Approval” chapter of CCAR-92 specifies the application and issuance of Type Certificates and Supplemental Type Certificates, the administration of certificate holders, and the basic requirements for the design assurance systems of applicants and holders. </w:t>
      </w:r>
    </w:p>
    <w:p>
      <w:pPr>
        <w:pStyle w:val="TextBody"/>
        <w:bidi w:val="0"/>
        <w:spacing w:before="240" w:after="0"/>
        <w:jc w:val="left"/>
        <w:rPr>
          <w:rFonts w:ascii="Times New Roman" w:hAnsi="Times New Roman"/>
          <w:sz w:val="20"/>
        </w:rPr>
      </w:pPr>
      <w:r>
        <w:rPr>
          <w:rFonts w:ascii="Times New Roman" w:hAnsi="Times New Roman"/>
          <w:sz w:val="20"/>
        </w:rPr>
        <w:t xml:space="preserve">The Airworthiness Certification Management Procedure for Civil Unmanned Aircraft System (hereinafter referred to as the “Airworthiness Certification Management Procedure”) issued by CAAC on December 19, 2022, specifies the certification principles for design approval, specific requirements for design assurance systems, type certification processes, and the administration of design approval. In addition, CCAR-92 clearly sets out the eligibility requirements for applicants for design approval: applicants shall have established or be in the process of establishing a design assurance system that meets the requirements, formulated a design assurance manual in compliance with CAAC’s requirements, and further specifies the application documents and applicable requirements for the corresponding civil unmanned aircraft systems.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CCAR-92, an applicant may obtain a Type Certificate for the corresponding civil unmanned aircraft system if it has established a design assurance system that meets the requirements, and the corresponding civil unmanned aircraft system complies with the applicable requirements and conditions confirmed by CAAC. For design modifications to civil unmanned aircraft systems, CAAC may issue a Supplemental Type Certificate to the applicant if it confirms that the applicant has a design assurance system that meets the requirements and the design modification applied for approval complies with the applicable requirements.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by laws, regulations and rules, Type Certificates and Supplemental Type Certificates shall be valid for a long term.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Production Approval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Production approval refers to a certificate issued by CAAC to entity to authorize the production of civil aviation products in accordance with the approved design and quality system. For an entity engaging the business of manufacturing civil aircraft products, this certificate is the Production Certificate (“PC”).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Civil Aviation Law, application shall be filed with the competent civil aviation authority under the State Council for production certificate for the production of civil aircraft and is engines, propellers and on-board equipment. A production certificate shall be issued accordingly if found qualified through examination.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relevant provisions of the Interim Regulations on UAV, CCAR-92 and CCAR-21, entities engaged in the production of medium and large civil unmanned aircraft systems shall apply to the competent civil aviation authority of the State Council for production approval of civil unmanned aircraft in accordance with the law. The “Production Approval” chapter of CCAR-92 specifies the application and issuance of Production Certificates, the administration of Production Certificate holders, and the management of production based on Type Certificates. </w:t>
      </w:r>
    </w:p>
    <w:p>
      <w:pPr>
        <w:pStyle w:val="TextBody"/>
        <w:bidi w:val="0"/>
        <w:spacing w:before="240" w:after="0"/>
        <w:jc w:val="left"/>
        <w:rPr>
          <w:rFonts w:ascii="Times New Roman" w:hAnsi="Times New Roman"/>
          <w:sz w:val="20"/>
        </w:rPr>
      </w:pPr>
      <w:r>
        <w:rPr>
          <w:rFonts w:ascii="Times New Roman" w:hAnsi="Times New Roman"/>
          <w:sz w:val="20"/>
        </w:rPr>
        <w:t xml:space="preserve">CCAR-92 clearly sets out the eligibility and requirements for Production Certificate applicants: applicants for Production Certificates must hold or have applied for a Type Certificate or Supplemental Type Certificate, and shall establish and document a quality system that meets CAAC’s regulations and provide a quality manual. In addition, the Production Approval and Supervision Procedure issued by CAAC on December 6, 2023, further specifies the specific requirements and review processes for production approval, as well as the supervision requirements for Type Certificates holders and product-based system review requirements. </w:t>
      </w:r>
    </w:p>
    <w:p>
      <w:pPr>
        <w:pStyle w:val="TextBody"/>
        <w:bidi w:val="0"/>
        <w:spacing w:before="240" w:after="0"/>
        <w:jc w:val="left"/>
        <w:rPr>
          <w:rFonts w:ascii="Times New Roman" w:hAnsi="Times New Roman"/>
          <w:sz w:val="20"/>
        </w:rPr>
      </w:pPr>
      <w:r>
        <w:rPr>
          <w:rFonts w:ascii="Times New Roman" w:hAnsi="Times New Roman"/>
          <w:sz w:val="20"/>
        </w:rPr>
        <w:t xml:space="preserve">Pursuant to CCAR-92, after confirming that the applicant meets the relevant requirements, CAAC shall issue a Production Certificate to the applicant, authorizing it to conduct production activities in accordance with the specified quality manual. The issuance of a Production Certificate indicates that the applicant has established a complete quality system that meets the requirements, ensuring that each civil unmanned aircraft and its components produced comply with the approved design and are in a safe and usable condition. If civil unmanned aircraft systems have similar production characteristics, more than one type of civil unmanned aircraft system may be produced under a single Production Certificate. The Production Limitation Record is part of the Production Certificate, which lists the serial numbers and types of the Type Certificates or Supplemental Type Certificates of each civil unmanned aircraft system permitted to be produced by the Production Certificates 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by laws, regulations and rules, Production Certificates shall be valid for a long term. If the location of production facilities is changed, additional Type Certificates or Supplemental Type Certificates are added, additional product types of civil unmanned aircraft are added, or both design approval and product types are added, the applicant shall apply to CAAC for modification of the Production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pursuant to the Several Provisions on the Administration of the Production of Civil Unmanned Aerial Vehicle promulgated by the Ministry of Industry and Information Technology on December 18, 2023 and effective as of January 1, 2024, civil UAV producers shall assign a unique product identification code to each civil UAV they produce, which shall include the producer’s name code, product model code and serial number. Civil UAV producers shall file the information of the unique product identification code with the Ministry of Industry and Information Technology before putting the civil UAV into the market. Civil UAV producers shall not install malicious programs in civil UAV; if they discover defect or loophole etc. in network or data security in UAV, they shall immediately take remedial measures, promptly inform users in accordance with relevant national regulations, and report to the competent industry and information technology department of the local people’s government at or above the county level at its domicile or to the competent department of communications at the provincial level. The State encourages producers of civil unmanned aircraft to protect cyber and information security by using commercial passwords and other technical means according to the law.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60"/>
        <w:gridCol w:w="2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Airworthiness Approval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Airworthiness approval refers to a certificate issued by CAAC for certain product of an aircraft, aircraft engine, propeller or component to confirm that such aircraft, aircraft engine, propeller or component complies with the approved design and is in a safe and usable condition. Pursuant to the Civil Aviation Law, a civil aircraft possessing the nationality of the PRC may fly only if it holds an Airworthiness Certificate (“AC”) issued by the competent civil aviation authority of the State Council.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relevant provisions of the Interim Regulations on UAV, CCAR-92 and CCAR-21, airworthiness approval applies to medium and large civil unmanned aircraft systems engaged in specific category operations and certified category operations. The “Airworthiness Approval” chapter of CCAR-92 specifies the application, issuance and administration of Airworthiness Certificates such as Standard Airworthiness Certificates, Special Airworthiness Certificates, Special Flight Permits and Export Airworthiness Certificates, among which: Standard Airworthiness Certificates apply to normal and transport category civil unmanned aircraft systems that have obtained Type Certificates; Special Airworthiness Certificates apply to restricted category civil unmanned aircraft systems that have obtained Type Certificates; Special Flight Permits apply to civil unmanned aircraft systems that have not obtained valid Airworthiness Certificates or may not meet relevant airworthiness requirements but can safely conduct relevant flight activities under certain restrictive conditions.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civil unmanned aircraft systems intended for export overseas, if the importing country has special requirements, the exporter or its authorized representative shall apply for an Export Airworthiness Certificate for the system in accordance with the relevant requirements proposed by the importing country. However, the Export Airworthiness Certificate shall not serve as a document approving the operation of the civil unmanned aircraft system. </w:t>
      </w:r>
    </w:p>
    <w:p>
      <w:pPr>
        <w:pStyle w:val="TextBody"/>
        <w:bidi w:val="0"/>
        <w:spacing w:before="240" w:after="0"/>
        <w:jc w:val="left"/>
        <w:rPr>
          <w:rFonts w:ascii="Times New Roman" w:hAnsi="Times New Roman"/>
          <w:sz w:val="20"/>
        </w:rPr>
      </w:pPr>
      <w:r>
        <w:rPr>
          <w:rFonts w:ascii="Times New Roman" w:hAnsi="Times New Roman"/>
          <w:sz w:val="20"/>
        </w:rPr>
        <w:t xml:space="preserve">Pursuant to CCAR-92 and the Airworthiness Certification Management Procedure, the owner or possessor of a civil unmanned aircraft system that has completed real-name registration in accordance with relevant requirements may apply for an Airworthiness Certificate for the civil unmanned aircraft system. The applicant shall submit an application form and relevant documents proving the airworthiness of the aircraft system, and accept the airworthiness inspection of the aircraft system by CAAC. CAAC shall issue the Airworthiness Certificate after completing the airworthiness inspection and confirming that the applicant meets the requirements. However, for new civil unmanned aircraft systems manufactured in accordance with Production Certificates, CAAC may issue the Airworthiness Certificate without conducting an airworthiness inspection after verifying the application materials submitted by the applicant. Any modification to the Airworthiness Certificate of a civil unmanned aircraft system shall be applied for to CAAC. </w:t>
      </w:r>
    </w:p>
    <w:p>
      <w:pPr>
        <w:pStyle w:val="TextBody"/>
        <w:bidi w:val="0"/>
        <w:spacing w:before="240" w:after="0"/>
        <w:jc w:val="left"/>
        <w:rPr>
          <w:rFonts w:ascii="Times New Roman" w:hAnsi="Times New Roman"/>
          <w:sz w:val="20"/>
        </w:rPr>
      </w:pPr>
      <w:r>
        <w:rPr>
          <w:rFonts w:ascii="Times New Roman" w:hAnsi="Times New Roman"/>
          <w:sz w:val="20"/>
        </w:rPr>
        <w:t xml:space="preserve">During the registration of a civil unmanned aircraft in the PRC, unless the Airworthiness Certificate is suspended, revoked, or CAAC specifies an expiration date otherwise, the Airworthiness Certificate shall remain valid for a long term if the civil unmanned aircraft is maintained in accordance with relevant regulations and operated in compliance with operational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Ensuring Continuous Airworthiness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Civil Aviation Law, the owner or lessee of a civil aircraft shall use the aircraft in accordance with the scope of use prescribed in airworthiness certificate, conscientiously carry out the maintenance of aircraft, and ensure its airworthiness.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CCAR-145, Independent MO and Operator’s MO (including Domestic MO and Foreign MO) engaged in the maintenance of civil aircraft, their engines, propellers and on-board equipment shall apply for and obtain a Maintenance Certificate. The Independent MO refers to a MO which is independent from aircraft operators; the Operator’s MO refers to the MO set up by an operator or jointly with others, but controlled or actually managed by the operator, and designated to provide maintenance services for the aircraft or aircraft components of the operator itself. The operator’s MO shall be treated as an independent MO while providing maintenance services for the third-party organizations. The Maintenance Certificate is applicable for enterprises commercial routes and perform maintenance work in-house, but it remains unclear under the requirement set forth in the CCAR-145 that whether manufacturers that provide repair and maintenance services are required to obtain the Maintenance Certificate. In addition, given that we are a manufacturer of civil aircraft, whose corresponding maintenance business is not segregated from the production line and who does not provide maintenance services for civil aircraft products produced by third-party manufacturers, we are therefore not considered an Independent MO, nor do we need to obtain Maintenance Certificate at the present stage. </w:t>
      </w:r>
    </w:p>
    <w:p>
      <w:pPr>
        <w:pStyle w:val="TextBody"/>
        <w:bidi w:val="0"/>
        <w:spacing w:before="240" w:after="0"/>
        <w:jc w:val="left"/>
        <w:rPr>
          <w:rFonts w:ascii="Times New Roman" w:hAnsi="Times New Roman"/>
          <w:sz w:val="20"/>
        </w:rPr>
      </w:pPr>
      <w:r>
        <w:rPr>
          <w:rFonts w:ascii="Times New Roman" w:hAnsi="Times New Roman"/>
          <w:sz w:val="20"/>
        </w:rPr>
        <w:t xml:space="preserve">Pursuant to CCAR-92, to ensure the airworthiness of civil unmanned aircraft systems, operators shall designate maintenance personnel or organizations with specific qualifications to perform the following maintenance work. Except that the qualifications of maintenance personnel or organizations for civil unmanned aircraft based on traditional aircraft design shall comply with the relevant requirements of the General Operating and Flight Rules (hereinafter referred to as “CCAR-91”), the qualification requirements for personnel or organizations performing maintenance work on civil unmanned aircraft systems are as follows: (i) for non-complex maintenance work on medium and large civil unmanned aircraft and their components, the work shall be performed by at least personnel who have passed the model-specific maintenance training in accordance with the specifications recommended by the manufacturer; (ii) for maintenance work on small civil unmanned aircraft, the work shall be performed by at least personnel who have passed the necessary unmanned aircraft maintenance knowledge and model-specific maintenance training; (iii) any personnel who have obtained a maintenance personnel license in accordance with the Civil Aircraft Maintenance Personnel License Management Rules (hereinafter referred to as “CCAR-66”) shall be deemed to meet the qualification requirements of the aforementioned personnel; (iv) for complex maintenance work on medium and large civil unmanned aircraft and their components, the work shall be performed by MO approved in accordance with the CCAR-145; (v) for maintenance work on remote control stations and control links, the work shall be performed by personnel who have passed the special training recommended by the manufacturer of the civil unmanned aircraft system or its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The Aircraft Evaluation Group (AEG) of CAAC issued the EH216-S Aircraft Evaluation Report (AER.080E—Initial Version) on June 15, 2024, confirming that the content specified in the “Maintenance Personnel Qualification Specifications” chapter of the report will serve as the qualification requirements for maintenance personnel under the framework of China’s civil aviation regulations. The report clarifies that, given that the EH216-S unmanned aircraft is not based on traditional aircraft design, there is no requirement for maintenance personnel to hold an aircraft maintenance personnel license or model endorsement, but they shall complete the training in accordance with the EH216-S Unmanned Aircraft System Model-Specific Maintenance Training Specifications (Document No.: S-942TD521, Version A and subsequent revisions). The aforementioned training specifications mainly target the non-complex maintenance work of the EH216-S unmanned aircraft and its components and note that the EH216-S unmanned aircraft system does not involve complex maintenance work at present. The operational and continuous airworthiness documents recognized by AEG, including but not limited to the EH216-S Flight Manual, EH216-S Maintenance Manual and EH216-S Remote Operator Manual, and their revisions, will be directly provided by EHang to aviation operators or MO. In addition, EHang may provide model- specific maintenance training for maintenance personnel of the EH216-S unmanned aircraft system.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Registration Management of UAV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relevant provisions of the Interim Regulations on UAV and CCAR-92, the owner of a civil unmanned aircraft shall conduct real-name registration in accordance with the law, and the specific measures shall be formulated by the competent civil aviation authority under the State Council jointly with other relevant departments. Civil unmanned aircraft used for overseas flights shall make nationality registration pursuant to the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Real-Name Registration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relevant provisions of the Measures for the Administration of Real-Name Registration of Civil Unmanned Aircraft issued and implemented by CAAC on May 16, 2017, owners of civil unmanned aircraft must conduct real-name registration in accordance with the requirements as of June 1, 2017. </w:t>
      </w:r>
    </w:p>
    <w:p>
      <w:pPr>
        <w:pStyle w:val="TextBody"/>
        <w:bidi w:val="0"/>
        <w:spacing w:before="240" w:after="0"/>
        <w:jc w:val="left"/>
        <w:rPr>
          <w:rFonts w:ascii="Times New Roman" w:hAnsi="Times New Roman"/>
          <w:sz w:val="20"/>
        </w:rPr>
      </w:pPr>
      <w:r>
        <w:rPr>
          <w:rFonts w:ascii="Times New Roman" w:hAnsi="Times New Roman"/>
          <w:sz w:val="20"/>
        </w:rPr>
        <w:t xml:space="preserve">Pursuant to CCAR-92, the owner of a civil unmanned aircraft shall conduct real-name registration on the Civil Unmanned Aircraft Comprehensive Management Platform (UOM) in accordance with the provisions and obtain a registration mark before activating and using the civil unmanned aircraft. As of January 1, 2024, producers of civil unmanned aircraft shall ensure that the unmanned aircraft they produce are equipped with the function of being activated and used only after real-name registration and shall register the model information of their produced products on the UOM. If the contact information or other information of the owner or possessor changes or the use of the civil unmanned aircraft changes, the owner shall update the information. The validity period of real-name registration shall be from the date of issuance to the date of cancelation of registration.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75"/>
        <w:gridCol w:w="110"/>
        <w:gridCol w:w="60"/>
        <w:gridCol w:w="2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Nationality Registration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CCAR-92 and the Civil Unmanned Aircraft Nationality Registration Management Procedure issued by CAAC on January 20, 2023, civil unmanned aircraft involved in overseas flights or manned flights shall apply for the nationality of civil unmanned aircraft of the PRC in accordance with the requirements. A civil unmanned aircraft shall not have dual nationalities. The applicant shall fill in an application form for a nationality registration certificate. If the application is deemed to comply with the provisions after review, CAAC shall issue a nationality registration certificate and register it in the Nationality Register of Civil Unmanned Aircraft of the PRC. The validity period of the nationality registration certificate of a civil unmanned aircraft shall be from the date of issuance to the date of modification or cancelation of registration. </w:t>
      </w:r>
    </w:p>
    <w:p>
      <w:pPr>
        <w:pStyle w:val="TextBody"/>
        <w:bidi w:val="0"/>
        <w:spacing w:before="240" w:after="0"/>
        <w:jc w:val="left"/>
        <w:rPr>
          <w:rFonts w:ascii="Times New Roman" w:hAnsi="Times New Roman"/>
          <w:sz w:val="20"/>
        </w:rPr>
      </w:pPr>
      <w:r>
        <w:rPr>
          <w:rFonts w:ascii="Times New Roman" w:hAnsi="Times New Roman"/>
          <w:sz w:val="20"/>
        </w:rPr>
        <w:t xml:space="preserve">Operators operating civil unmanned aircraft with the nationality registration of the PRC outside the territory of the PRC shall comply with the following provisions: (i) over the high seas, comply with the annexes to the Convention on International Civil Aviation and relevant rules; (ii) within the territory of other countries, comply with the effective laws, regulations and procedures of the host country concerning the operation of civil unmanned aircraft.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on Operation Management of UAV </w:t>
      </w:r>
    </w:p>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Operation Approval Management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Civil Aviation Law, general aviation refers to civil aviation operations other than public air transport with civil aircraft, including aerial work in the fields of industry, agriculture, forestry, fishery and building industry, as well as flight operations in medical and health work, emergency and disaster relief, meteorological service, ocean monitoring, scientific experiments, education and training, culture and sports. Organizations which engage in general purpose aviation of a non-business nature shall file with the State Council’s department in charge of civil aviation for the record. An organization which engages in general purpose aviation of a business nature must apply for a Business Permit For General Purpose Aviation with the State Council’s department in charge of civil aviation. On August 4, 2020, the Ministry of Transport promulgated the Measures for the Administration of General Aviation Operation Approval (hereinafter referred to as “CCAR-290”), which came into force on January 1, 2021. Pursuant to which, enterprises engaged in commercial general aviation activities shall obtain a Business Permit for General Purpose Aviation. Civil aircraft include manned aircraft and unmanned aircraft. Therefore, prior to the entry into force of the Interim Regulations on UAV, enterprises engaged in general aviation operations were required to apply for a Business Permit for General Purpose Aviation.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relevant provisions of the Interim Regulations on UAV and CCAR-92, units using civil unmanned aircraft other than micro civil unmanned aircraft for flight activities shall meet the following conditions and apply to the competent civil aviation authority of the State Council or the regional civil aviation administrative agency for a Remotely Piloted Aircraft Systems (RPAS) Air Operator Certificate (hereinafter referred to as “Operator Certificate” or “OC”): (i) have the management institutions, management personnel and operators meeting the requirements of these Regulations for the implementation of safe operations; (ii) have unmanned aircraft and relevant facilities and equipment meeting the requirements of safe operations;(iii) have the management systems and operating procedures required for the implementation of safe operations to ensure the continuous ability to implement safe operations in accordance with the systems and procedures; (iv) for units engaged in commercial activities, they shall also be profit-making legal persons. After receiving the application, the civil aviation administrative department shall conduct an operational safety assessment and make a decision on approval or disapproval in accordance with the law based on the assessment results. If approved, an Operator Certificate shall be issued. The operation of agricultural unmanned aircraft with a maximum take-off weight not exceeding 150 kilograms for agricultural, forestry, animal husbandry and fishery operations in the applicable airspace above agricultural, forestry, animal husbandry and fishery areas (hereinafter referred to as “regular agricultural unmanned aircraft operation flight activities”) does not require obtaining an Operator Certificate. Meanwhile, the Interim Regulations on UAV further clarify that engaging in commercial general aviation flight activities after obtaining an Operator Certificate and engaging in regular agricultural unmanned aircraft operation flight activities do not require obtaining a Business Permit For General Purpose Aviation and an Operation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CCAR-92 specifies that the types of civil unmanned aircraft operations include: (i) Hover Operation; (ii) Line Operation; and (iii) Others. The commercial operation categories include: (i) Passenger Transportation; (ii) Person onboard; (iii) Laden; (iv) Training; and (v) Others. Meanwhile, CCAR-92 further specifies the issuance conditions, application materials, review procedures, etc. for Operator Certificates. In addition, CAAC issued a notice on soliciting opinions on the Application and Issuance of Operational Approval under CCAR-92 on March 15, 2024, providing guidance for operators applying for operational approval under the Rules for Unmanned Aircraft Safety and clarifying the standard formats of civil unmanned aircraft Operator Certificates and operational specifications.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by laws, regulations and rules, an Operator Certificate shall be valid for 24 calendar months from the date of issuance or renewal.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Airspace Management and Flight Control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Civil Aviation Law, the specific measures for airspace management shall be formulated by the State Council and the Central Military Commission. Within a designated controlled airspace, one air traffic control unit shall be responsible for the air traffic control of aircraft in that airspace. Civil aircraft conducting flight activities in controlled airspace shall obtain the approval of the air traffic control unit. Pursuant to the General Flight Rules of the People’s Republic of China promulgated by the State Council and the Central Military Commission on October 18, 2007 and effective as of 00:00 on November 22, 2007, the flight control within the territory of China shall be uniformly organized and implemented by the Air Force of the Chinese People’s Liberation Army, and the relevant flight control departments shall provide air traffic control services in accordance with their respective division of responsibilities. The organization and implementation of general aviation flight activities must go through the approval procedures in accordance with relevant provisions and submit a flight application to the local flight control department. The content of the flight application includes: the nature of the task, the type of aircraft, the flight scope, the start and end time, the flight altitude and flight conditions, etc. Prior to conducting any flight activities within the territory of China (including demonstration and test flights of unmanned aircraft, and take-offs related to aerial media solutions and logistics services), an application must be submitted in advance and approved.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relevant provisions of the Interim Regulations on UAV and CCAR-92, China designates Unmanned Aircraft Controlled Airspace (hereinafter referred to as “Controlled Airspace”) as needed. Airspace above 120 meters above ground level, air restricted areas, air prohibited areas and their surrounding airspace, ultra-low-altitude flight airspace for military aviation, and the airspace above the following areas shall be designated as Controlled Airspace: (i) airports and certain surrounding areas; (ii) certain areas on the Chinese side of national borders, actual control lines and border lines; (iii) military restricted areas, military administrative areas, supervision places and other classified units and certain surrounding areas; (iv) important military industrial facility protection areas, nuclear facility control areas, production and storage areas of flammable, explosive and other dangerous goods, and large-scale storage areas of combustible important materials; (v) public infrastructure such as power plants, substations, gas stations (LPG stations), water supply plants, public transportation hubs, aviation and power hubs, major water conservancy facilities, ports, expressways, and electrified railway lines, as well as certain surrounding areas and drinking water source protection areas; (vi) facilities requiring special protection of the electromagnetic environment such as radio observatories, satellite measurement and control (navigation) stations, aeronautical radio navigation stations, and radar stations, as well as certain surrounding areas; (vii) important revolutionary memorial sites, important immovable cultural relics and certain surrounding areas; (viii) other areas specified by the national air traffic management leading body. The airspace outside the scope of Controlled Airspace is the applicable airspace for micro, light and small civil unmanned aircraft. No unmanned aircraft flight activities shall be conducted in Controlled Airspace without the approval of the air traffic management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Interim Regulations on UAV, the competent civil aviation, public security, industrial and information technology, market supervision and administration departments of the State Council shall be responsible for the relevant management of unmanned aircraft nationwide in accordance with their division of responsibilities. Unless otherwise specified by these Regulations, units or individuals organizing unmanned aircraft flight activities shall submit a flight activity application to the air traffic management authority before 12:00 on the day preceding the intended flight. The air traffic management authority shall make a decision on approval or disapproval before 21:00 on the day preceding the flight. </w:t>
      </w:r>
    </w:p>
    <w:p>
      <w:pPr>
        <w:pStyle w:val="TextBody"/>
        <w:bidi w:val="0"/>
        <w:spacing w:before="240" w:after="0"/>
        <w:jc w:val="left"/>
        <w:rPr>
          <w:rFonts w:ascii="Times New Roman" w:hAnsi="Times New Roman"/>
          <w:sz w:val="20"/>
        </w:rPr>
      </w:pPr>
      <w:r>
        <w:rPr>
          <w:rFonts w:ascii="Times New Roman" w:hAnsi="Times New Roman"/>
          <w:sz w:val="20"/>
        </w:rPr>
        <w:t xml:space="preserve">On November 16, 2018, the Civil Aviation Administration of China Southern Regional Administration promulgated the Interim Measures for the Administration of Unmanned Aircraft Flights in the Shenzhen Area. Pursuant to these Measures, the Staff Department of the Southern Theater Command Air Force is responsible for organizing and implementing the pilot work of unmanned aircraft flight management in the Shenzhen area. Unmanned aircraft operation units and individuals shall declare the airspace to the flight control department of the Southern Theater Command Air Force five working days before the flight implementation. The flight control department of the Southern Theater Command Air Force shall, after synthesizing the opinions of the civil aviation administrative department and the public security organ, make a decision on approval or disapproval two working days before the flight implementation. For small, medium and large unmanned aircraft to carry out flight activities, they must first obtain airspace use approval. After the airspace application is approved, a flight application shall be submitted through the designated declaration platform before 15:00 on the day preceding the intended flight. The military aviation flight control department shall give a reply before 21:00 on the day preceding the flight and distribute it to the public security department and the civil aviation administrative department.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Geofencing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China, CAAC promulgated the industry standard Unmanned Aircraft Fencing on October 20, 2017, which came into force on December 1, 2017. Pursuant to the relevant provisions of the Interim Regulations on UAV, operators conducting unmanned aircraft flight activities shall make adequate safe flight preparations before the flight, inspect the condition of the unmanned aircraft, and promptly update information such as electronic fencing. CCAR-92 further requires that operators shall enable the civil unmanned aircraft they use to have corresponding airspace maintenance capabilities through technical measures such as electronic fencing. </w:t>
      </w:r>
    </w:p>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75"/>
        <w:gridCol w:w="110"/>
        <w:gridCol w:w="60"/>
        <w:gridCol w:w="1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Trial Operation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Flight Standards Department, Airworthiness Certification Department and Air Traffic Management Industry Management Office of CAAC jointly issued the consultative circular Interim Procedures for the Administration of Trial Operation of Specific Category Unmanned Aircraft (hereinafter referred to as the “Interim Procedures”) on February 1, 2019. The Interim Procedures classify unmanned aircraft into nine categories based on their empty weight and maximum take-off weight: category I includes unmanned aircraft with empty weight and maximum take-off weight between 0 and 1.5 kg (inclusive); category II includes unmanned aircraft with empty weight of 1.5 to 4 kg (inclusive) and maximum take-off weight of 1.5 to 7 kg (inclusive); category III includes unmanned aircraft with empty weight of 4 to 15 kg (inclusive) and maximum take-off weight of 7 to 25 kg (inclusive); category IV includes unmanned aircraft with empty weight of 15 to 116 kg (inclusive) and maximum take-off weight of 25 to 150 kg (inclusive); category V includes agricultural plant protection unmanned aircraft; category V includes unmanned airships; category VII includes category I and II unmanned aircraft operating beyond visual line of sight; category XI includes unmanned aircraft with empty weight of 116 to 5,700 kg (inclusive) and maximum take-off weight of 150 to 5,700 kg (inclusive); category XII includes unmanned aircraft with empty weight and maximum take-off weight both exceeding 5,700 kg. The Interim Procedures apply to: (i) category IV unmanned aircraft; (ii) high-risk operation types of category III unmanned aircraft (for which the competent authority deems trial operation certification necessary); (iii) low-risk category XI and XII unmanned aircraft (for which the competent authority deems trial operation certification feasible). Pursuant to the Interim Procedures, applicants applying for trial operation of the aforementioned applicable categories of unmanned aircraft must first submit a plan to CAAC for preliminary discussion and application; conduct a pre-trial operation safety assessment based on the Specific Operations Risk Assessment (SORA) to initially verify operational risks and ensure risks are controlled within an acceptable range; obtain review and confirmation from the CAAC Trial Operation Certification Team that the trial operation risks are effectively controlled and acceptable. CAAC recognizes the applicant’s trial operation by issuing a trial operation approval letter. The trial operation may be suspended or terminated under specific circumstances, including: the actual operation is inconsistent with the approval letter, there are uncontrollable operational risks, the applicant voluntarily abandons the trial operation, etc. Complete records of the trial operation shall be kept, including the operation manual, list of unmanned aircraft, aircraft maintenance records and personnel qualification information. At the start of the trial operation, the applicant shall have third-party insurance to ensure that all risks during the operation are covered. In addition, the Interim Procedures define “risk” as a combination of the frequency (probability) of an event and its related severity, covering ground risks and air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Remote Pilot License and Ratings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Interim Regulations on UAV, personnel operating small, medium and large unmanned aircraft shall apply to the competent civil aviation authority of the State Council for the corresponding unmanned aircraft remote pilot license. Personnel operating micro and light unmanned aircraft do not need to obtain a remote pilot license, but shall proficiently master the operation methods of the relevant models and understand risk warning information and relevant management systems. </w:t>
      </w:r>
    </w:p>
    <w:p>
      <w:pPr>
        <w:pStyle w:val="TextBody"/>
        <w:bidi w:val="0"/>
        <w:spacing w:before="240" w:after="0"/>
        <w:jc w:val="left"/>
        <w:rPr>
          <w:rFonts w:ascii="Times New Roman" w:hAnsi="Times New Roman"/>
          <w:sz w:val="20"/>
        </w:rPr>
      </w:pPr>
      <w:r>
        <w:rPr>
          <w:rFonts w:ascii="Times New Roman" w:hAnsi="Times New Roman"/>
          <w:sz w:val="20"/>
        </w:rPr>
        <w:t xml:space="preserve">CCAR-92 further clarifies the relevant requirements for remote pilot management: (i) personnel operating micro and light civil unmanned aircraft do not need to obtain an remote pilot license, but shall comply with the relevant safety operation requirements specified therein (e.g., passing the relevant theoretical training and examinations prescribed by CAAC to obtain a safety operation theoretical qualification certificate); (ii) personnel operating small, medium and large civil unmanned aircraft shall obtain and carry a valid remote pilot license when exercising the corresponding rights; (iii) operators implementing distributed operation of civil unmanned aircraft systems shall obtain the corresponding remote pilot license in accordance with CAAC’s provisions. </w:t>
      </w:r>
    </w:p>
    <w:p>
      <w:pPr>
        <w:pStyle w:val="TextBody"/>
        <w:bidi w:val="0"/>
        <w:spacing w:before="240" w:after="0"/>
        <w:jc w:val="left"/>
        <w:rPr>
          <w:rFonts w:ascii="Times New Roman" w:hAnsi="Times New Roman"/>
          <w:sz w:val="20"/>
        </w:rPr>
      </w:pPr>
      <w:r>
        <w:rPr>
          <w:rFonts w:ascii="Times New Roman" w:hAnsi="Times New Roman"/>
          <w:sz w:val="20"/>
        </w:rPr>
        <w:t xml:space="preserve">After completing the corresponding training, CAAC shall issue the corresponding type of remote pilot license to the applicant who meets the requirements of the corresponding application category, class and type (if applicable), and endorse the corresponding category, class and type (if applicable) rating on the license. It should be noted that CAAC may allow and authorize relevant personnel to operate civil unmanned aircraft that have obtained Type Certificates and applied for operational certification within the territory of China by issuing a “Type Approval Letter for Large Civil Unmanned Aerial Vehicle Remote Pilot”. In addition, the EH216-S Aircraft Evaluation Report (AER.080E—Initial Version) issued by the Aircraft Evaluation Group (AEG) of CAAC on June 15, 2024, clarifies that the Training Department of EHang may provide training for remote operators of the EH216-S unmanned aircraft system. </w:t>
      </w:r>
    </w:p>
    <w:p>
      <w:pPr>
        <w:pStyle w:val="TextBody"/>
        <w:bidi w:val="0"/>
        <w:spacing w:before="0" w:after="0"/>
        <w:jc w:val="left"/>
        <w:rPr/>
      </w:pPr>
      <w:r>
        <w:rPr/>
        <w:t> </w:t>
      </w:r>
    </w:p>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Import and Export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According to the Measures for the Administration on Import and Export License for Dual-use Items and Technologies, which was issued on December 31, 2025 and became effective on January 1, 2026, a license is required for the exportation of any dual-use goods, products and technologies of the PRC included in a control list issued by the Ministry of Commerce. Notably, certain types of UAVs are subject to the foregoing export license requirements, such as UAVs with (a) a maximum endurance time greater than or equal to 1 hour, (b) maximum endurance time greater than or equal to half an hour but less than 1 hour and the ability to take-off and conduct stable flight against a wind speed of no less than 46.3 kilometer/hour; (c) automatic controlling system and navigation capability containing aerosol preparation for planting with volume of 20 liters or being capable of installing aerosol preparation system for planting with volumes of 20 liters after designing and modification. We may be required to obtain the necessary license for the exportation of certain of our products. Failure to obtain required export licenses could result in penalties, restrictions on our export activities, and reputational harm.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Wireless Communication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UAVs and command-and-control centers have installed certain radio transmission equipment and telecommunication equipment. For radio transmission equipment, pursuant to the Regulations on the Administration of Radio in the PRC promulgated by the State Council and CMC, with effect from December 1, 2016, radio transmission equipment produced or imported for the purpose of sale and use in the PRC shall comply with laws and regulations in respect of product quality and administration of state radio, as well as other applicable national standards. Except for micro power short-distance radio transmission equipment, for any production or import of other radio transmission equipment for domestic sale and use, an application for model confirmation shall be filed with the radio regulatory authority of the state. According to Telecommunications Regulation of PRC promulgated by State Counsel on September 25, 2000, amended in July 2014 and February 2016, the government stipulates a network connection licensing system for telecommunications equipment. The telecommunications equipment accessing a public telecommunications network shall comply with the national standards, and obtain a network access certificate. We purchase certain equipment and models with Transmission Equipment Type Approval Certificate and Network Access Certificate from our supplier. </w:t>
      </w:r>
    </w:p>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75"/>
        <w:gridCol w:w="110"/>
        <w:gridCol w:w="60"/>
        <w:gridCol w:w="1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Construction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1, 1997, the SCNPC promulgated the </w:t>
      </w:r>
      <w:r>
        <w:rPr>
          <w:rFonts w:ascii="Times New Roman" w:hAnsi="Times New Roman"/>
          <w:i/>
          <w:sz w:val="20"/>
        </w:rPr>
        <w:t>Construction Law of PRC</w:t>
      </w:r>
      <w:r>
        <w:rPr>
          <w:rFonts w:ascii="Times New Roman" w:hAnsi="Times New Roman"/>
          <w:sz w:val="20"/>
        </w:rPr>
        <w:t xml:space="preserve">, which was amended on April 22, 2011 and April 23, 2019. The Construction Law provides that construction enterprises, survey units, design units and project supervision units engaging in construction activities shall be classified under different qualification grades based on certain criteria such as their registered capital, technical professionals team, technical equipment owned and track records of completed construction projects, etc., and may engage in construction activities within the scope permitted for their qualification grade upon passing examination of qualifications and obtaining the qualification certificate for the corresponding grade. Contractor of construction projects shall also possess a qualification certificate. Construction enterprises are prohibited from contracting projects beyond the scope of business permitted for their qualification grade or in any form in the name of another construction enterprise. A construction enterprise must not allow another organization or individual to use their qualification certificate or business license to contract any form of construction projects. According to the Construction Law, Contractors contracting projects without obtaining a qualification certificate shall be clamped down and be subject to a fine; illegal income, if any, shall be confiscated. </w:t>
      </w:r>
    </w:p>
    <w:p>
      <w:pPr>
        <w:pStyle w:val="TextBody"/>
        <w:bidi w:val="0"/>
        <w:spacing w:before="0" w:after="0"/>
        <w:jc w:val="left"/>
        <w:rPr/>
      </w:pPr>
      <w:r>
        <w:rPr/>
        <w:t> </w:t>
      </w:r>
    </w:p>
    <w:tbl>
      <w:tblPr>
        <w:tblW w:w="3280" w:type="dxa"/>
        <w:jc w:val="left"/>
        <w:tblInd w:w="0" w:type="dxa"/>
        <w:tblLayout w:type="fixed"/>
        <w:tblCellMar>
          <w:top w:w="0" w:type="dxa"/>
          <w:left w:w="0" w:type="dxa"/>
          <w:bottom w:w="0" w:type="dxa"/>
          <w:right w:w="0" w:type="dxa"/>
        </w:tblCellMar>
      </w:tblPr>
      <w:tblGrid>
        <w:gridCol w:w="75"/>
        <w:gridCol w:w="110"/>
        <w:gridCol w:w="60"/>
        <w:gridCol w:w="3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Product Liability and Tort Liability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Product Quality Law of the PRC, which was promulgated on February 22, 1993 and subsequently amended on July 8, 2000, August 27, 2009 and December 29, 2018, the production or sale of products that do not meet applicable health and safety standards and requirements is prohibited. Products must not pose unreasonable dangers to human or property. Where a defective product causes physical injury to a person or damage to property, the aggrieved party may make a claim for compensation from the producer or the seller of the product. Producers and sellers of non-compliant products may be ordered to cease production and sale of such products, subject to fines and/or revocation of business license. Non-compliant products, as well as earnings attributable to the sales of such products may also be confiscated.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pursuant to the </w:t>
      </w:r>
      <w:r>
        <w:rPr>
          <w:rFonts w:ascii="Times New Roman" w:hAnsi="Times New Roman"/>
          <w:i/>
          <w:sz w:val="20"/>
        </w:rPr>
        <w:t>Tort Law of the PRC</w:t>
      </w:r>
      <w:r>
        <w:rPr>
          <w:rFonts w:ascii="Times New Roman" w:hAnsi="Times New Roman"/>
          <w:sz w:val="20"/>
        </w:rPr>
        <w:t xml:space="preserve">, promulgated by the SCNPC on December 26, 2009 and taking effect since July 1, 2010, the manufacturer of defective products that cause damage shall bear tort liability. On May 28, 2020, the Third Session of the 13th National People’s Congress passed the Civil Code of the People’s Republic of China, which took effect on January 1, 2021 and replaced the </w:t>
      </w:r>
      <w:r>
        <w:rPr>
          <w:rFonts w:ascii="Times New Roman" w:hAnsi="Times New Roman"/>
          <w:i/>
          <w:sz w:val="20"/>
        </w:rPr>
        <w:t>Tort Law of the PRC</w:t>
      </w:r>
      <w:r>
        <w:rPr>
          <w:rFonts w:ascii="Times New Roman" w:hAnsi="Times New Roman"/>
          <w:sz w:val="20"/>
        </w:rPr>
        <w:t xml:space="preserve">. Where defects are discovered after the relevant products are put in circulation, the manufacturer and the seller shall promptly adopt remedial measures such as warnings and product recalls, failing which, the manufacturer and the seller will be liable for tort claims.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Consumer Rights Protection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a variety of consumer protection laws, including the </w:t>
      </w:r>
      <w:r>
        <w:rPr>
          <w:rFonts w:ascii="Times New Roman" w:hAnsi="Times New Roman"/>
          <w:i/>
          <w:sz w:val="20"/>
        </w:rPr>
        <w:t>PRC Consumer Rights and Interests Protection Law</w:t>
      </w:r>
      <w:r>
        <w:rPr>
          <w:rFonts w:ascii="Times New Roman" w:hAnsi="Times New Roman"/>
          <w:sz w:val="20"/>
        </w:rPr>
        <w:t xml:space="preserve">, as amended on October 25, 2013, which imposes stringent obligations on business operators. Failure to comply with these consumer protection laws could subject us to administrative sanctions, such as the issuance of warning, confiscation of income, imposition of fines, order to cease business operations, revocation of business licenses, as well as potential civil and criminal liabilities. </w:t>
      </w:r>
    </w:p>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Internet Information Security and Privacy Protection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November 2016, the SCNPC promulgated the </w:t>
      </w:r>
      <w:r>
        <w:rPr>
          <w:rFonts w:ascii="Times New Roman" w:hAnsi="Times New Roman"/>
          <w:i/>
          <w:sz w:val="20"/>
        </w:rPr>
        <w:t>Cyber Security Law of the PRC</w:t>
      </w:r>
      <w:r>
        <w:rPr>
          <w:rFonts w:ascii="Times New Roman" w:hAnsi="Times New Roman"/>
          <w:sz w:val="20"/>
        </w:rPr>
        <w:t xml:space="preserve">, or the Cyber Security Law, which became effective on June 1, 2017. The Cyber Security Law requires that a network operator, which includes, among others, internet information services providers, to take technical measures and/or other necessary measures in accordance with applicable laws, regulations and national and industrial standards, to ensure the safe and stable operation of its networks. We are considered an “internet information service provider” as we operate website and mobile application and providing certain internet services mainly through our mobile application. The Cyber Security Law further requires internet information service providers to formulate contingency plans for network security incidents, report to competent departments immediately upon the occurrence of any incident endangering cyber security and take corresponding remedial measures. 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 provider like us to warnings, fines, confiscation of illegal gains, revocation of licenses, cancellation of filings, shutdown of websites or criminal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recommended national standard, </w:t>
      </w:r>
      <w:r>
        <w:rPr>
          <w:rFonts w:ascii="Times New Roman" w:hAnsi="Times New Roman"/>
          <w:i/>
          <w:sz w:val="20"/>
        </w:rPr>
        <w:t>Information Security Technology Personal Information Security Specification</w:t>
      </w:r>
      <w:r>
        <w:rPr>
          <w:rFonts w:ascii="Times New Roman" w:hAnsi="Times New Roman"/>
          <w:sz w:val="20"/>
        </w:rPr>
        <w:t xml:space="preserve">, which became effective in October 2020, puts forward specific refinement requirements on the collection, preservation, use, sharing, transfer, and public disclosure of personal information. Although it is not mandatory, in the absence of clear implementation rules and standards for the law on cyber security and other personal information protection, it will be used as the basis for judging and making determinations. On November 28, 2019, The </w:t>
      </w:r>
      <w:r>
        <w:rPr>
          <w:rFonts w:ascii="Times New Roman" w:hAnsi="Times New Roman"/>
          <w:i/>
          <w:sz w:val="20"/>
        </w:rPr>
        <w:t>Notice of Identification Method of Application Illegal Collection and Use of Personal Information</w:t>
      </w:r>
      <w:r>
        <w:rPr>
          <w:rFonts w:ascii="Times New Roman" w:hAnsi="Times New Roman"/>
          <w:sz w:val="20"/>
        </w:rPr>
        <w:t xml:space="preserve"> was issued, which provides a reference for the identification of illegal collection and use of personal information by mobile apps, and provides guidance for app operators’ self-inspection and self-correction and netizens’ social supervision. </w:t>
      </w:r>
    </w:p>
    <w:p>
      <w:pPr>
        <w:pStyle w:val="TextBody"/>
        <w:bidi w:val="0"/>
        <w:spacing w:before="240" w:after="0"/>
        <w:jc w:val="left"/>
        <w:rPr>
          <w:rFonts w:ascii="Times New Roman" w:hAnsi="Times New Roman"/>
          <w:sz w:val="20"/>
        </w:rPr>
      </w:pPr>
      <w:r>
        <w:rPr>
          <w:rFonts w:ascii="Times New Roman" w:hAnsi="Times New Roman"/>
          <w:sz w:val="20"/>
        </w:rPr>
        <w:t xml:space="preserve">On June 10, 2021, the Standing Committee of the National People’s Congress of China promulgated </w:t>
      </w:r>
      <w:r>
        <w:rPr>
          <w:rFonts w:ascii="Times New Roman" w:hAnsi="Times New Roman"/>
          <w:i/>
          <w:sz w:val="20"/>
        </w:rPr>
        <w:t xml:space="preserve">the Data Security Law of PRC, </w:t>
      </w:r>
      <w:r>
        <w:rPr>
          <w:rFonts w:ascii="Times New Roman" w:hAnsi="Times New Roman"/>
          <w:sz w:val="20"/>
        </w:rPr>
        <w:t xml:space="preserve">or Data Security Law, which took effect in September 2021. The Data Security Law sets forth data security and privacy related compliance obligations on entities and individuals carrying out data related activities. The Data Security Law also introduces a data classification and layered protection system based on the importance of data and the degree of impact on national security, public interests or legitimate rights and interests of individuals or organizations when such data is tampered with, destroyed, leaked or illegally acquired or used. In addition, the Data Security Law provides a national security review procedure for those data activities that may affect national security, and imposes export restrictions on certain data and information. According to the PRC National Security Law, the State shall establish institutions and mechanisms for national security review and regulation, and conduct national security review on certain matters that affect or may affect PRC national security, such as key technologies and IT products and services. In early July 2021, regulatory authorities in China launched cybersecurity investigations with regard to several China-based companies that are listed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10, 2021, the CAC released the revised draft of </w:t>
      </w:r>
      <w:r>
        <w:rPr>
          <w:rFonts w:ascii="Times New Roman" w:hAnsi="Times New Roman"/>
          <w:i/>
          <w:sz w:val="20"/>
        </w:rPr>
        <w:t>Cybersecurity Review Measures (for public comments)</w:t>
      </w:r>
      <w:r>
        <w:rPr>
          <w:rFonts w:ascii="Times New Roman" w:hAnsi="Times New Roman"/>
          <w:sz w:val="20"/>
        </w:rPr>
        <w:t xml:space="preserve">. On December 28, 2021, the CAC, NDRC, MIIT, the MPS, the Ministry of National Security, the MOF, the MOFCOM, the People’s Bank of China, the SAMR, the National Radio and Television Administration, the CSRC, the National Administration of State Secrets Protection and the State Cryptography Administration jointly released the </w:t>
      </w:r>
      <w:r>
        <w:rPr>
          <w:rFonts w:ascii="Times New Roman" w:hAnsi="Times New Roman"/>
          <w:i/>
          <w:sz w:val="20"/>
        </w:rPr>
        <w:t>Cybersecurity Review Measures</w:t>
      </w:r>
      <w:r>
        <w:rPr>
          <w:rFonts w:ascii="Times New Roman" w:hAnsi="Times New Roman"/>
          <w:sz w:val="20"/>
        </w:rPr>
        <w:t xml:space="preserve">, which took effect on February 15, 2022. Pursuant to the Cybersecurity Review Measures, network platform operators with information of over one million users shall be subject to cybersecurity review before listing abroad.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 </w:t>
      </w:r>
    </w:p>
    <w:p>
      <w:pPr>
        <w:pStyle w:val="TextBody"/>
        <w:bidi w:val="0"/>
        <w:spacing w:before="240" w:after="0"/>
        <w:jc w:val="left"/>
        <w:rPr>
          <w:rFonts w:ascii="Times New Roman" w:hAnsi="Times New Roman"/>
          <w:sz w:val="20"/>
        </w:rPr>
      </w:pPr>
      <w:r>
        <w:rPr>
          <w:rFonts w:ascii="Times New Roman" w:hAnsi="Times New Roman"/>
          <w:sz w:val="20"/>
        </w:rPr>
        <w:t xml:space="preserve">On August 17, 2021, the State Council promulgated the </w:t>
      </w:r>
      <w:r>
        <w:rPr>
          <w:rFonts w:ascii="Times New Roman" w:hAnsi="Times New Roman"/>
          <w:i/>
          <w:sz w:val="20"/>
        </w:rPr>
        <w:t>Regulations on the Protection of the Security of Critical Information Infrastructure</w:t>
      </w:r>
      <w:r>
        <w:rPr>
          <w:rFonts w:ascii="Times New Roman" w:hAnsi="Times New Roman"/>
          <w:sz w:val="20"/>
        </w:rPr>
        <w:t xml:space="preserve">, or the CIIO Regulations, which took effect in September 2021. The CIIO Regulations supplement and specify the provisions on the security of critical information infrastructure as stated in the Cyber Security Law. The CIIO Regulations provide, among others, that protection department of certain industry or sector shall notify the operator of the critical information infrastructure in time after the identification of certain critical information infrastructure. According to the CIIO Regulations, operators of certain industries or sectors that may endanger national security, people’s livelihood and public interest in case of damage, function loss or data leakage may be identified as critical information infrastructure operators by the CAC or the respective industrial regulatory authorities once they meet the identification standards promulgated by the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2021, the Standing Committee of the National People’s Congress of China promulgated the </w:t>
      </w:r>
      <w:r>
        <w:rPr>
          <w:rFonts w:ascii="Times New Roman" w:hAnsi="Times New Roman"/>
          <w:i/>
          <w:sz w:val="20"/>
        </w:rPr>
        <w:t>Personal Information Protection Law of the PRC</w:t>
      </w:r>
      <w:r>
        <w:rPr>
          <w:rFonts w:ascii="Times New Roman" w:hAnsi="Times New Roman"/>
          <w:sz w:val="20"/>
        </w:rPr>
        <w:t xml:space="preserve">, or the Personal Information Protection Law, which took effect in November 2021. As the first systematic and comprehensive law specifically for the protection of personal information in the PRC, the Personal Information Protection Law provides, among others,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 </w:t>
      </w:r>
    </w:p>
    <w:p>
      <w:pPr>
        <w:pStyle w:val="TextBody"/>
        <w:bidi w:val="0"/>
        <w:spacing w:before="240" w:after="0"/>
        <w:jc w:val="left"/>
        <w:rPr>
          <w:rFonts w:ascii="Times New Roman" w:hAnsi="Times New Roman"/>
          <w:sz w:val="20"/>
        </w:rPr>
      </w:pPr>
      <w:r>
        <w:rPr>
          <w:rFonts w:ascii="Times New Roman" w:hAnsi="Times New Roman"/>
          <w:sz w:val="20"/>
        </w:rPr>
        <w:t xml:space="preserve">Furthermore, on May 28, 2020, the National People’s Congress of the PRC approved the PRC Civil Code, which came into effect on January 1, 2021. Pursuant to the PRC Civil Code, the collection, storage, use, process, transmission, provision and disclosure of personal information should follow the principles of legitimacy, properness and necessity. </w:t>
      </w:r>
    </w:p>
    <w:p>
      <w:pPr>
        <w:pStyle w:val="TextBody"/>
        <w:bidi w:val="0"/>
        <w:spacing w:before="240" w:after="0"/>
        <w:jc w:val="left"/>
        <w:rPr>
          <w:rFonts w:ascii="Times New Roman" w:hAnsi="Times New Roman"/>
          <w:sz w:val="20"/>
        </w:rPr>
      </w:pPr>
      <w:r>
        <w:rPr>
          <w:rFonts w:ascii="Times New Roman" w:hAnsi="Times New Roman"/>
          <w:sz w:val="20"/>
        </w:rPr>
        <w:t xml:space="preserve">On July 7, 2022, the CAC issued the </w:t>
      </w:r>
      <w:r>
        <w:rPr>
          <w:rFonts w:ascii="Times New Roman" w:hAnsi="Times New Roman"/>
          <w:i/>
          <w:sz w:val="20"/>
        </w:rPr>
        <w:t>Measures for the Security Assessment of Outbound Data Transfer</w:t>
      </w:r>
      <w:r>
        <w:rPr>
          <w:rFonts w:ascii="Times New Roman" w:hAnsi="Times New Roman"/>
          <w:sz w:val="20"/>
        </w:rPr>
        <w:t xml:space="preserve">, pursuant to which, the data processor shall apply to the CAC for the security assessment via the local provincial-level cyberspace administration authority for an outbound data transfer under following circumstances: (i) outbound transfer of important data by a data processor; (ii) 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1 January of the previous year; and (v) other circumstances as specified by the CAC. The assessment results of the data exit are valid for two years. </w:t>
      </w:r>
    </w:p>
    <w:p>
      <w:pPr>
        <w:pStyle w:val="TextBody"/>
        <w:bidi w:val="0"/>
        <w:spacing w:before="240" w:after="0"/>
        <w:jc w:val="left"/>
        <w:rPr>
          <w:rFonts w:ascii="Times New Roman" w:hAnsi="Times New Roman"/>
          <w:sz w:val="20"/>
        </w:rPr>
      </w:pPr>
      <w:r>
        <w:rPr>
          <w:rFonts w:ascii="Times New Roman" w:hAnsi="Times New Roman"/>
          <w:sz w:val="20"/>
        </w:rPr>
        <w:t xml:space="preserve">In addition, on November 14, 2021, the </w:t>
      </w:r>
      <w:r>
        <w:rPr>
          <w:rFonts w:ascii="Times New Roman" w:hAnsi="Times New Roman"/>
          <w:i/>
          <w:sz w:val="20"/>
        </w:rPr>
        <w:t xml:space="preserve">Administration Regulations on Cyber Data Security (Draft for Comments) </w:t>
      </w:r>
      <w:r>
        <w:rPr>
          <w:rFonts w:ascii="Times New Roman" w:hAnsi="Times New Roman"/>
          <w:sz w:val="20"/>
        </w:rPr>
        <w:t xml:space="preserve">was proposed by the CAC for public comments until December 13, 2021. On September 24, 2024, PRC State Council promulgated the </w:t>
      </w:r>
      <w:r>
        <w:rPr>
          <w:rFonts w:ascii="Times New Roman" w:hAnsi="Times New Roman"/>
          <w:i/>
          <w:sz w:val="20"/>
        </w:rPr>
        <w:t>Administration Regulations on Cyber Data Security</w:t>
      </w:r>
      <w:r>
        <w:rPr>
          <w:rFonts w:ascii="Times New Roman" w:hAnsi="Times New Roman"/>
          <w:sz w:val="20"/>
        </w:rPr>
        <w:t xml:space="preserve">, or the Cyber Data Security Regulation, which became effective on January 1, 2025. It sets out general guidelines, protection of personal information, security of important data, security management of cross-border data transfer, obligations of internet platform operators, supervision and management, and legal liabilities. Network data processors should in accordance with the provisions of laws and administrative regulations and the mandatory requirements of national standards, and on the basis of multi-level protection of cyber security, strengthen the protection of network data security, establish and perfect the system of network data security management, and take technical measures such as encryption, backup, access control and security authentication as well as other necessary measures to protect network data from being falsified, destroyed, divulged or illegally acquired or used, dispose of network data security incidents, prevent illegal and criminal activities aiming at and using network data, and assume primary responsibility for the security of the network data handled by them. Moreover, network products and services provided by a network data processor shall comply with the compulsory requirements of the relevant national standards; in the case of any risk such as security defect or bug discovered to be associated with a network product or service, the network data processor shall take remedial measures forthwith, notify users in a timely manner and report the same to the relevant competent authority in accordance with the provisions; in the case of any harm to the national security or public interest, the network data processor shall also report the same to the relevant competent authority within 24 hours. The Cyber Data Security Regulation requires the data processors that carry out network data processing activities that affect or may affect national security, shall undergo a national security review in accordance with relevant national laws and regulations. In addition, where it is impossible to avoid the collection of unnecessary personal information by using automatic collection technology or an individual’s personal information without obtaining his/her consent according to the law, or an individual deregisters his/her account, the cyber data processor shall delete or anonymize the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September 24, 2024, the State Council promulgated the </w:t>
      </w:r>
      <w:r>
        <w:rPr>
          <w:rFonts w:ascii="Times New Roman" w:hAnsi="Times New Roman"/>
          <w:i/>
          <w:sz w:val="20"/>
        </w:rPr>
        <w:t>Regulation on Network Data Security Management</w:t>
      </w:r>
      <w:r>
        <w:rPr>
          <w:rFonts w:ascii="Times New Roman" w:hAnsi="Times New Roman"/>
          <w:sz w:val="20"/>
        </w:rPr>
        <w:t xml:space="preserve"> (the “</w:t>
      </w:r>
      <w:r>
        <w:rPr>
          <w:rFonts w:ascii="Times New Roman" w:hAnsi="Times New Roman"/>
          <w:b/>
          <w:sz w:val="20"/>
        </w:rPr>
        <w:t>Cyber Data Security Regulation</w:t>
      </w:r>
      <w:r>
        <w:rPr>
          <w:rFonts w:ascii="Times New Roman" w:hAnsi="Times New Roman"/>
          <w:sz w:val="20"/>
        </w:rPr>
        <w:t xml:space="preserve">”), which became effective on January 1, 2025. It sets out general guidelines, protection of personal information, security of important data, security management of cross-border data transfer, obligations of internet platform operators, supervision and management, and legal liabilities. Network data processors should in accordance with the provisions of laws and administrative regulations and the mandatory requirements of national standards, and on the basis of multi-level protection of cyber security, strengthen the protection of network data security, establish and perfect the system of network data security management, and take technical measures such as encryption, backup, access control and security authentication as well as other necessary measures to protect network data from being falsified, destroyed, divulged or illegally acquired or used, dispose of network data security incidents, prevent illegal and criminal activities aiming at and using network data, and assume primary responsibility for the security of the network data handled by them. Moreover, network products and services provided by a network data processor shall comply with the compulsory requirements of the relevant national standards; in the case of any risk such as security defect or bug discovered to be associated with a network product or service, the network data processor shall take remedial measures forthwith, notify users in a timely manner and report the same to the relevant competent authority in accordance with the provisions; in the case of any harm to the national security or public interest, the network data processor shall also report the same to the relevant competent authority within 24 hours. The Cyber Data Security Regulation requires the data processors that carry out network data processing activities that affect or may affect national security, shall undergo a national security review in accordance with relevant national laws and regulations. In addition, where it is impossible to avoid the collection of unnecessary personal information by using automatic collection technology or an individual’s personal information without obtaining his/her consent according to the law, or an individual deregisters his/her account, the cyber data processor shall delete or anonymize the personal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On March 22, 2024, the CAC enacted the </w:t>
      </w:r>
      <w:r>
        <w:rPr>
          <w:rFonts w:ascii="Times New Roman" w:hAnsi="Times New Roman"/>
          <w:i/>
          <w:sz w:val="20"/>
        </w:rPr>
        <w:t>Provisions on Promoting and Regulating Cross-Border Data Flows</w:t>
      </w:r>
      <w:r>
        <w:rPr>
          <w:rFonts w:ascii="Times New Roman" w:hAnsi="Times New Roman"/>
          <w:sz w:val="20"/>
        </w:rPr>
        <w:t xml:space="preserve">, or the Cross-Border Data Flows Provisions, further regulating that a data processor’s responsibility to conduct cybersecurity review such as applying for the data export security assessment, submitting the standard contract filing, or obtaining the compliance certification can be exempted under certain circumstances, including, among others: (1) an individual’s information must be provided abroad for entering into or performing a contract which the individual is a contracting party, such as for cross-border shopping, cross-border delivery, cross-border remittance, cross-border payment, cross-border account opening, air ticket and hotel reservation, visa processing and examination services; (2) an employee’s information must be provided abroad for human resource management under the labor-relating rules and regulations and a collective contract signed in accordance with the law; (3) an individual’s information that must be provided abroad to protect the safety of his/her life and property under emergency circumstances; and (4) the cumulative number of the individuals’ information that a data processor (other than CIIO) transferred abroad in a year since January 1 is smaller than 100,000 individuals and no sensitive personal information is included.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the relationship between the Data Security Law of the PRC and the implemented National Security Law of the PRC, the Cyber Security Law of the PRC, the Confidentiality Law of the PRC and the Personal Information Protection Law of the PRC needs to be carefully clarified.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Rights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Patent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According to the </w:t>
      </w:r>
      <w:r>
        <w:rPr>
          <w:rFonts w:ascii="Times New Roman" w:hAnsi="Times New Roman"/>
          <w:i/>
          <w:sz w:val="20"/>
        </w:rPr>
        <w:t>Patent Law of the PRC</w:t>
      </w:r>
      <w:r>
        <w:rPr>
          <w:rFonts w:ascii="Times New Roman" w:hAnsi="Times New Roman"/>
          <w:sz w:val="20"/>
        </w:rPr>
        <w:t xml:space="preserve"> (as amended in 1992, 2000, 2008 and 2020), or the Patent Law, the State Intellectual Property Office is responsible for administering patent laws in the PRC. The provincial, autonomous region and municipal level patent administration departments are responsible for the administration of patent laws within their respective jurisdictions. The Chinese patent system adopts a first-to-file principle, which means that when more than one person files patent applications with respect to the same invention, the person who files the application first will obtain the patent of the invention. To be patentable, an invention or a utility model must meet three criteria: novelty, inventiveness and practicability. A patent is valid for twenty years in the case of an invention, ten years in the case of utility models and fifteen years in the case of designs.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Regulations on Copyright</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Copyright Law of the PRC</w:t>
      </w:r>
      <w:r>
        <w:rPr>
          <w:rFonts w:ascii="Times New Roman" w:hAnsi="Times New Roman"/>
          <w:sz w:val="20"/>
        </w:rPr>
        <w:t xml:space="preserve">, or the Copyright Law, which took effect on June 1, 1991 and was amended in 2001, 2010 and 2020,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also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making apology to the copyright owners and compensating the copyright owners for his/her loss. Infringers of copyright may also be subject to fines and/or administrative or criminal liabilities in severe situations. In order to further implement the Regulations on Computer Software Protection, the National Copyright Administration issued the </w:t>
      </w:r>
      <w:r>
        <w:rPr>
          <w:rFonts w:ascii="Times New Roman" w:hAnsi="Times New Roman"/>
          <w:i/>
          <w:sz w:val="20"/>
        </w:rPr>
        <w:t>Measures for the Registration of Computer Software Copyright</w:t>
      </w:r>
      <w:r>
        <w:rPr>
          <w:rFonts w:ascii="Times New Roman" w:hAnsi="Times New Roman"/>
          <w:sz w:val="20"/>
        </w:rPr>
        <w:t xml:space="preserve"> on February 20, 2002, which specify detailed procedures and requirements with respect to the registration of software copyrights.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w:t>
      </w:r>
      <w:r>
        <w:rPr>
          <w:rFonts w:ascii="Times New Roman" w:hAnsi="Times New Roman"/>
          <w:i/>
          <w:sz w:val="20"/>
        </w:rPr>
        <w:t>Computer Software Copyright Protection Regulations</w:t>
      </w:r>
      <w:r>
        <w:rPr>
          <w:rFonts w:ascii="Times New Roman" w:hAnsi="Times New Roman"/>
          <w:sz w:val="20"/>
        </w:rPr>
        <w:t xml:space="preserve"> promulgated by the State Council on December 20, 2001 and amended on January 30, 2013, software copyright owner may complete registration formalities with a software registration authority recognized by the State Council’s copyright administrative department. The software copyright owner may authorize others to exercise that copyright, and is entitled to receive remuneration.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75"/>
        <w:gridCol w:w="110"/>
        <w:gridCol w:w="60"/>
        <w:gridCol w:w="1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Trademark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Trademarks are protected by the </w:t>
      </w:r>
      <w:r>
        <w:rPr>
          <w:rFonts w:ascii="Times New Roman" w:hAnsi="Times New Roman"/>
          <w:i/>
          <w:sz w:val="20"/>
        </w:rPr>
        <w:t>Trademark Law of the PRC</w:t>
      </w:r>
      <w:r>
        <w:rPr>
          <w:rFonts w:ascii="Times New Roman" w:hAnsi="Times New Roman"/>
          <w:sz w:val="20"/>
        </w:rPr>
        <w:t xml:space="preserve"> which was adopted on August 23, 1982 and subsequently amended in 1993, 2001, 2013 and 2019 (to take effect on November 1, 2019) as well as by the </w:t>
      </w:r>
      <w:r>
        <w:rPr>
          <w:rFonts w:ascii="Times New Roman" w:hAnsi="Times New Roman"/>
          <w:i/>
          <w:sz w:val="20"/>
        </w:rPr>
        <w:t>Implementation Regulations of the PRC</w:t>
      </w:r>
      <w:r>
        <w:rPr>
          <w:rFonts w:ascii="Times New Roman" w:hAnsi="Times New Roman"/>
          <w:sz w:val="20"/>
        </w:rPr>
        <w:t xml:space="preserve"> </w:t>
      </w:r>
      <w:r>
        <w:rPr>
          <w:rFonts w:ascii="Times New Roman" w:hAnsi="Times New Roman"/>
          <w:i/>
          <w:sz w:val="20"/>
        </w:rPr>
        <w:t xml:space="preserve">Trademark Law </w:t>
      </w:r>
      <w:r>
        <w:rPr>
          <w:rFonts w:ascii="Times New Roman" w:hAnsi="Times New Roman"/>
          <w:sz w:val="20"/>
        </w:rPr>
        <w:t xml:space="preserve">adopted by the State Council in 2002 and as most recently amended on April 29, 2014. The Trademark Office under the State Administration for Industry and Commerce takes charge of trademark registrations. The Trademark Office grants a ten-year term to registered trademarks which term may be renewed for another ten-year period upon request by the trademark owner. A trademark registrant may license its registered trademarks to another party by entering into trademark license agreements, which must be filed with the Trademark Office for its record. As with trademark registrations, the Trademark Law has adopted a first-to-file principle.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890" w:type="dxa"/>
        <w:jc w:val="left"/>
        <w:tblInd w:w="0" w:type="dxa"/>
        <w:tblLayout w:type="fixed"/>
        <w:tblCellMar>
          <w:top w:w="0" w:type="dxa"/>
          <w:left w:w="0" w:type="dxa"/>
          <w:bottom w:w="0" w:type="dxa"/>
          <w:right w:w="0" w:type="dxa"/>
        </w:tblCellMar>
      </w:tblPr>
      <w:tblGrid>
        <w:gridCol w:w="75"/>
        <w:gridCol w:w="110"/>
        <w:gridCol w:w="60"/>
        <w:gridCol w:w="2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Regulations on Domain Names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MIIT promulgated the </w:t>
      </w:r>
      <w:r>
        <w:rPr>
          <w:rFonts w:ascii="Times New Roman" w:hAnsi="Times New Roman"/>
          <w:i/>
          <w:sz w:val="20"/>
        </w:rPr>
        <w:t>Measures on Administration of Internet Domain Names</w:t>
      </w:r>
      <w:r>
        <w:rPr>
          <w:rFonts w:ascii="Times New Roman" w:hAnsi="Times New Roman"/>
          <w:sz w:val="20"/>
        </w:rPr>
        <w:t xml:space="preserve">, or the Domain Name Measures, on August 24, 2017, which took effect on November 1, 2017 and replaced the </w:t>
      </w:r>
      <w:r>
        <w:rPr>
          <w:rFonts w:ascii="Times New Roman" w:hAnsi="Times New Roman"/>
          <w:i/>
          <w:sz w:val="20"/>
        </w:rPr>
        <w:t>Administrative Measures on China Internet Domain Name</w:t>
      </w:r>
      <w:r>
        <w:rPr>
          <w:rFonts w:ascii="Times New Roman" w:hAnsi="Times New Roman"/>
          <w:sz w:val="20"/>
        </w:rPr>
        <w:t xml:space="preserve">s promulgated by the MIIT on November 5, 2004. According to the Domain Name Measures, the MIIT is in charge of the administration of PRC internet domain names. The domain name registrations follow a first-to-file principle. Applicants for registration of domain names must provide the true, accurate and complete information of their identities to domain name registration service institutions. The applicants will become the holders of such domain names upon the completion of the registration procedures.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Investment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The Foreign Investment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15, 2019, the SCNPC approved the </w:t>
      </w:r>
      <w:r>
        <w:rPr>
          <w:rFonts w:ascii="Times New Roman" w:hAnsi="Times New Roman"/>
          <w:i/>
          <w:sz w:val="20"/>
        </w:rPr>
        <w:t>Foreign Investment Law of the PRC</w:t>
      </w:r>
      <w:r>
        <w:rPr>
          <w:rFonts w:ascii="Times New Roman" w:hAnsi="Times New Roman"/>
          <w:sz w:val="20"/>
        </w:rPr>
        <w:t xml:space="preserve">, which took effect on January 1, 2020 and replace three existing laws on foreign investments in China, namely, the </w:t>
      </w:r>
      <w:r>
        <w:rPr>
          <w:rFonts w:ascii="Times New Roman" w:hAnsi="Times New Roman"/>
          <w:i/>
          <w:sz w:val="20"/>
        </w:rPr>
        <w:t>PRC</w:t>
      </w:r>
      <w:r>
        <w:rPr>
          <w:rFonts w:ascii="Times New Roman" w:hAnsi="Times New Roman"/>
          <w:sz w:val="20"/>
        </w:rPr>
        <w:t xml:space="preserve"> </w:t>
      </w:r>
      <w:r>
        <w:rPr>
          <w:rFonts w:ascii="Times New Roman" w:hAnsi="Times New Roman"/>
          <w:i/>
          <w:sz w:val="20"/>
        </w:rPr>
        <w:t>Equity Joint Venture Law, the PRC Cooperative Joint Venture Law</w:t>
      </w:r>
      <w:r>
        <w:rPr>
          <w:rFonts w:ascii="Times New Roman" w:hAnsi="Times New Roman"/>
          <w:sz w:val="20"/>
        </w:rPr>
        <w:t xml:space="preserve"> and the </w:t>
      </w:r>
      <w:r>
        <w:rPr>
          <w:rFonts w:ascii="Times New Roman" w:hAnsi="Times New Roman"/>
          <w:i/>
          <w:sz w:val="20"/>
        </w:rPr>
        <w:t>Wholly Foreign-owned Enterprise Law</w:t>
      </w:r>
      <w:r>
        <w:rPr>
          <w:rFonts w:ascii="Times New Roman" w:hAnsi="Times New Roman"/>
          <w:sz w:val="20"/>
        </w:rPr>
        <w:t xml:space="preserve">, together with their implementation rules and ancillary regulations. The </w:t>
      </w:r>
      <w:r>
        <w:rPr>
          <w:rFonts w:ascii="Times New Roman" w:hAnsi="Times New Roman"/>
          <w:i/>
          <w:sz w:val="20"/>
        </w:rPr>
        <w:t>Foreign Investment Law</w:t>
      </w:r>
      <w:r>
        <w:rPr>
          <w:rFonts w:ascii="Times New Roman" w:hAnsi="Times New Roman"/>
          <w:sz w:val="20"/>
        </w:rPr>
        <w:t xml:space="preserve">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w:t>
      </w:r>
      <w:r>
        <w:rPr>
          <w:rFonts w:ascii="Times New Roman" w:hAnsi="Times New Roman"/>
          <w:i/>
          <w:sz w:val="20"/>
        </w:rPr>
        <w:t>Foreign Investment Law</w:t>
      </w:r>
      <w:r>
        <w:rPr>
          <w:rFonts w:ascii="Times New Roman" w:hAnsi="Times New Roman"/>
          <w:sz w:val="20"/>
        </w:rPr>
        <w:t xml:space="preserve"> establishes the basic framework for the access to, and the promotion, protection and administration of foreign investments in view of investment protection and fair competition.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w:t>
      </w:r>
      <w:r>
        <w:rPr>
          <w:rFonts w:ascii="Times New Roman" w:hAnsi="Times New Roman"/>
          <w:i/>
          <w:sz w:val="20"/>
        </w:rPr>
        <w:t>Foreign Investment Law</w:t>
      </w:r>
      <w:r>
        <w:rPr>
          <w:rFonts w:ascii="Times New Roman" w:hAnsi="Times New Roman"/>
          <w:sz w:val="20"/>
        </w:rPr>
        <w:t xml:space="preserve">, “foreign investment” refers to investment activities directly or indirectly conducted by one or more natural persons, business entities, or otherwise organizations of a foreign country (collectively referred to as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like rights and interests of an enterprise within China; (iii) a foreign investor, individually or collectively with other investors, invests in a new project within China; and (iv) investments in other means as provided by laws, administrative regulations, or the State Council.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w:t>
      </w:r>
      <w:r>
        <w:rPr>
          <w:rFonts w:ascii="Times New Roman" w:hAnsi="Times New Roman"/>
          <w:i/>
          <w:sz w:val="20"/>
        </w:rPr>
        <w:t>Foreign Investment Law</w:t>
      </w:r>
      <w:r>
        <w:rPr>
          <w:rFonts w:ascii="Times New Roman" w:hAnsi="Times New Roman"/>
          <w:sz w:val="20"/>
        </w:rPr>
        <w:t xml:space="preserve">, the State Council will publish or approve to publish a catalogue for special administrative measures, or the “negative list.” The </w:t>
      </w:r>
      <w:r>
        <w:rPr>
          <w:rFonts w:ascii="Times New Roman" w:hAnsi="Times New Roman"/>
          <w:i/>
          <w:sz w:val="20"/>
        </w:rPr>
        <w:t>Foreign Investment Law</w:t>
      </w:r>
      <w:r>
        <w:rPr>
          <w:rFonts w:ascii="Times New Roman" w:hAnsi="Times New Roman"/>
          <w:sz w:val="20"/>
        </w:rPr>
        <w:t xml:space="preserve"> grants national treatment to foreign invested entities, except for those foreign invested entities that operate in industries deemed to be either “restricted” or “prohibited” in the “negative list”. The </w:t>
      </w:r>
      <w:r>
        <w:rPr>
          <w:rFonts w:ascii="Times New Roman" w:hAnsi="Times New Roman"/>
          <w:i/>
          <w:sz w:val="20"/>
        </w:rPr>
        <w:t>Foreign Investment Law</w:t>
      </w:r>
      <w:r>
        <w:rPr>
          <w:rFonts w:ascii="Times New Roman" w:hAnsi="Times New Roman"/>
          <w:sz w:val="20"/>
        </w:rPr>
        <w:t xml:space="preserve"> provides that foreign invested entities operating in foreign restricted or prohibited industries will require market entry clearance and other approvals from relevant PRC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w:t>
      </w:r>
      <w:r>
        <w:rPr>
          <w:rFonts w:ascii="Times New Roman" w:hAnsi="Times New Roman"/>
          <w:i/>
          <w:sz w:val="20"/>
        </w:rPr>
        <w:t>Foreign Investment Law</w:t>
      </w:r>
      <w:r>
        <w:rPr>
          <w:rFonts w:ascii="Times New Roman" w:hAnsi="Times New Roman"/>
          <w:sz w:val="20"/>
        </w:rPr>
        <w:t xml:space="preserve"> provides that foreign invested enterprises established according to the existing laws regulating foreign investment may maintain their structure and corporate governance within five years after the implementing of the </w:t>
      </w:r>
      <w:r>
        <w:rPr>
          <w:rFonts w:ascii="Times New Roman" w:hAnsi="Times New Roman"/>
          <w:i/>
          <w:sz w:val="20"/>
        </w:rPr>
        <w:t>Foreign Investment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w:t>
      </w:r>
      <w:r>
        <w:rPr>
          <w:rFonts w:ascii="Times New Roman" w:hAnsi="Times New Roman"/>
          <w:i/>
          <w:sz w:val="20"/>
        </w:rPr>
        <w:t>Foreign Investment Law</w:t>
      </w:r>
      <w:r>
        <w:rPr>
          <w:rFonts w:ascii="Times New Roman" w:hAnsi="Times New Roman"/>
          <w:sz w:val="20"/>
        </w:rPr>
        <w:t xml:space="preserve">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26, 2019, the State Council promulgated the </w:t>
      </w:r>
      <w:r>
        <w:rPr>
          <w:rFonts w:ascii="Times New Roman" w:hAnsi="Times New Roman"/>
          <w:i/>
          <w:sz w:val="20"/>
        </w:rPr>
        <w:t>Implementation Regulations on the Foreign Investment Law</w:t>
      </w:r>
      <w:r>
        <w:rPr>
          <w:rFonts w:ascii="Times New Roman" w:hAnsi="Times New Roman"/>
          <w:sz w:val="20"/>
        </w:rPr>
        <w:t xml:space="preserve">, which came into effect on January 1, 2020. It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relevant market regulation departments will not process other registration matters for these enterprises, and may disclose their relevant information to the public. </w:t>
      </w:r>
    </w:p>
    <w:p>
      <w:pPr>
        <w:pStyle w:val="TextBody"/>
        <w:bidi w:val="0"/>
        <w:spacing w:before="240" w:after="0"/>
        <w:jc w:val="left"/>
        <w:rPr>
          <w:rFonts w:ascii="Times New Roman" w:hAnsi="Times New Roman"/>
          <w:sz w:val="20"/>
        </w:rPr>
      </w:pPr>
      <w:r>
        <w:rPr>
          <w:rFonts w:ascii="Times New Roman" w:hAnsi="Times New Roman"/>
          <w:sz w:val="20"/>
        </w:rPr>
        <w:t xml:space="preserve">On December 30, 2019, the MOFCOM and the State Administration for Market Regulation jointly issued the </w:t>
      </w:r>
      <w:r>
        <w:rPr>
          <w:rFonts w:ascii="Times New Roman" w:hAnsi="Times New Roman"/>
          <w:i/>
          <w:sz w:val="20"/>
        </w:rPr>
        <w:t xml:space="preserve">Measures for </w:t>
      </w:r>
      <w:r>
        <w:rPr>
          <w:rFonts w:ascii="Times New Roman" w:hAnsi="Times New Roman"/>
          <w:sz w:val="20"/>
        </w:rPr>
        <w:t xml:space="preserve">Reporting </w:t>
      </w:r>
      <w:r>
        <w:rPr>
          <w:rFonts w:ascii="Times New Roman" w:hAnsi="Times New Roman"/>
          <w:i/>
          <w:sz w:val="20"/>
        </w:rPr>
        <w:t>of Foreign Investment Information</w:t>
      </w:r>
      <w:r>
        <w:rPr>
          <w:rFonts w:ascii="Times New Roman" w:hAnsi="Times New Roman"/>
          <w:sz w:val="20"/>
        </w:rPr>
        <w:t xml:space="preserve">, or </w:t>
      </w:r>
      <w:r>
        <w:rPr>
          <w:rFonts w:ascii="Times New Roman" w:hAnsi="Times New Roman"/>
          <w:i/>
          <w:sz w:val="20"/>
        </w:rPr>
        <w:t>the Foreign Investment Information Measures</w:t>
      </w:r>
      <w:r>
        <w:rPr>
          <w:rFonts w:ascii="Times New Roman" w:hAnsi="Times New Roman"/>
          <w:sz w:val="20"/>
        </w:rPr>
        <w:t xml:space="preserve">, which came into effect on January 1, 2020 and replaced the Interim Administrative Measures for the Record-filing of the Establishment and Modification of Foreign-invested Enterprises. Since January 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 Foreign Investment Information Measures. If a foreign-invested enterprise investing in the PRC has finished submitting its reports for its establishment, modifications and cancellation and its annual reports, the relevant information will be shared by the competent market regulation department to the competent commercial department, and does not require such foreign-invested enterprise to submit the reports separately. </w:t>
      </w:r>
    </w:p>
    <w:p>
      <w:pPr>
        <w:pStyle w:val="TextBody"/>
        <w:bidi w:val="0"/>
        <w:spacing w:before="240" w:after="0"/>
        <w:jc w:val="left"/>
        <w:rPr>
          <w:rFonts w:ascii="Times New Roman" w:hAnsi="Times New Roman"/>
          <w:sz w:val="20"/>
        </w:rPr>
      </w:pPr>
      <w:r>
        <w:rPr>
          <w:rFonts w:ascii="Times New Roman" w:hAnsi="Times New Roman"/>
          <w:sz w:val="20"/>
        </w:rPr>
        <w:t xml:space="preserve">The establishment, operation and management of corporate entities in the PRC are governed by the PRC Company Law, which was initially promulgated by the SCNPC on December 29, 1993 and was most recently amended on December 29, 2023. The current PRC Company Law will come into effect on July 1, 2024. The PRC Company Law generally governs two types of companies, limited liability companies and joint stock limited companies. The PRC Company Law also applies to foreign-invested companies that are also subject to the operation of other laws and regulations applicable to foreign investment.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75"/>
        <w:gridCol w:w="110"/>
        <w:gridCol w:w="60"/>
        <w:gridCol w:w="2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Foreign Investment Negative List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Special Administrative Measures for Access of Foreign Investment (Negative List)</w:t>
      </w:r>
      <w:r>
        <w:rPr>
          <w:rFonts w:ascii="Times New Roman" w:hAnsi="Times New Roman"/>
          <w:sz w:val="20"/>
        </w:rPr>
        <w:t xml:space="preserve">, the “Negative List”) was firstly issued by the NDRC and the MOFCOM on June 28, 2018, and latest amended and promulgated on September 6, 2024. The Negative List sets forth the prohibited or restricted industries or economic activities for foreign investment in China, including that the legal representative of a general aviation company shall be a Chinese citizen, general aviation companies for agriculture, forestry, or fishing shall be restricted to equity joint ventures, and the Chinese party shall have a controlling stake in a general aviation company for any other field.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75"/>
        <w:gridCol w:w="110"/>
        <w:gridCol w:w="60"/>
        <w:gridCol w:w="3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General Administration of Foreign Exchange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w:t>
      </w:r>
      <w:r>
        <w:rPr>
          <w:rFonts w:ascii="Times New Roman" w:hAnsi="Times New Roman"/>
          <w:i/>
          <w:sz w:val="20"/>
        </w:rPr>
        <w:t xml:space="preserve">Regulation of the People’s Republic of China on Foreign Exchange Administration </w:t>
      </w:r>
      <w:r>
        <w:rPr>
          <w:rFonts w:ascii="Times New Roman" w:hAnsi="Times New Roman"/>
          <w:sz w:val="20"/>
        </w:rPr>
        <w:t xml:space="preserve">promulgated on January 29, 1996 and most recently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capital account items, such as direct equity investments, loans and repatriation of investment, require the prior approval from the SAFE or its local office. </w:t>
      </w:r>
    </w:p>
    <w:p>
      <w:pPr>
        <w:pStyle w:val="TextBody"/>
        <w:bidi w:val="0"/>
        <w:spacing w:before="240" w:after="0"/>
        <w:jc w:val="left"/>
        <w:rPr>
          <w:rFonts w:ascii="Times New Roman" w:hAnsi="Times New Roman"/>
          <w:sz w:val="20"/>
        </w:rPr>
      </w:pPr>
      <w:r>
        <w:rPr>
          <w:rFonts w:ascii="Times New Roman" w:hAnsi="Times New Roman"/>
          <w:sz w:val="20"/>
        </w:rPr>
        <w:t xml:space="preserve">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Circular of the SAFE on Further Improving and Adjusting Foreign Exchange Administration </w:t>
      </w:r>
      <w:r>
        <w:rPr>
          <w:rFonts w:ascii="Times New Roman" w:hAnsi="Times New Roman"/>
          <w:i/>
          <w:sz w:val="20"/>
        </w:rPr>
        <w:t>Policies for Direct Investments</w:t>
      </w:r>
      <w:r>
        <w:rPr>
          <w:rFonts w:ascii="Times New Roman" w:hAnsi="Times New Roman"/>
          <w:sz w:val="20"/>
        </w:rPr>
        <w:t xml:space="preserve">, or the SAFE Circular No. 59 promulgated by the SAFE on November 19, 2012, which became effective on December 17, 2012 and was further amended on May 4, 2015, and again October 10, 2018, and December 30, 2019, approval of the SAFE is not required for opening a foreign exchange account and depositing foreign exchange into the accounts relating to the direct investments. The SAFE Circular No. 59 also simplified foreign exchange-related registration required for foreign investors to acquire equity interests in PRC companies and further improved the administration on foreign exchange settlement for foreign-invested enterprises.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Circular on Further Simplifying and Improving the Foreign Currency Management Policy on Direct Investments</w:t>
      </w:r>
      <w:r>
        <w:rPr>
          <w:rFonts w:ascii="Times New Roman" w:hAnsi="Times New Roman"/>
          <w:sz w:val="20"/>
        </w:rPr>
        <w:t xml:space="preserve">, or the SAFE Circular No. 13, effective from June 1, 2015, and was amended on December 30, 2019, removes the requirement of administrative approvals for foreign exchange registration of direct domestic investments and direct overseas investments and simplifies the procedure of foreign exchange-related registration. Pursuant to the SAFE Circular No. 13, the investors shall register with banks for direct domestic investment and direct overseas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Circular on Reforming the Management Approach regarding the Settlement of Foreign Exchange of Foreign-invested Enterprises</w:t>
      </w:r>
      <w:r>
        <w:rPr>
          <w:rFonts w:ascii="Times New Roman" w:hAnsi="Times New Roman"/>
          <w:sz w:val="20"/>
        </w:rPr>
        <w:t xml:space="preserve">, or the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 According to the </w:t>
      </w:r>
      <w:r>
        <w:rPr>
          <w:rFonts w:ascii="Times New Roman" w:hAnsi="Times New Roman"/>
          <w:i/>
          <w:sz w:val="20"/>
        </w:rPr>
        <w:t>Circular of the State Administration of Foreign Exchange on Abolishing and Nullifying Five Regulatory Documents on Foreign Exchange Administration and Seven Regulatory Documents on Foreign Exchange Administration</w:t>
      </w:r>
      <w:r>
        <w:rPr>
          <w:rFonts w:ascii="Times New Roman" w:hAnsi="Times New Roman"/>
          <w:sz w:val="20"/>
        </w:rPr>
        <w:t xml:space="preserve"> promulgated on December 30, 2019, there are no longer restrictions on the use of foreign exchange settlement in the special overseas inflow deposit account and the special domestic inflow deposit account.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Circular on Reforming and Regulating Policies on the Control over Foreign Exchange Settlement of Capital Accounts</w:t>
      </w:r>
      <w:r>
        <w:rPr>
          <w:rFonts w:ascii="Times New Roman" w:hAnsi="Times New Roman"/>
          <w:sz w:val="20"/>
        </w:rPr>
        <w:t xml:space="preserve">, or the SAFE Circular No. 16, which was promulgated by the SAFE and became effective on June 9, 2016, provides that enterprises registered in the PRC may also convert their foreign debts from foreign currency into Renminbi on a self-discretionary basis. The SAFE Circular No. 16 also provides an integrated standard for conversion of foreign exchange under capital account items (including but not limited to foreign currency capital and foreign debts) on a self-discretionary basis, which applies to all enterprises registered in the PRC.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SAFE Circular No. 13, the </w:t>
      </w:r>
      <w:r>
        <w:rPr>
          <w:rFonts w:ascii="Times New Roman" w:hAnsi="Times New Roman"/>
          <w:i/>
          <w:sz w:val="20"/>
        </w:rPr>
        <w:t>Administrative Rules on the Company Registration</w:t>
      </w:r>
      <w:r>
        <w:rPr>
          <w:rFonts w:ascii="Times New Roman" w:hAnsi="Times New Roman"/>
          <w:sz w:val="20"/>
        </w:rPr>
        <w:t xml:space="preserve"> that was promulgated by the State Council on June 24, 1994 and most recently amended on February 6, 2016, and other laws and regulations governing foreign invested enterprises and company registrations, the establishment of a foreign invested enterprise and any capital increases and other major changes in a foreign invested enterprise shall be registered with a designated bank at the place of its registration and the State Administration for Market Regulation, or the SAMR, or its local counterparts, and be filed via the foreign investment comprehensive administrative system, or the FICMIS, if such foreign invested enterprise does not involve special access administrative measures prescribed by the PRC government.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4, 2023, the SAFE promulgated the Notice of the State Administration of Foreign Exchange on Further Promoting the Convenience of Cross-border Trade and Investment, or the SAFE Circular 28. The SAFE Circular 28 stipulates that non-investment FIEs may use capital to carry out domestic equity investment in accordance with the law provided that such investment does not violate the Negative List and the projects invested are genuine and in compliance with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Loans by the Foreign Companies to their PRC Subsidiaries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loan made by foreign investors to a foreign invested enterprise in which it has an equity interest is considered to be foreign debt in China and is regulated by various laws and regulations, including the </w:t>
      </w:r>
      <w:r>
        <w:rPr>
          <w:rFonts w:ascii="Times New Roman" w:hAnsi="Times New Roman"/>
          <w:i/>
          <w:sz w:val="20"/>
        </w:rPr>
        <w:t>Regulation of the People’s Republic</w:t>
      </w:r>
      <w:r>
        <w:rPr>
          <w:rFonts w:ascii="Times New Roman" w:hAnsi="Times New Roman"/>
          <w:sz w:val="20"/>
        </w:rPr>
        <w:t xml:space="preserve"> </w:t>
      </w:r>
      <w:r>
        <w:rPr>
          <w:rFonts w:ascii="Times New Roman" w:hAnsi="Times New Roman"/>
          <w:i/>
          <w:sz w:val="20"/>
        </w:rPr>
        <w:t>of China on Foreign Exchange Administration</w:t>
      </w:r>
      <w:r>
        <w:rPr>
          <w:rFonts w:ascii="Times New Roman" w:hAnsi="Times New Roman"/>
          <w:sz w:val="20"/>
        </w:rPr>
        <w:t xml:space="preserve">, the </w:t>
      </w:r>
      <w:r>
        <w:rPr>
          <w:rFonts w:ascii="Times New Roman" w:hAnsi="Times New Roman"/>
          <w:i/>
          <w:sz w:val="20"/>
        </w:rPr>
        <w:t>Interim Provisions on the Management of Foreign Debts</w:t>
      </w:r>
      <w:r>
        <w:rPr>
          <w:rFonts w:ascii="Times New Roman" w:hAnsi="Times New Roman"/>
          <w:sz w:val="20"/>
        </w:rPr>
        <w:t xml:space="preserve">, the </w:t>
      </w:r>
      <w:r>
        <w:rPr>
          <w:rFonts w:ascii="Times New Roman" w:hAnsi="Times New Roman"/>
          <w:i/>
          <w:sz w:val="20"/>
        </w:rPr>
        <w:t>Statistical Monitoring of Foreign Debts Tentative Provisions</w:t>
      </w:r>
      <w:r>
        <w:rPr>
          <w:rFonts w:ascii="Times New Roman" w:hAnsi="Times New Roman"/>
          <w:sz w:val="20"/>
        </w:rPr>
        <w:t xml:space="preserve">, the </w:t>
      </w:r>
      <w:r>
        <w:rPr>
          <w:rFonts w:ascii="Times New Roman" w:hAnsi="Times New Roman"/>
          <w:i/>
          <w:sz w:val="20"/>
        </w:rPr>
        <w:t>Detailed Rules for the Implementation of Provisional Regulations on Statistics and Supervision of External Debt</w:t>
      </w:r>
      <w:r>
        <w:rPr>
          <w:rFonts w:ascii="Times New Roman" w:hAnsi="Times New Roman"/>
          <w:sz w:val="20"/>
        </w:rPr>
        <w:t xml:space="preserve">, and the </w:t>
      </w:r>
      <w:r>
        <w:rPr>
          <w:rFonts w:ascii="Times New Roman" w:hAnsi="Times New Roman"/>
          <w:i/>
          <w:sz w:val="20"/>
        </w:rPr>
        <w:t>Administrative Measures for</w:t>
      </w:r>
      <w:r>
        <w:rPr>
          <w:rFonts w:ascii="Times New Roman" w:hAnsi="Times New Roman"/>
          <w:sz w:val="20"/>
        </w:rPr>
        <w:t xml:space="preserve"> </w:t>
      </w:r>
      <w:r>
        <w:rPr>
          <w:rFonts w:ascii="Times New Roman" w:hAnsi="Times New Roman"/>
          <w:i/>
          <w:sz w:val="20"/>
        </w:rPr>
        <w:t>Registration of Foreign Debts</w:t>
      </w:r>
      <w:r>
        <w:rPr>
          <w:rFonts w:ascii="Times New Roman" w:hAnsi="Times New Roman"/>
          <w:sz w:val="20"/>
        </w:rPr>
        <w:t xml:space="preserve">. Under these rules and regulations, a shareholder loan in the form of foreign debt made to a PRC entity does not require the prior approval of the SAFE. However, such foreign debt must be registered with and recorded by the SAFE or its local branches within fifteen business days after execution of the relevant agreement.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Interim Provisions of the State Administration for Industry and Commerce on the Ratio of the Registered Capital to the Total Investment of a Sino-Foreign Equity Joint Venture Enterprise, promulgated by SAMR on February 17, 1987 and taking effect on March 1, 1987, with respect to a Sino-foreign equity join venture, the registered capital shall be (i) no less than 7/10 of its total investment, if the total investment is US$3 million or under US$3 million; (ii) no less than 1/2 of its total investment, if the total investment is ranging from US$3 million to US$10 million (including US$10 million), provided that the registered capital shall not be less than US$2.1 million if the total investment is less than US$4.2 million; (iii) 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 </w:t>
      </w:r>
    </w:p>
    <w:p>
      <w:pPr>
        <w:pStyle w:val="TextBody"/>
        <w:bidi w:val="0"/>
        <w:spacing w:before="240" w:after="0"/>
        <w:jc w:val="left"/>
        <w:rPr>
          <w:rFonts w:ascii="Times New Roman" w:hAnsi="Times New Roman"/>
          <w:sz w:val="20"/>
        </w:rPr>
      </w:pPr>
      <w:r>
        <w:rPr>
          <w:rFonts w:ascii="Times New Roman" w:hAnsi="Times New Roman"/>
          <w:sz w:val="20"/>
        </w:rPr>
        <w:t xml:space="preserve">On January 11, 2017, the People’s Bank of China, or the PBOC promulgated the Notice of the People’s Bank of China on Matters concerning the Macro-Prudential Management of Full-Covered Cross-Border Financing, or the PBOC Notice No. 9. Pursuant to the PBOC Notice No. 9, within a transition period of one year from January 11, 2017, the foreign invested enterprises may adopt the currently valid foreign debt management mechanism, or Current Foreign Debt Mechanism, or the mechanism as provided in the PBOC Notice No. 9, or Notice No. 9 Foreign Debt Mechanism, at their own discretions. The PBOC Notice No. 9 provides that enterprises may conduct independent cross-border financing in Renminbi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Σoutstanding amount of Renminbi and foreign currency denominated cross-border financing * maturity risk conversion factor * type risk conversion factor + Σoutstanding foreign currency denominated cross-border financing * exchange rate risk conversion factor. Maturity risk conversion factor shall be one (1) for medium and long-term cross-border financing with a term of more than one year and 1.5 for short-term cross-border financing with a term of no less than one (1) year. Type risk conversion factor shall be one (1) for on-balance-sheet financing and one (1) for off-balance-sheet financing (contingent liabilities) for the time being. Exchange rate risk conversion factor shall be 0.5. The PBOC Notice No. 9 further provides that the upper limit of risk-weighted outstanding cross-border financing for enterprises shall calculated and adjustable based on the equation of upper limit of risk-weighted outstanding cross-border financing = the capital or the net assets × the leverage rate of cross-border financing × the macro-prudential adjustment parameter. For enterprises, the leverage rate of cross-border financing shall be 2 and the macro-prudential adjustment parameter shall be 1, which means that the upper limit of risk-weighted outstanding cross-border financing for an enterprise shall be 200% of its net assets. Enterprises shall file with the SAFE in its capital item information system after entering into the relevant cross-border financing contracts and prior to three (3) business days before drawing any money from the foreign debts. On March 11, 2020, the PBOC and the SAFE issued PBOC and SAFE Notice Concerning Adjustment to the Full Caliber Cross-border Finance Adjustment Parameter, pursuant to which the macro-prudential adjustment parameter has been increased from 1 to 1.25, which means that the upper limit of risk-weighted outstanding cross-border financing for an enterprise is increased to 250% of its net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the foregoing, if we provide funding to our wholly foreign owned subsidiaries through shareholder loans, the balance of such loans shall not exceed the Total Investment and Registered Capital Balance and we will need to register such loans with the SAFE or its local branches in the event that the Current Foreign Debt Mechanism applies, or the balance of such loans shall be subject to the Risk-Weighted Approach and the net asset limits and we will need to file the loans with the SAFE in its information system in the event that the Notice No. 9 Foreign Debt Mechanism applies. According to the PBOC Notice No. 9, after a transition period of one year from January 11, 2017, the PBOC and the SAFE will determine the cross-border financing administration mechanism for the foreign-invested enterprises after evaluating the overall implementation of the PBOC Notice No. 9. It is uncertain which mechanism will be adopted by the PBOC and the SAFE in the future and what statutory limits will be imposed on us when providing loans to our PRC subsidiaries.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Offshore Investment by PRC Residents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SAFE’s Notice on Relevant Issues Concerning Foreign Exchange Administration for PRC Residents to Engage in Financing and Round-Trip Investment via Overseas Special Purpose Vehicles and its subsequent amendments, supplements or implementation rules, or SAFE Circular 75, issued on October 21, 2005, a PRC resident (whether a natural person or a legal person) shall register with the local branch of the SAFE before it establishes or controls an overseas special purpose vehicle, or an SPV, with assets or equity interests in a PRC company, for the purpose of overseas equity financing. On July 4, 2014, SAFE issued the SAFE’s Notice on Relevant Issues Concerning Foreign Exchange Administration for PRC Residents to Engage in Outbound Investment and Financing and Round-trip Investments via Special Purpose Vehicles, or the SAFE Circular 37, which superseded SAFE Circular 75. According to SAFE Circular 37, the PRC domestic resident shall apply for SAFE registration for overseas investment before paying capital to SPV by using his, her or its legal assets whether overseas or domestic. The SPV is defined as “offshore enterprise directly established or indirectly controlled by the domestic residents (including domestic institutions and individuals) with their legally owned assets and equity of the domestic enterprise, or legally owned offshore assets or equity, for the purpose of offshore investment and financing”. In addition, in the event that the SPV undergoes changes of its basic information such as the individual shareholder, name, operation term, etc., or material events including increase or decrease in investment amount by domestic individual shareholder, equity transfer or swap, mergers, spin-off, etc., the domestic resident shall timely complete the change of foreign exchange registration formality for offshore investment.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SAFE Circular 37, failure to make such registration or truthfully disclose actual controllers of the round-trip enterprises may subject PRC residents to fines of up to RMB300,000 in case of domestic institutions or RMB50,000 in case of domestic individuals. If the registered or beneficial shareholders of the offshore holding company who are PRC residents do not complete their registration with the local SAFE branches, the relevant PRC subsidiary may be prohibited from distributing their profits and proceeds from any reduction in capital, share transfer or liquidation to the offshore company, and the offshore company may be restricted in its ability to contribute additional capital to its PRC subsidiary. Moreover, failure to comply with the SAFE registration and amendment requirements described above could result in liability under PRC laws for violating applicable foreign exchange restrictions. </w:t>
      </w:r>
    </w:p>
    <w:p>
      <w:pPr>
        <w:pStyle w:val="TextBody"/>
        <w:bidi w:val="0"/>
        <w:spacing w:before="240" w:after="0"/>
        <w:jc w:val="left"/>
        <w:rPr>
          <w:rFonts w:ascii="Times New Roman" w:hAnsi="Times New Roman"/>
          <w:sz w:val="20"/>
        </w:rPr>
      </w:pPr>
      <w:r>
        <w:rPr>
          <w:rFonts w:ascii="Times New Roman" w:hAnsi="Times New Roman"/>
          <w:sz w:val="20"/>
        </w:rPr>
        <w:t xml:space="preserve">Mr. Huazhi Hu, our founder, has completed initial registration under the SAFE Circular 37 with respect to his shareholding in our company through his wholly-owned company incorporated in the British Virgin Islands. An amendment to the registration is required if there are material changes to the registrant, such as any changes to the identity of the registrant, increases or decreases in investment amount, transfers or exchanges of shares and mergers. We cannot provide any assurance that all of our shareholders who are PRC residents will file all applicable registrations or amend previously filed registrations as required by these SAFE regulations. The failure or inability of our PRC resident shareholders to comply with the registration procedures may subject the PRC resident shareholders to fines and legal sanctions, restrict our cross-border investment activities, or limit our PRC subsidiaries’ ability to distribute dividends to or obtain foreign exchange-dominated loans from our company. </w:t>
      </w:r>
    </w:p>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110"/>
        <w:gridCol w:w="60"/>
        <w:gridCol w:w="1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Dividend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laws and regulations regulating the distribution of dividends by foreign-invested enterprises in the PRC include the </w:t>
      </w:r>
      <w:r>
        <w:rPr>
          <w:rFonts w:ascii="Times New Roman" w:hAnsi="Times New Roman"/>
          <w:i/>
          <w:sz w:val="20"/>
        </w:rPr>
        <w:t>PRC Company Law</w:t>
      </w:r>
      <w:r>
        <w:rPr>
          <w:rFonts w:ascii="Times New Roman" w:hAnsi="Times New Roman"/>
          <w:sz w:val="20"/>
        </w:rPr>
        <w:t xml:space="preserve">, as amended in 2004, 2005, 2013, 2018 and 2023, the </w:t>
      </w:r>
      <w:r>
        <w:rPr>
          <w:rFonts w:ascii="Times New Roman" w:hAnsi="Times New Roman"/>
          <w:i/>
          <w:sz w:val="20"/>
        </w:rPr>
        <w:t>Foreign Investment Law of PRC</w:t>
      </w:r>
      <w:r>
        <w:rPr>
          <w:rFonts w:ascii="Times New Roman" w:hAnsi="Times New Roman"/>
          <w:sz w:val="20"/>
        </w:rPr>
        <w:t xml:space="preserve"> promulgated in 2020 and the </w:t>
      </w:r>
      <w:r>
        <w:rPr>
          <w:rFonts w:ascii="Times New Roman" w:hAnsi="Times New Roman"/>
          <w:i/>
          <w:sz w:val="20"/>
        </w:rPr>
        <w:t>Implementation Rules to the Foreign Investment Law</w:t>
      </w:r>
      <w:r>
        <w:rPr>
          <w:rFonts w:ascii="Times New Roman" w:hAnsi="Times New Roman"/>
          <w:sz w:val="20"/>
        </w:rPr>
        <w:t xml:space="preserve"> promulgated in 2020. Under the current regulatory regime in the PRC, foreign-invested enterprises may pay dividends only out of their retained earnings, if any, as determined in accordance with PRC accounting standards and regulations. A PRC company is required to set aside as statutory reserve funds of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Taxation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Enterprise Income Tax</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16, 2007, the SCNPC promulgated the Enterprise Income Tax Law of the PRC which was amended on February 24, 2017 and December 29, 2018. On December 6, 2007, the State Council enacted the </w:t>
      </w:r>
      <w:r>
        <w:rPr>
          <w:rFonts w:ascii="Times New Roman" w:hAnsi="Times New Roman"/>
          <w:i/>
          <w:sz w:val="20"/>
        </w:rPr>
        <w:t>Regulations for the Implementation of the Enterprise Income Tax Law</w:t>
      </w:r>
      <w:r>
        <w:rPr>
          <w:rFonts w:ascii="Times New Roman" w:hAnsi="Times New Roman"/>
          <w:sz w:val="20"/>
        </w:rPr>
        <w:t xml:space="preserve">, or collectively, the EIT Law. The EIT Law came into effect on January 1, 2008 and was amended on April 23, 2019 and December 6, 2024.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 According to the EIT Law and relevant regulations, subject to the approval of competent tax authorities, the income tax of an enterprise that has been determined to be a high and new technology enterprise shall be reduced to a preferential rate of 15%.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Value-added Tax</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w:t>
      </w:r>
      <w:r>
        <w:rPr>
          <w:rFonts w:ascii="Times New Roman" w:hAnsi="Times New Roman"/>
          <w:i/>
          <w:sz w:val="20"/>
        </w:rPr>
        <w:t>Value-added Tax Law of the People’s Republic of China</w:t>
      </w:r>
      <w:r>
        <w:rPr>
          <w:rFonts w:ascii="Times New Roman" w:hAnsi="Times New Roman"/>
          <w:sz w:val="20"/>
        </w:rPr>
        <w:t xml:space="preserve"> promulgated by the SCNPC on December 25, 2024 and became effective on January 1, 2026, all enterprises and individuals that engage in the sale of goods, services, intangible assets or immovable properties and the importation of goods within the territory of the PRC must pay value-added tax (the “VAT”). The VAT tax implemented is 13%, 9%, 6%, and shall be adjusted by the State Council.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Tax on Indirect Transfer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3, 2015, the SAT issued the </w:t>
      </w:r>
      <w:r>
        <w:rPr>
          <w:rFonts w:ascii="Times New Roman" w:hAnsi="Times New Roman"/>
          <w:i/>
          <w:sz w:val="20"/>
        </w:rPr>
        <w:t>Circular on Issues of Enterprise Income Tax on Indirect Transfers of Assets by Non-PRC Resident Enterprises</w:t>
      </w:r>
      <w:r>
        <w:rPr>
          <w:rFonts w:ascii="Times New Roman" w:hAnsi="Times New Roman"/>
          <w:sz w:val="20"/>
        </w:rPr>
        <w:t xml:space="preserve">, or the SAT Circular 7. Pursuant to the SAT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w:t>
      </w:r>
      <w:r>
        <w:rPr>
          <w:rFonts w:ascii="Times New Roman" w:hAnsi="Times New Roman"/>
          <w:i/>
          <w:sz w:val="20"/>
        </w:rPr>
        <w:t>inter alia</w:t>
      </w:r>
      <w:r>
        <w:rPr>
          <w:rFonts w:ascii="Times New Roman" w:hAnsi="Times New Roman"/>
          <w:sz w:val="20"/>
        </w:rPr>
        <w:t xml:space="preserve">,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The SAT Circular 7 does not apply to transactions of sale of shares by investors through a public stock exchange where such shares were acquired on a public stock exchange. On October 17, 2017, the SAT issued the </w:t>
      </w:r>
      <w:r>
        <w:rPr>
          <w:rFonts w:ascii="Times New Roman" w:hAnsi="Times New Roman"/>
          <w:i/>
          <w:sz w:val="20"/>
        </w:rPr>
        <w:t>Circular on Issues of Tax Withholding regarding Source of Non-PRC Resident Enterprise Income Tax</w:t>
      </w:r>
      <w:r>
        <w:rPr>
          <w:rFonts w:ascii="Times New Roman" w:hAnsi="Times New Roman"/>
          <w:sz w:val="20"/>
        </w:rPr>
        <w:t xml:space="preserve">, or the SAT Circular 37, which further elaborates on the relevant implemental rules regarding the calculation, reporting and payment obligations of the withholding tax by the non-resident enterprises.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Employment and Social Welfare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75"/>
        <w:gridCol w:w="110"/>
        <w:gridCol w:w="60"/>
        <w:gridCol w:w="1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Labor Contract Law</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w:t>
      </w:r>
      <w:r>
        <w:rPr>
          <w:rFonts w:ascii="Times New Roman" w:hAnsi="Times New Roman"/>
          <w:i/>
          <w:sz w:val="20"/>
        </w:rPr>
        <w:t>Labor Contract Law of the PRC</w:t>
      </w:r>
      <w:r>
        <w:rPr>
          <w:rFonts w:ascii="Times New Roman" w:hAnsi="Times New Roman"/>
          <w:sz w:val="20"/>
        </w:rPr>
        <w:t xml:space="preserve">, or the Labor Contract Law, which was promulgated on June 29, 2007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in excess of certain time limit and employers shall pay employees for overtime work in accordance with national regulations. In addition, employee wages shall be no lower than the local minimum wages and must be paid to employees in a timely manner.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75"/>
        <w:gridCol w:w="110"/>
        <w:gridCol w:w="60"/>
        <w:gridCol w:w="3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Interim Provisions on Labor Dispatch</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w:t>
      </w:r>
      <w:r>
        <w:rPr>
          <w:rFonts w:ascii="Times New Roman" w:hAnsi="Times New Roman"/>
          <w:i/>
          <w:sz w:val="20"/>
        </w:rPr>
        <w:t>Interim Provisions on Labor Dispatch</w:t>
      </w:r>
      <w:r>
        <w:rPr>
          <w:rFonts w:ascii="Times New Roman" w:hAnsi="Times New Roman"/>
          <w:sz w:val="20"/>
        </w:rPr>
        <w:t xml:space="preserve"> promulgated by the Ministry of Human Resources and Social Security on January 24, 2014, which became effective on March 1, 2014, dispatched workers are entitled to the same pay as the fulltime employees for the same nature of work. Employers are allowed to use dispatched workers for temporary, auxiliary or substitutive positions, and the number of dispatched workers must not exceed 10% of the total number of employees.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75"/>
        <w:gridCol w:w="110"/>
        <w:gridCol w:w="60"/>
        <w:gridCol w:w="3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Social Insurance and Housing Fund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required under the Regulation of Insurance for Labor Injury implemented on January 1, 2004 and amended in 2010, the Provisional Measures for Maternity Insurance of Employees of Corporations implemented on January 1, 1995, the </w:t>
      </w:r>
      <w:r>
        <w:rPr>
          <w:rFonts w:ascii="Times New Roman" w:hAnsi="Times New Roman"/>
          <w:i/>
          <w:sz w:val="20"/>
        </w:rPr>
        <w:t>Decisions on the Establishment of a Unified Pension Insurance Program for Enterprise Employees of the State Council</w:t>
      </w:r>
      <w:r>
        <w:rPr>
          <w:rFonts w:ascii="Times New Roman" w:hAnsi="Times New Roman"/>
          <w:sz w:val="20"/>
        </w:rPr>
        <w:t xml:space="preserve"> issued on July 16, 1997, the Decisions on the </w:t>
      </w:r>
      <w:r>
        <w:rPr>
          <w:rFonts w:ascii="Times New Roman" w:hAnsi="Times New Roman"/>
          <w:i/>
          <w:sz w:val="20"/>
        </w:rPr>
        <w:t xml:space="preserve">Establishment of the Medical Insurance Program for Urban Workers of the State </w:t>
      </w:r>
      <w:r>
        <w:rPr>
          <w:rFonts w:ascii="Times New Roman" w:hAnsi="Times New Roman"/>
          <w:sz w:val="20"/>
        </w:rPr>
        <w:t xml:space="preserve">Council promulgated on December 14, 1998, the </w:t>
      </w:r>
      <w:r>
        <w:rPr>
          <w:rFonts w:ascii="Times New Roman" w:hAnsi="Times New Roman"/>
          <w:i/>
          <w:sz w:val="20"/>
        </w:rPr>
        <w:t>Unemployment Insurance Measures</w:t>
      </w:r>
      <w:r>
        <w:rPr>
          <w:rFonts w:ascii="Times New Roman" w:hAnsi="Times New Roman"/>
          <w:sz w:val="20"/>
        </w:rPr>
        <w:t xml:space="preserve"> promulgated on January 22, 1999 and the </w:t>
      </w:r>
      <w:r>
        <w:rPr>
          <w:rFonts w:ascii="Times New Roman" w:hAnsi="Times New Roman"/>
          <w:i/>
          <w:sz w:val="20"/>
        </w:rPr>
        <w:t>Social Insurance Law of the PRC</w:t>
      </w:r>
      <w:r>
        <w:rPr>
          <w:rFonts w:ascii="Times New Roman" w:hAnsi="Times New Roman"/>
          <w:sz w:val="20"/>
        </w:rPr>
        <w:t xml:space="preserve"> implemented on July 1, 2011 and amended on December 29, 2018, employers are required to provide their employees in the PRC with welfare benefits covering pension insurance, unemployment insurance, maternity insurance, labor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relevant contributions within the grace period, it may be subject to a fine ranging from one (1) to three (3) times the amount overdue.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w:t>
      </w:r>
      <w:r>
        <w:rPr>
          <w:rFonts w:ascii="Times New Roman" w:hAnsi="Times New Roman"/>
          <w:i/>
          <w:sz w:val="20"/>
        </w:rPr>
        <w:t>Regulations on the Management of Housing Fund</w:t>
      </w:r>
      <w:r>
        <w:rPr>
          <w:rFonts w:ascii="Times New Roman" w:hAnsi="Times New Roman"/>
          <w:sz w:val="20"/>
        </w:rPr>
        <w:t xml:space="preserve"> which was promulgated by the State Council in 1999 and amended in 2002 and 2019, employers must register at the designated administrative centers and open bank accounts for depositing employees’ housing funds. An employee and his/her employer are also required to pay and deposit certain percentage of the monthly average salary of such employee as housing funds in the preceding year in full and on time.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110"/>
        <w:gridCol w:w="60"/>
        <w:gridCol w:w="2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Employee Stock Incentive Plan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Notice of Issues Related to the Foreign Exchange Administration for Domestic Individuals Participating in Stock Incentive Plan of Overseas Listed Company, or the SAFE Circular 7, which was issued by the SAFE on February 15, 2012, if PRC “domestic individuals” (both PRC residents and non-PRC residents who reside in China for a continuous period of not less than one year, excluding foreign diplomatic personnel and representatives of international organizations) participate in any stock incentive plan of an overseas listed company, a PRC domestic qualified agent, which could be the PRC subsidiary of such overseas listed company, shall, among others things, file, on behalf of such individual, an application with the SAFE to conduct the SAFE registration with respect to such stock incentive plan, and obtain approval for an annual allowance with respect to the purchase of foreign exchange in connection with stock holding or stock option exercises. In addition, the SAFE Circular 37 also provides certain requirements and procedures of foreign exchange registration in relation to equity incentive plan of SPV before listing. In this regard, if a non-listed SPV grants equity incentives to its directors, supervisors, senior officers or other employees in its domestic subsidiaries, the relevant domestic individual residents may register with the SAFE before exercising their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75"/>
        <w:gridCol w:w="110"/>
        <w:gridCol w:w="60"/>
        <w:gridCol w:w="2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M&amp;A Rules and Overseas Listing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8, 2006, six (6) PRC governmental and regulatory agencies, including the MOFCOM and the China Securities Regulatory Commission, or the CSRC, promulgated the </w:t>
      </w:r>
      <w:r>
        <w:rPr>
          <w:rFonts w:ascii="Times New Roman" w:hAnsi="Times New Roman"/>
          <w:i/>
          <w:sz w:val="20"/>
        </w:rPr>
        <w:t>Rules on Acquisition of Domestic Enterprises by Foreign Investors</w:t>
      </w:r>
      <w:r>
        <w:rPr>
          <w:rFonts w:ascii="Times New Roman" w:hAnsi="Times New Roman"/>
          <w:sz w:val="20"/>
        </w:rPr>
        <w:t xml:space="preserve">, or the M&amp;A Rules that became effective on September 8, 2006 and was revised on June 22, 2009, governing the mergers and acquisitions of domestic enterprises by foreign investors.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offshore SPV, or an SPV formed for overseas listing purposes and controlled directly or indirectly by PRC companies or individuals, shall obtain the approval of the CSRC prior to overseas listing and trading of such SPV’s securities on an overseas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the CSRC issued rules and regulations concerning the filing management of overseas listing, which came into effect on March 31, 2023. The rules and regulations issued include the Provisional Measures for the Administration of Overseas Issuance and Listing of Securities by Domestic Enterprises, or the New Filing Rules, and five supporting guidelines. The New Filing Rules dictate that enterprises that have been listed overseas prior to March 31, 2023 constitute “Existing Issuers.” Existing Issuers are required to complete filing procedure with the CSRC before they conduct refinancing activities or issue securities such as convertible bonds, exchangeable bonds and preference shares, unless such securities are issued as equity incentive awards or in connection with conversion of public reserve funds into increased company capital, share dividends or share split. Given that the New Filing Rules were recently promulgated, there remains substantial uncertainties as to their interpretation, application, and enforcement and how they will affect an Existing Issuer’s operations and future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Environmental Protection and Work Safety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75"/>
        <w:gridCol w:w="110"/>
        <w:gridCol w:w="60"/>
        <w:gridCol w:w="2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Environmental Protection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w:t>
      </w:r>
      <w:r>
        <w:rPr>
          <w:rFonts w:ascii="Times New Roman" w:hAnsi="Times New Roman"/>
          <w:i/>
          <w:sz w:val="20"/>
        </w:rPr>
        <w:t>Environmental Protection Law of the PRC</w:t>
      </w:r>
      <w:r>
        <w:rPr>
          <w:rFonts w:ascii="Times New Roman" w:hAnsi="Times New Roman"/>
          <w:sz w:val="20"/>
        </w:rPr>
        <w:t xml:space="preserve"> promulgated by the SCNPC, on December 26, 1989, amended on April 24, 2014 and effective on January 1, 2015, any entity which discharges or will discharge pollutants during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On March 12, 2026, the National People’s Congress adopted the Ecological and Environmental Code of the People’s Republic of China, which will take effect on August 15, 2026, to replace the above Environment Protection Law of the PRC. The code establishes a dedicated chapter on “Pollutant Discharge Permit Management,” requiring all pollutant-discharging entities to be included in permit management; it also includes specific provisions on legal liabilities for violations of pollutant discharge permit regulations, imposing stricter penalties for acts such as falsifying monitoring data. Environmental protection authorities impose various administrative penalties on persons or enterprises in violation of applicable environmental laws. Such penalties include warnings, fines, orders to rectify within the prescribed period, orders to cease construction, orders to restrict or 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Civil Code of the PRC. In addition, environmental organizations may also bring lawsuits against any entity that discharges pollutants detrimental to the public welfare.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protection authorities impose various administrative penalties on persons or enterprises in violation of the </w:t>
      </w:r>
      <w:r>
        <w:rPr>
          <w:rFonts w:ascii="Times New Roman" w:hAnsi="Times New Roman"/>
          <w:i/>
          <w:sz w:val="20"/>
        </w:rPr>
        <w:t>Environmental Protection Law</w:t>
      </w:r>
      <w:r>
        <w:rPr>
          <w:rFonts w:ascii="Times New Roman" w:hAnsi="Times New Roman"/>
          <w:sz w:val="20"/>
        </w:rPr>
        <w:t xml:space="preserve">. Such penalties include warnings, fines, orders to rectify within the prescribed period, orders to cease construction, orders to restrict or 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Civil Code of the PRC. In addition, environmental organizations may also bring lawsuits against any entity that discharges pollutants detrimental to the public welfare. </w:t>
      </w:r>
    </w:p>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10"/>
        <w:gridCol w:w="60"/>
        <w:gridCol w:w="1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Work Safety</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relevant construction safety laws and regulations, including the </w:t>
      </w:r>
      <w:r>
        <w:rPr>
          <w:rFonts w:ascii="Times New Roman" w:hAnsi="Times New Roman"/>
          <w:i/>
          <w:sz w:val="20"/>
        </w:rPr>
        <w:t>Work Safety Law of the PRC</w:t>
      </w:r>
      <w:r>
        <w:rPr>
          <w:rFonts w:ascii="Times New Roman" w:hAnsi="Times New Roman"/>
          <w:sz w:val="20"/>
        </w:rPr>
        <w:t xml:space="preserve"> which was promulgated by the SCNPC on June 29, 2002, amended on August 27, 2009, August 31, 2014, and June 10, 2021 and effective as of September 1, 2021,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aforementioned environment protection and work safety requirements.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75"/>
        <w:gridCol w:w="110"/>
        <w:gridCol w:w="60"/>
        <w:gridCol w:w="1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Fire Control</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w:t>
      </w:r>
      <w:r>
        <w:rPr>
          <w:rFonts w:ascii="Times New Roman" w:hAnsi="Times New Roman"/>
          <w:i/>
          <w:sz w:val="20"/>
        </w:rPr>
        <w:t>Fire Safety Law of the PRC</w:t>
      </w:r>
      <w:r>
        <w:rPr>
          <w:rFonts w:ascii="Times New Roman" w:hAnsi="Times New Roman"/>
          <w:sz w:val="20"/>
        </w:rPr>
        <w:t xml:space="preserve"> promulgated by the SCNPC on April 29, 1998, amended on October 28, 2008, April 23, 2019, and April 29, 2021 and which became effective on April 29, 2021 and the </w:t>
      </w:r>
      <w:r>
        <w:rPr>
          <w:rFonts w:ascii="Times New Roman" w:hAnsi="Times New Roman"/>
          <w:i/>
          <w:sz w:val="20"/>
        </w:rPr>
        <w:t>Interim Provisions for Management of Examination and Acceptance of Fire Protection Design of Construction Projects</w:t>
      </w:r>
      <w:r>
        <w:rPr>
          <w:rFonts w:ascii="Times New Roman" w:hAnsi="Times New Roman"/>
          <w:sz w:val="20"/>
        </w:rPr>
        <w:t xml:space="preserve"> promulgated by the Ministry of Housing and Urban-Rural Development of the PRC on April 1, 2020, amended on August 21, 2023, and became effective on October 30, 2023, the construction entity of a large-scale crowded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provide fire protection design and technical materials meeting the construction needs when it applies for construction work permits, and complete the filing for fire safety completion inspection and acceptance procedures within five business days after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 </w:t>
      </w:r>
    </w:p>
    <w:p>
      <w:pPr>
        <w:pStyle w:val="TextBody"/>
        <w:bidi w:val="0"/>
        <w:spacing w:before="360" w:after="0"/>
        <w:jc w:val="left"/>
        <w:rPr>
          <w:rFonts w:ascii="Times New Roman" w:hAnsi="Times New Roman"/>
          <w:b/>
          <w:sz w:val="20"/>
        </w:rPr>
      </w:pPr>
      <w:r>
        <w:rPr>
          <w:rFonts w:ascii="Times New Roman" w:hAnsi="Times New Roman"/>
          <w:b/>
          <w:sz w:val="20"/>
        </w:rPr>
        <w:t xml:space="preserve">C. Organizational Structure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diagram illustrates our corporate structure as of the date of this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6115050" cy="3457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15050" cy="3457575"/>
                    </a:xfrm>
                    <a:prstGeom prst="rect">
                      <a:avLst/>
                    </a:prstGeom>
                  </pic:spPr>
                </pic:pic>
              </a:graphicData>
            </a:graphic>
          </wp:inline>
        </w:drawing>
      </w:r>
      <w:r>
        <w:rPr/>
        <w:t xml:space="preserve">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Huazhi Hu and Mr. Weixian Xia hold 95.0% and 5.0% equity interests in the VIE, respectively. In September 2025, Mr. Shuai Feng transferred all of his equity interests in the VIE to Mr. Huazhi Hu.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the mandatorily redeemable non-controlling interests in Yunfu EHang Intelligent Technology Limited were fully repaid in June 2025 and the investor was deregistered in August 2025. Accordingly, the WFOE holds 96.2% of the equity interests in Yunfu EHang Intelligent Technology Limited as of December 31,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with the VIE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currently effective contractual arrangements by and among the WFOE, the VIE and the VIE’s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Agreements that Provide Us with Power to Direct the Activities of the VIE </w:t>
      </w:r>
    </w:p>
    <w:p>
      <w:pPr>
        <w:pStyle w:val="TextBody"/>
        <w:bidi w:val="0"/>
        <w:spacing w:before="120" w:after="0"/>
        <w:jc w:val="left"/>
        <w:rPr>
          <w:rFonts w:ascii="Times New Roman" w:hAnsi="Times New Roman"/>
          <w:sz w:val="20"/>
        </w:rPr>
      </w:pPr>
      <w:r>
        <w:rPr>
          <w:rFonts w:ascii="Times New Roman" w:hAnsi="Times New Roman"/>
          <w:b/>
          <w:i/>
          <w:sz w:val="20"/>
        </w:rPr>
        <w:t>Shareholders Voting Proxy Agreement.</w:t>
      </w:r>
      <w:r>
        <w:rPr>
          <w:rFonts w:ascii="Times New Roman" w:hAnsi="Times New Roman"/>
          <w:sz w:val="20"/>
        </w:rPr>
        <w:t xml:space="preserve"> Pursuant to the shareholders voting proxy agreement dated October 21, 2020 and as amended on August 18, 2025 and November 21, 2025, respectively, and the power of attorney granted thereunder, each of the VIE’s shareholders irrevocably authorizes the WFOE to act as his attorney-in-fact to exercise all of his rights as a shareholder of the VIE, including, but not limited to, the right to (i) propose, convene and preside over the shareholders’ meetings; (ii) attend shareholders’ meetings; (iii) vote on any resolution that requires a shareholder vote pursuant to applicable laws and the articles of association of the VIE, such as the sale and transfer of all or part of the equity interests owned by such shareholder; and (iv) designate and appoint legal representative, directors, supervisors, general manager and other senior management. Pursuant to the shareholders voting proxy agreement, a breach by any party of its obligations thereunder which is not remedied within a reasonable period or within ten days after written notice may give rise to liability for breach. Where the Registered Shareholders or the VIE is in breach, the WFOE is entitled to terminate the agreement and claim compensation. Where the breach is by the WFOE, the non-defaulting party may claim damages but, unless otherwise required by law, does not have the right to terminate the agreement. The shareholders voting proxy agreement will remain effective for 20 years and can be extended at the WFOE’s sole discretion. The power of attorney granted under the shareholders voting proxy agreement will remain effective continuously from the date of execution, and the WFOE is entitled to assign its rights relating to the equity interests to any other person or entity at its own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The Special Agreement on the Capital Increase of the VIE</w:t>
      </w:r>
      <w:r>
        <w:rPr>
          <w:rFonts w:ascii="Times New Roman" w:hAnsi="Times New Roman"/>
          <w:sz w:val="20"/>
        </w:rPr>
        <w:t xml:space="preserve">. Pursuant to the special agreement on the capital increase of the VIE dated February 22, 2019 and as amended on November 21, 2025, among the WFOE, the VIE and the shareholders of the VIE, being Mr. Hu and Mr. Yifang Xiong which was amended on September 7, 2020, October 21, 2020 and August 18, 2025, respectively, the WFOE has granted interest-free loans with an aggregate amount of RMB60 million to the shareholders of the VIE for the sole purpose of providing funds necessary for the capital increase to the VIE. The loans shall be repaid by the shareholders of the VIE through a transfer of their equity interests in the VIE to the WFOE, in proportion to the amount of the loans to be repaid. As of the date of this annual report, the full amount of these loans remains outstanding. </w:t>
      </w:r>
    </w:p>
    <w:p>
      <w:pPr>
        <w:pStyle w:val="TextBody"/>
        <w:bidi w:val="0"/>
        <w:spacing w:before="240" w:after="0"/>
        <w:jc w:val="left"/>
        <w:rPr>
          <w:rFonts w:ascii="Times New Roman" w:hAnsi="Times New Roman"/>
          <w:sz w:val="20"/>
        </w:rPr>
      </w:pPr>
      <w:r>
        <w:rPr>
          <w:rFonts w:ascii="Times New Roman" w:hAnsi="Times New Roman"/>
          <w:b/>
          <w:i/>
          <w:sz w:val="20"/>
        </w:rPr>
        <w:t>Share Pledge Agreements.</w:t>
      </w:r>
      <w:r>
        <w:rPr>
          <w:rFonts w:ascii="Times New Roman" w:hAnsi="Times New Roman"/>
          <w:sz w:val="20"/>
        </w:rPr>
        <w:t xml:space="preserve"> Pursuant to the share pledge agreements dated October 21, 2020 and September 4, 2025 and as amended on November 21, 2025, between the WFOE and each of the shareholders of the VIE, the shareholders of the VIE have pledged their entire equity interests in the VIE to the WFOE, to guarantee the performance of their obligations under the exclusive technical consulting and services agreement, the exclusive services agreement, the shareholders voting proxy agreement and the exclusive option agreement described elsewhere in this annual report. In the event of a breach by any of the VIE’s shareholders of his contractual obligations under the relevant agreements, the WFOE, as pledgee, will have the right to acquire all or part of the pledged equity interests in the VIE. The shareholders of the VIE also undertake that, without the prior written consent of the WFOE, they will not create any encumbrance on or otherwise transfer or dispose of their respective equity interests in the VIE. The share pledge agreements will remain effective until all the contractual obligations under the relevant agreement have been satisfied in full, the WFOE exercises its unilateral and unconditional right to terminate the share pledge agreements, or it is terminated as required by applicable PRC laws and regulations. As of the date of this annual report, we have registered all such share pledges with the relevant authorities in accordance with PRC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that Allows Us to Receive Economic Benefits from the VIE </w:t>
      </w:r>
    </w:p>
    <w:p>
      <w:pPr>
        <w:pStyle w:val="TextBody"/>
        <w:bidi w:val="0"/>
        <w:spacing w:before="120" w:after="0"/>
        <w:jc w:val="left"/>
        <w:rPr>
          <w:rFonts w:ascii="Times New Roman" w:hAnsi="Times New Roman"/>
          <w:sz w:val="20"/>
        </w:rPr>
      </w:pPr>
      <w:r>
        <w:rPr>
          <w:rFonts w:ascii="Times New Roman" w:hAnsi="Times New Roman"/>
          <w:b/>
          <w:i/>
          <w:sz w:val="20"/>
        </w:rPr>
        <w:t>Exclusive Technical Consulting and Services Agreements.</w:t>
      </w:r>
      <w:r>
        <w:rPr>
          <w:rFonts w:ascii="Times New Roman" w:hAnsi="Times New Roman"/>
          <w:sz w:val="20"/>
        </w:rPr>
        <w:t xml:space="preserve"> Pursuant to the exclusive technical consulting and services agreement, dated January 29, 2016 and subsequently amended on November 30, 2018 and November 21, 2025, respectively, and the exclusive services agreement dated January 29, 2016 and as amended on November 21, 2025, between the WFOE and the VIE, the WFOE has the exclusive right to provide the VIE and the VIE’s subsidiaries with technical consulting and services, including but not limited to those relating to the development, manufacturing and sales of intelligent aerial vehicles. Without the WFOE’s prior written consent, the VIE cannot, directly or indirectly, accept any technical consulting services subject to this agreement from any third party. the VIE agrees to pay the WFOE a service fee equal to 100% of the consolidated net profits of the VIE after the VIE turns profitable on a cumulative basis and after netting off certain expenses. Our WFOE has the sole discretion in determining the service fee charged to the VIE under this agreement. Our WFOE has the exclusive ownership of all the intellectual property rights created as a result of the performance of the exclusive technical consulting and services agreement. The exclusive technical consulting and services agreement and the exclusive agreement, unless terminated earlier in accordance with their terms, have an initial term of ten years and shall be automatically renewed for successive ten-year periods without limitation on the number of renewals. Notwithstanding the foregoing, the WFOE has the exclusive and unconditional right, at its sole discretion, to terminate the agreements at any time by giving notice to VIE,while VIE does not have the right to terminate the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Agreement that Provides Us with the Option to Purchase the Equity Interests in the VIE </w:t>
      </w:r>
    </w:p>
    <w:p>
      <w:pPr>
        <w:pStyle w:val="TextBody"/>
        <w:bidi w:val="0"/>
        <w:spacing w:before="120" w:after="0"/>
        <w:jc w:val="left"/>
        <w:rPr>
          <w:rFonts w:ascii="Times New Roman" w:hAnsi="Times New Roman"/>
          <w:sz w:val="20"/>
        </w:rPr>
      </w:pPr>
      <w:r>
        <w:rPr>
          <w:rFonts w:ascii="Times New Roman" w:hAnsi="Times New Roman"/>
          <w:b/>
          <w:i/>
          <w:sz w:val="20"/>
        </w:rPr>
        <w:t>Exclusive Option Agreement.</w:t>
      </w:r>
      <w:r>
        <w:rPr>
          <w:rFonts w:ascii="Times New Roman" w:hAnsi="Times New Roman"/>
          <w:sz w:val="20"/>
        </w:rPr>
        <w:t xml:space="preserve"> Pursuant to the exclusive option agreement dated October 21, 2020 and as amended on August 18, 2025 and November 21, 2025, respectively, among the WFOE, the VIE and the shareholders of the VIE, each of the shareholders of the VIE has irrevocably granted the WFOE an exclusive option to purchase all or part of his equity interests in the VIE. Our WFOE or its designated person may exercise such options at the lowest price permitted under applicable PRC laws. Any proceeds received by the shareholders of the VIE from the exercise of the options shall be remitted to the WFOE or its designated party, to the extent permitted under applicable PRC laws. The shareholders of the VIE undertake that, without the WFOE’s prior written consent, they will not, among other things, (i) create any pledge or encumbrance on their equity interests in the VIE, (ii) transfer or otherwise dispose of their equity interests in the VIE, or (iii) request any distribution of profits, income or any form of profit sharing, and any such assets that have been transferred to the shareholders of the VIE (including any legal or beneficial interests in assets, business or income that have been sold, transferred, pledged or otherwise disposed of without the prior consent of the WFOE) shall be returned to the WFOE or any entity designated by the WFOE. In addition, the Registered Shareholders undertake that, upon the winding up of the VIE, all assets obtained by them shall be transferred to the WFOE or any entity designated by the WFOE at nil consideration or at the lowest price permissible under applicable PRC laws. The exclusive option agreements will remain effective until all equity interests in the VIE have been transferred to the WFOE or our designated person. The WFOE may terminate the agreement at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opinion of Zhong Lun Law Firm, our PRC legal counsel: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ownership structures of the WFOE and the VIE are in compliance with applicable PRC laws and regulations currently in effect;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contractual arrangement is valid, legal and binding on the parties thereto under applicable PRC Laws currently in effect, and each party to the contractual arrangement is entitled to assert its respective rights and is obligated to perform its respective duties in accordance with the terms and conditions of each contractual arrangement, subject to applicable PRC Laws currently in effect, except that: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exercise of the option by the WFOE of its rights under the Exclusive Option Agreement to acquire all or part of the equity interests in the VIE is subject to the approval and consent of, and the filing and/or registration with the competent PRC governmental authorities; </w:t>
      </w:r>
    </w:p>
    <w:p>
      <w:pPr>
        <w:pStyle w:val="TextBody"/>
        <w:bidi w:val="0"/>
        <w:spacing w:before="120" w:after="0"/>
        <w:jc w:val="left"/>
        <w:rPr>
          <w:rFonts w:ascii="Times New Roman" w:hAnsi="Times New Roman"/>
          <w:sz w:val="20"/>
        </w:rPr>
      </w:pPr>
      <w:r>
        <w:rPr>
          <w:rFonts w:ascii="Times New Roman" w:hAnsi="Times New Roman"/>
          <w:sz w:val="20"/>
        </w:rPr>
        <w:t xml:space="preserve">b) any equity pledge contemplated under the Equity Pledge Agreement is subject to the registration with competent PRC governmental authorities; and </w:t>
      </w:r>
    </w:p>
    <w:p>
      <w:pPr>
        <w:pStyle w:val="TextBody"/>
        <w:bidi w:val="0"/>
        <w:spacing w:before="120" w:after="0"/>
        <w:jc w:val="left"/>
        <w:rPr>
          <w:rFonts w:ascii="Times New Roman" w:hAnsi="Times New Roman"/>
          <w:sz w:val="20"/>
        </w:rPr>
      </w:pPr>
      <w:r>
        <w:rPr>
          <w:rFonts w:ascii="Times New Roman" w:hAnsi="Times New Roman"/>
          <w:sz w:val="20"/>
        </w:rPr>
        <w:t xml:space="preserve">c) pursuant to the dispute resolution provisions of the contractual arrangement, (x) in the event of any dispute arising from the performance of or relating to the contractual arrangements, each party thereto has the right to submit the relevant dispute to the Guangzhou Arbitration Commission for arbitration, and (y) the arbitral tribunal may award any remedies in accordance with applicable PRC laws and regulations, including temporary and permanent injunctive relief (e.g. injunctions against carrying out business activities, or mandating the transfer of assets) or order the winding up of the Domestic Company according to applicable laws, and each party thereto may apply to the courts of Hong Kong, the Cayman Islands (being the place of incorporation of the Company), the PRC and the jurisdictions where the principal assets of the Domestic Company are located for interim remedies or injunctive relief. However, the above dispute resolution provisions may not be enforceable under the PRC Laws, including without limitation that the arbitral tribunal in the PRC has no power to grant such injunctive relief, nor will it be able to order the winding up of the Domestic Company pursuant to the current PRC Laws. In addition, interim remedies or enforcement orders granted by non-PRC courts such as Hong Kong and the Cayman Islands may not be recognizable or enforceable in the PRC. </w:t>
      </w:r>
    </w:p>
    <w:p>
      <w:pPr>
        <w:pStyle w:val="TextBody"/>
        <w:bidi w:val="0"/>
        <w:spacing w:before="240" w:after="0"/>
        <w:jc w:val="left"/>
        <w:rPr>
          <w:rFonts w:ascii="Times New Roman" w:hAnsi="Times New Roman"/>
          <w:sz w:val="20"/>
        </w:rPr>
      </w:pPr>
      <w:r>
        <w:rPr>
          <w:rFonts w:ascii="Times New Roman" w:hAnsi="Times New Roman"/>
          <w:sz w:val="20"/>
        </w:rPr>
        <w:t xml:space="preserve">However, our PRC legal counsel has also advised us that there are certain uncertainties regarding the interpretation and application of current and future PRC laws, regulations and rules; accordingly, the PRC regulatory authorities may take a view that is contrary to the opinion of our PRC legal counsel. It is uncertain whether any new PRC laws or regulations relating to variable interest entity structures will be adopted or if adopted, what they would provide. If we or the VIE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“Item 3. Key Information—D. Risk Factors—Risks Relating to Our Corporate Structure—If the PRC government finds that the contractual arrangements between the WFOE, the VIE and the VIE’s shareholders do not comply with PRC regulations relating to the relevant industries, or if these regulations or the interpretation of existing regulations change in the future, we could be subject to severe penalties or be forced to relinquish our interests in those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D. Property, plants and equipment </w:t>
      </w:r>
    </w:p>
    <w:p>
      <w:pPr>
        <w:pStyle w:val="TextBody"/>
        <w:bidi w:val="0"/>
        <w:spacing w:before="120" w:after="0"/>
        <w:jc w:val="left"/>
        <w:rPr>
          <w:rFonts w:ascii="Times New Roman" w:hAnsi="Times New Roman"/>
          <w:sz w:val="20"/>
        </w:rPr>
      </w:pPr>
      <w:r>
        <w:rPr>
          <w:rFonts w:ascii="Times New Roman" w:hAnsi="Times New Roman"/>
          <w:sz w:val="20"/>
        </w:rPr>
        <w:t xml:space="preserve">Our headquarters is located in Guangzhou, China, where we lease and occupy our office space with an aggregate floor area of approximately 33,195 square meters from unrelated third parties under operating lease agreements. Our production facility in Yunfu city, China has a total planned gross floor area of 48,000 square meters. A substantial majority of our employees are based at our headquarters in Guangzhou. As of the date of this annual report, we also own an office building in Guangzhou of approximately 8,551 square meters, which is used for our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our existing facilities are generally adequate to meet our current needs, but we expect to seek additional space as needed to accommodate our future growth. </w:t>
      </w:r>
    </w:p>
    <w:p>
      <w:pPr>
        <w:pStyle w:val="TextBody"/>
        <w:bidi w:val="0"/>
        <w:spacing w:before="0" w:after="0"/>
        <w:jc w:val="left"/>
        <w:rPr/>
      </w:pPr>
      <w:r>
        <w:rPr/>
        <w:t> </w:t>
      </w:r>
    </w:p>
    <w:tbl>
      <w:tblPr>
        <w:tblW w:w="3325" w:type="dxa"/>
        <w:jc w:val="left"/>
        <w:tblInd w:w="0" w:type="dxa"/>
        <w:tblLayout w:type="fixed"/>
        <w:tblCellMar>
          <w:top w:w="0" w:type="dxa"/>
          <w:left w:w="0" w:type="dxa"/>
          <w:bottom w:w="0" w:type="dxa"/>
          <w:right w:w="0" w:type="dxa"/>
        </w:tblCellMar>
      </w:tblPr>
      <w:tblGrid>
        <w:gridCol w:w="905"/>
        <w:gridCol w:w="2420"/>
      </w:tblGrid>
      <w:tr>
        <w:trPr/>
        <w:tc>
          <w:tcPr>
            <w:tcW w:w="905" w:type="dxa"/>
            <w:tcBorders/>
            <w:vAlign w:val="center"/>
          </w:tcPr>
          <w:p>
            <w:pPr>
              <w:pStyle w:val="TableContents"/>
              <w:bidi w:val="0"/>
              <w:spacing w:before="0" w:after="283"/>
              <w:jc w:val="left"/>
              <w:rPr>
                <w:b/>
              </w:rPr>
            </w:pPr>
            <w:bookmarkStart w:id="10" w:name="txa39307_8"/>
            <w:bookmarkEnd w:id="10"/>
            <w:r>
              <w:rPr>
                <w:b/>
              </w:rPr>
              <w:t>Item 4A.</w:t>
            </w:r>
          </w:p>
        </w:tc>
        <w:tc>
          <w:tcPr>
            <w:tcW w:w="24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4405" w:type="dxa"/>
        <w:jc w:val="left"/>
        <w:tblInd w:w="0" w:type="dxa"/>
        <w:tblLayout w:type="fixed"/>
        <w:tblCellMar>
          <w:top w:w="0" w:type="dxa"/>
          <w:left w:w="0" w:type="dxa"/>
          <w:bottom w:w="0" w:type="dxa"/>
          <w:right w:w="0" w:type="dxa"/>
        </w:tblCellMar>
      </w:tblPr>
      <w:tblGrid>
        <w:gridCol w:w="725"/>
        <w:gridCol w:w="3680"/>
      </w:tblGrid>
      <w:tr>
        <w:trPr/>
        <w:tc>
          <w:tcPr>
            <w:tcW w:w="725" w:type="dxa"/>
            <w:tcBorders/>
            <w:vAlign w:val="center"/>
          </w:tcPr>
          <w:p>
            <w:pPr>
              <w:pStyle w:val="TableContents"/>
              <w:bidi w:val="0"/>
              <w:spacing w:before="0" w:after="283"/>
              <w:jc w:val="left"/>
              <w:rPr>
                <w:b/>
              </w:rPr>
            </w:pPr>
            <w:bookmarkStart w:id="11" w:name="txa39307_9"/>
            <w:bookmarkEnd w:id="11"/>
            <w:r>
              <w:rPr>
                <w:b/>
              </w:rPr>
              <w:t>Item 5.</w:t>
            </w:r>
          </w:p>
        </w:tc>
        <w:tc>
          <w:tcPr>
            <w:tcW w:w="36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and Financial Review Prospects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A. Operating Results </w:t>
      </w:r>
    </w:p>
    <w:p>
      <w:pPr>
        <w:pStyle w:val="TextBody"/>
        <w:bidi w:val="0"/>
        <w:spacing w:before="12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an advanced air mobility technology platform company. We are pioneering the future of transportation through our proprietarily developed pilotless eVTOL aircraft and other UAVs, related commercial solutions and services. </w:t>
      </w:r>
    </w:p>
    <w:p>
      <w:pPr>
        <w:pStyle w:val="TextBody"/>
        <w:bidi w:val="0"/>
        <w:spacing w:before="240" w:after="0"/>
        <w:jc w:val="left"/>
        <w:rPr>
          <w:rFonts w:ascii="Times New Roman" w:hAnsi="Times New Roman"/>
          <w:sz w:val="20"/>
        </w:rPr>
      </w:pPr>
      <w:r>
        <w:rPr>
          <w:rFonts w:ascii="Times New Roman" w:hAnsi="Times New Roman"/>
          <w:sz w:val="20"/>
        </w:rPr>
        <w:t xml:space="preserve">We, the VIE and the VIE’s subsidiaries design, develop, manufacture, sell and operate UAVs and their supporting systems and infrastructure for a broad range of industries and applications, including passenger transportation, logistics, smart city management and aerial media solutions. We aim to make it safe and convenient for both passengers and goods to take to the air. </w:t>
      </w:r>
    </w:p>
    <w:p>
      <w:pPr>
        <w:pStyle w:val="TextBody"/>
        <w:bidi w:val="0"/>
        <w:spacing w:before="240" w:after="0"/>
        <w:jc w:val="left"/>
        <w:rPr>
          <w:rFonts w:ascii="Times New Roman" w:hAnsi="Times New Roman"/>
          <w:sz w:val="20"/>
        </w:rPr>
      </w:pPr>
      <w:r>
        <w:rPr>
          <w:rFonts w:ascii="Times New Roman" w:hAnsi="Times New Roman"/>
          <w:sz w:val="20"/>
        </w:rPr>
        <w:t xml:space="preserve">We delivered our first pilotless eVTOL aircraft to a customer in March 2018. Since then, we and the VIE had delivered a total of 622 units of the EH216 series products as of December 31, 2025. As we continue to refine and commercialize our products and air mobility solutions, we believe we will be able to capture addressable markets across multiple industries and develop AAM commercial applications in new industries. </w:t>
      </w:r>
    </w:p>
    <w:p>
      <w:pPr>
        <w:pStyle w:val="TextBody"/>
        <w:bidi w:val="0"/>
        <w:spacing w:before="240" w:after="0"/>
        <w:jc w:val="left"/>
        <w:rPr>
          <w:rFonts w:ascii="Times New Roman" w:hAnsi="Times New Roman"/>
          <w:sz w:val="20"/>
        </w:rPr>
      </w:pPr>
      <w:r>
        <w:rPr>
          <w:rFonts w:ascii="Times New Roman" w:hAnsi="Times New Roman"/>
          <w:sz w:val="20"/>
        </w:rPr>
        <w:t xml:space="preserve">Our revenues increased significantly from RMB117.4 million in 2023 to RMB456.2 million in 2024, and decreased to RMB418.0 million (US$59.8 million) in 2025. Our net loss decreased by 23.9% from RMB302.3 million in 2023 to RMB230.0 million in 2024, and increased to RMB276.4 million (US$39.5 million) in 2025. In 2025, revenues generated by air mobility solutions and others were RMB395.2 million (US$56.5 million) and RMB22.8 million (US$3.3 million), representing approximately 94.5% and 5.5% of our total revenues,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Key 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We generate revenues from air mobility solutions and others. The following table sets forth a breakdown of our total revenues in absolute amounts and percentages of our total revenues for the periods presented: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1835"/>
        <w:gridCol w:w="120"/>
        <w:gridCol w:w="60"/>
        <w:gridCol w:w="800"/>
        <w:gridCol w:w="60"/>
        <w:gridCol w:w="120"/>
        <w:gridCol w:w="60"/>
        <w:gridCol w:w="560"/>
        <w:gridCol w:w="60"/>
        <w:gridCol w:w="120"/>
        <w:gridCol w:w="60"/>
        <w:gridCol w:w="800"/>
        <w:gridCol w:w="60"/>
        <w:gridCol w:w="120"/>
        <w:gridCol w:w="60"/>
        <w:gridCol w:w="560"/>
        <w:gridCol w:w="60"/>
        <w:gridCol w:w="120"/>
        <w:gridCol w:w="60"/>
        <w:gridCol w:w="800"/>
        <w:gridCol w:w="60"/>
        <w:gridCol w:w="120"/>
        <w:gridCol w:w="60"/>
        <w:gridCol w:w="680"/>
        <w:gridCol w:w="60"/>
        <w:gridCol w:w="120"/>
        <w:gridCol w:w="60"/>
        <w:gridCol w:w="56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gridSpan w:val="26"/>
            <w:tcBorders/>
            <w:vAlign w:val="center"/>
          </w:tcPr>
          <w:p>
            <w:pPr>
              <w:pStyle w:val="TableContents"/>
              <w:bidi w:val="0"/>
              <w:spacing w:before="0" w:after="283"/>
              <w:jc w:val="center"/>
              <w:rPr>
                <w:b/>
              </w:rPr>
            </w:pPr>
            <w:r>
              <w:rPr>
                <w:b/>
              </w:rPr>
              <w:t>(in thousands, except for percentages)</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 mobility solutions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104,729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443,320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395,154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56,506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94.5</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12,697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22,827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117,426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456,152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417,981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59,770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Air mobility solutions.</w:t>
      </w:r>
      <w:r>
        <w:rPr>
          <w:rFonts w:ascii="Times New Roman" w:hAnsi="Times New Roman"/>
          <w:sz w:val="20"/>
        </w:rPr>
        <w:t xml:space="preserve"> Revenues from air mobility solutions are primarily product revenues from the sales of passenger-grade UAVs and its software. As the UAVs and software are highly interdependent, the entire bundle of promised goods is considered one performance obligation within the context of the contract. We recognize revenue for this single performance obligation at a point in time when control to the bundle of goods transfers to the customer and other conditions as set out in ASC 606 are met. For domestic sales, control transfers upon delivery to the customer as evidenced by the customer’s acknowledgement of receipt and proof of delivery documentation. For international sales, control transfers at shipping point consistent with the terms of the sales agreements. The transaction price is the amount of consideration we expect to receive under the arrangement. When we contract with a customer and determine that it is not probable to collect substantially all of the consideration for the sales transaction at contract inception and no contract is established, any consideration received is recognized as a liability by us, subsequently recorded as revenue only when we have transferred control of the corresponding goods or services, have no obligation under the contract to transfer additional goods or services, and the consideration received is nonrefundable. We will record an asset in “Prepayments and other current assets” representing the value of the inventories recovered should the sale not happen. Service revenues from air mobility solutions are primarily provision of exhibition income which is satisfied over time. </w:t>
      </w:r>
    </w:p>
    <w:p>
      <w:pPr>
        <w:pStyle w:val="TextBody"/>
        <w:bidi w:val="0"/>
        <w:spacing w:before="240" w:after="0"/>
        <w:jc w:val="left"/>
        <w:rPr>
          <w:rFonts w:ascii="Times New Roman" w:hAnsi="Times New Roman"/>
          <w:sz w:val="20"/>
        </w:rPr>
      </w:pPr>
      <w:r>
        <w:rPr>
          <w:rFonts w:ascii="Times New Roman" w:hAnsi="Times New Roman"/>
          <w:i/>
          <w:sz w:val="20"/>
        </w:rPr>
        <w:t xml:space="preserve">Others. </w:t>
      </w:r>
      <w:r>
        <w:rPr>
          <w:rFonts w:ascii="Times New Roman" w:hAnsi="Times New Roman"/>
          <w:sz w:val="20"/>
        </w:rPr>
        <w:t xml:space="preserve">Revenues from others consist of revenues from smart city management solutions, aerial media solutions and others. </w:t>
      </w:r>
    </w:p>
    <w:p>
      <w:pPr>
        <w:pStyle w:val="TextBody"/>
        <w:bidi w:val="0"/>
        <w:spacing w:before="240" w:after="0"/>
        <w:jc w:val="left"/>
        <w:rPr>
          <w:rFonts w:ascii="Times New Roman" w:hAnsi="Times New Roman"/>
          <w:sz w:val="20"/>
        </w:rPr>
      </w:pPr>
      <w:r>
        <w:rPr>
          <w:rFonts w:ascii="Times New Roman" w:hAnsi="Times New Roman"/>
          <w:i/>
          <w:sz w:val="20"/>
        </w:rPr>
        <w:t>- Smart city management solutions.</w:t>
      </w:r>
      <w:r>
        <w:rPr>
          <w:rFonts w:ascii="Times New Roman" w:hAnsi="Times New Roman"/>
          <w:sz w:val="20"/>
        </w:rPr>
        <w:t xml:space="preserve"> We enter into contracts with our customers for designing, building and delivering customized integrated command-and-control centers. The duration of the contracts depends on the contract size and ranges from three months to one year, excluding the duration of warranty accounted for as an assurance-type warranty, which ranges from one year to three years. We provide a significant service of integrating goods and services including the project design, hardware and software promised in the contract into a combined output; therefore, the goods and services in the contracts are not distinct from each other and we determine there is one performance obligation, which is the delivery of the customized integrated command-and-control center. The performance obligation is satisfied, and control is transferred to the customer over time because there is no alternative use for the highly customized and integrated command-control-center and we have an enforceable right to payment for performance completed to date. We have determined the cost-to-cost method best depicts the measure of progress towards fulfilling the performance obligation. Under this method, revenue is recognized based on the estimated extent of progress, which is determined by dividing costs incurred to date by the total amount of costs expected to be incurred for designing, building and delivering a customized integrated command-and-control center. Revisions in the estimated total costs of command-and-control center contracts are made in the period in which the circumstances requiring the revision become known. Provisions, if any, are made in the period when anticipated losses become evident on uncompleted contracts. We review and update the estimated total costs of command-and-control center contracts periodically. We account for revisions to contract revenue and estimated total costs of command-and-control center contracts, in the period in which the facts that cause the revision become known as changes in estimates. Unapproved change orders are considered claims. Claims are recognized only when they have been awarded by customers. We also provide products for smart city management solutions. Product revenues are recognized at a point in time upon customer acceptance of the products. </w:t>
      </w:r>
    </w:p>
    <w:p>
      <w:pPr>
        <w:pStyle w:val="TextBody"/>
        <w:bidi w:val="0"/>
        <w:spacing w:before="240" w:after="0"/>
        <w:jc w:val="left"/>
        <w:rPr>
          <w:rFonts w:ascii="Times New Roman" w:hAnsi="Times New Roman"/>
          <w:sz w:val="20"/>
        </w:rPr>
      </w:pPr>
      <w:r>
        <w:rPr>
          <w:rFonts w:ascii="Times New Roman" w:hAnsi="Times New Roman"/>
          <w:i/>
          <w:sz w:val="20"/>
        </w:rPr>
        <w:t>- Aerial media solutions</w:t>
      </w:r>
      <w:r>
        <w:rPr>
          <w:rFonts w:ascii="Times New Roman" w:hAnsi="Times New Roman"/>
          <w:sz w:val="20"/>
        </w:rPr>
        <w:t xml:space="preserve">. We generate revenue by providing aerial media performance services and related products. Aerial media performance services allow multiple smart control-based drones to demonstrate and transform their formation to display diversified messages and images in specific airspace, that is tailor made based on different branding or advertising requirements. We use self-produced and purchased drones and customize the fleet formation performances based on customer’s needs and availability of airspace approval in the area. The performance is usually completed within a day and revenue is recognized when the service is delivered. While the aerial media performance services are delivered to customers over a period of time, the customer simultaneously receives and consumes the benefits of our performance as and when each service is delivered and revenue is recognized over time. We also sell hardware and software components of the aerial media performance drones. As the hardware and software components are highly interdependent, the entire bundle of promised goods is considered one performance obligation within the context of the contract. The single performance obligation is satisfied at a point in time, which is upon customer acceptance of the products. </w:t>
      </w:r>
    </w:p>
    <w:p>
      <w:pPr>
        <w:pStyle w:val="TextBody"/>
        <w:bidi w:val="0"/>
        <w:spacing w:before="240" w:after="0"/>
        <w:jc w:val="left"/>
        <w:rPr>
          <w:rFonts w:ascii="Times New Roman" w:hAnsi="Times New Roman"/>
          <w:sz w:val="20"/>
        </w:rPr>
      </w:pPr>
      <w:r>
        <w:rPr>
          <w:rFonts w:ascii="Times New Roman" w:hAnsi="Times New Roman"/>
          <w:i/>
          <w:sz w:val="20"/>
        </w:rPr>
        <w:t>- Others.</w:t>
      </w:r>
      <w:r>
        <w:rPr>
          <w:rFonts w:ascii="Times New Roman" w:hAnsi="Times New Roman"/>
          <w:sz w:val="20"/>
        </w:rPr>
        <w:t xml:space="preserve"> We generate other revenues mainly from stand-alone sales of consumer drones and their components and spare parts. Revenues are recognized for consumer drones upon shipment which is when control of the drones is transferred to the customers. 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Contract modifications, if any, will be accounting for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our standalone selling prices of the additional promised goods or services. When a contract modification is not considered a separate contract and the remaining goods or services are distinct from the goods or services transferred on or before the date of the contract modification, we account for the contract modification as a termination of the existing contract and a creation of a new contract. When a contract modification is not considered a separate contract and the remaining goods or services are not distinct, we account for the contract modification as an add-on to the existing contract and as an adjustment to revenue on a cumulative catch-up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we have obtained the TC, Standard AC and PC for EH216-S from the CAAC, and as the OC was granted to EH216-S operators in March 2025, we expect that our revenues will increase in China and we will continue to fulfill existing orders and pre-orders for the EH216 series products, secure new orders for our air mobility solutions, provide air mobility operational services, offer smart city management and aerial media solutions and expand our commercial solutions and sales network. We expect that the increase in revenues generated from air mobility solutions will be the main increase in both domestic and international markets. Revenues to be recognized will be subject to assessment of the collectability of considerations at inception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revenues consists primarily of aerial vehicles material and manufacturing costs, construction costs of smart city management solutions, depreciation, rental fees, payroll and related costs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our cost of revenues will increase in the foreseeable future as we increase our product sales volume and expand our commercial solutions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Our total operating expenses consist of sales and marketing expenses, general and administrative expenses and research and development expenses. The following table sets forth the components of our total operating expenses by amounts and percentages of operating expenses for the periods presented: </w:t>
      </w:r>
    </w:p>
    <w:p>
      <w:pPr>
        <w:pStyle w:val="TextBody"/>
        <w:bidi w:val="0"/>
        <w:spacing w:before="0" w:after="0"/>
        <w:jc w:val="left"/>
        <w:rPr/>
      </w:pPr>
      <w:r>
        <w:rPr/>
        <w:t> </w:t>
      </w:r>
    </w:p>
    <w:tbl>
      <w:tblPr>
        <w:tblW w:w="9460" w:type="dxa"/>
        <w:jc w:val="left"/>
        <w:tblInd w:w="0" w:type="dxa"/>
        <w:tblLayout w:type="fixed"/>
        <w:tblCellMar>
          <w:top w:w="0" w:type="dxa"/>
          <w:left w:w="0" w:type="dxa"/>
          <w:bottom w:w="0" w:type="dxa"/>
          <w:right w:w="0" w:type="dxa"/>
        </w:tblCellMar>
      </w:tblPr>
      <w:tblGrid>
        <w:gridCol w:w="3005"/>
        <w:gridCol w:w="120"/>
        <w:gridCol w:w="60"/>
        <w:gridCol w:w="800"/>
        <w:gridCol w:w="60"/>
        <w:gridCol w:w="120"/>
        <w:gridCol w:w="60"/>
        <w:gridCol w:w="560"/>
        <w:gridCol w:w="60"/>
        <w:gridCol w:w="120"/>
        <w:gridCol w:w="60"/>
        <w:gridCol w:w="800"/>
        <w:gridCol w:w="60"/>
        <w:gridCol w:w="120"/>
        <w:gridCol w:w="60"/>
        <w:gridCol w:w="560"/>
        <w:gridCol w:w="60"/>
        <w:gridCol w:w="120"/>
        <w:gridCol w:w="60"/>
        <w:gridCol w:w="800"/>
        <w:gridCol w:w="60"/>
        <w:gridCol w:w="120"/>
        <w:gridCol w:w="60"/>
        <w:gridCol w:w="680"/>
        <w:gridCol w:w="60"/>
        <w:gridCol w:w="120"/>
        <w:gridCol w:w="60"/>
        <w:gridCol w:w="56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60" w:type="dxa"/>
            <w:gridSpan w:val="26"/>
            <w:tcBorders/>
            <w:vAlign w:val="center"/>
          </w:tcPr>
          <w:p>
            <w:pPr>
              <w:pStyle w:val="TableContents"/>
              <w:bidi w:val="0"/>
              <w:spacing w:before="0" w:after="283"/>
              <w:jc w:val="center"/>
              <w:rPr>
                <w:b/>
              </w:rPr>
            </w:pPr>
            <w:r>
              <w:rPr>
                <w:b/>
              </w:rPr>
              <w:t>(in thousands, except for percentages)</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60,389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131,027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150,092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233,398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269,648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38,559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46.0</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167,315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199,465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194,581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27,825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377,796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563,890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586,249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83,833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Sales and marketing expenses</w:t>
      </w:r>
      <w:r>
        <w:rPr>
          <w:rFonts w:ascii="Times New Roman" w:hAnsi="Times New Roman"/>
          <w:sz w:val="20"/>
        </w:rPr>
        <w:t xml:space="preserve">. Our sales and marketing expenses primarily consist of advertising and promotion expenses, payroll and related expenses for personnel in sales and marketing.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Our general and administrative expenses mainly consist of payroll and related costs for employees in general corporate functions, professional fees, allowance for doubtful account expenses or expected credit losses provision, and other general corporate expenses, as well as expenses associated with the use by these functions of facilities and equipment, such as depreciation and rental expenses. </w:t>
      </w:r>
    </w:p>
    <w:p>
      <w:pPr>
        <w:pStyle w:val="TextBody"/>
        <w:bidi w:val="0"/>
        <w:spacing w:before="240" w:after="0"/>
        <w:jc w:val="left"/>
        <w:rPr>
          <w:rFonts w:ascii="Times New Roman" w:hAnsi="Times New Roman"/>
          <w:sz w:val="20"/>
        </w:rPr>
      </w:pPr>
      <w:r>
        <w:rPr>
          <w:rFonts w:ascii="Times New Roman" w:hAnsi="Times New Roman"/>
          <w:i/>
          <w:sz w:val="20"/>
        </w:rPr>
        <w:t>Research and development expenses.</w:t>
      </w:r>
      <w:r>
        <w:rPr>
          <w:rFonts w:ascii="Times New Roman" w:hAnsi="Times New Roman"/>
          <w:sz w:val="20"/>
        </w:rPr>
        <w:t xml:space="preserve"> Our research and development expenses mainly consist of payroll and benefits for our research and development personnel, as well as expenses associated with our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mainly consists of financial subsidies that we received from provincial and local governments for operating our business in their jurisdictions in compliance with certain promoted policies. </w:t>
      </w:r>
    </w:p>
    <w:p>
      <w:pPr>
        <w:pStyle w:val="TextBody"/>
        <w:bidi w:val="0"/>
        <w:spacing w:before="360" w:after="0"/>
        <w:jc w:val="left"/>
        <w:rPr>
          <w:rFonts w:ascii="Times New Roman" w:hAnsi="Times New Roman"/>
          <w:b/>
          <w:sz w:val="20"/>
        </w:rPr>
      </w:pPr>
      <w:bookmarkStart w:id="12" w:name="txa39307_10"/>
      <w:bookmarkEnd w:id="12"/>
      <w:r>
        <w:rPr>
          <w:rFonts w:ascii="Times New Roman" w:hAnsi="Times New Roman"/>
          <w:b/>
          <w:sz w:val="20"/>
        </w:rPr>
        <w:t xml:space="preserve">Taxation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We are an exempted company incorporated in the Cayman Islands.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Our wholly-owned subsidiary, Ehfly Technology Limited, or Ehfly Technology, incorporated in Hong Kong, is subject to Hong Kong profit tax on its profits arising from its business operations carried on in Hong Kong. Hong Kong profits tax for a corporation from the year of assessment 2018/2019 onwards is generally 8.25% on assessable profits up to HK$2.0 million; and 16.5% on any part of assessable profits over HK$2.0 million. Under the Hong Kong Inland Revenue Ordinance, profits that we derive from sources outside of Hong Kong are not generally chargeable to Hong Kong profits tax. As such, Ehfly Technology is exempted from the Hong Kong income tax on its foreign-derived income. In addition, payments of dividends from Ehfly Technology to our company are not subject to any withholding tax in Hong Kong.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w:t>
      </w:r>
    </w:p>
    <w:p>
      <w:pPr>
        <w:pStyle w:val="TextBody"/>
        <w:bidi w:val="0"/>
        <w:spacing w:before="120" w:after="0"/>
        <w:jc w:val="left"/>
        <w:rPr>
          <w:rFonts w:ascii="Times New Roman" w:hAnsi="Times New Roman"/>
          <w:sz w:val="20"/>
        </w:rPr>
      </w:pPr>
      <w:r>
        <w:rPr>
          <w:rFonts w:ascii="Times New Roman" w:hAnsi="Times New Roman"/>
          <w:sz w:val="20"/>
        </w:rPr>
        <w:t xml:space="preserve">Under the Enterprise Income Tax Law, or the EIT Law, our PRC subsidiaries, the VIE and the VIE’s subsidiaries are subject to a statutory income tax rate of 25%. The WFOE and the VIE have each been qualified as a high and new technology enterprise, or HNTE, and are eligible for a 15% preferential tax rate, from 2023 to 2025, and from 2025 to 2027,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EIT law also imposes a withholding income tax of 10% on dividends distributed by a foreign invested enterprise, or FIE, to its immediate holding company outside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immediate holding company owns at least 25% of the equity interest of the FIE and satisfies all other requirements under the tax arrangement and receives approval from the relevant tax authority. We did not record any dividend withholding tax, as our PRC entities have no retained earnings in the periods presented. See “Item 3. Key Information—D. Risk Factors—Risks Relating to Doing Business in China—We may not be able to obtain certain benefits under the relevant tax treaty on dividends paid by our PRC subsidiaries to us through our Hong Kong subsidiary.” </w:t>
      </w:r>
    </w:p>
    <w:p>
      <w:pPr>
        <w:pStyle w:val="TextBody"/>
        <w:bidi w:val="0"/>
        <w:spacing w:before="240" w:after="0"/>
        <w:jc w:val="left"/>
        <w:rPr>
          <w:rFonts w:ascii="Times New Roman" w:hAnsi="Times New Roman"/>
          <w:sz w:val="20"/>
        </w:rPr>
      </w:pPr>
      <w:r>
        <w:rPr>
          <w:rFonts w:ascii="Times New Roman" w:hAnsi="Times New Roman"/>
          <w:sz w:val="20"/>
        </w:rPr>
        <w:t xml:space="preserve">Under the EIT Law, research and development expenses that have not formed intangible assets are included in the profit and loss account for the current year. Besides deducting the actual amount of research and development expenses incurred, according to Announcement of the Ministry of Finance and the State Taxation Administration [2021] No.13 (“Circular 13”), manufacturing enterprise with qualified research and development expenses could enjoy research and development Super Deduction, i.e. to claim additional 100% research and development expenses on top of those actually incurred. Subsequently, pursuant to Announcement of the Ministry of Finance and the State Taxation Administration 2023 No. 7, effective from January 1, 2023, all eligible enterprises are entitled to claim an additional 100% deduction for qualified research and development expenses. </w:t>
      </w:r>
    </w:p>
    <w:p>
      <w:pPr>
        <w:pStyle w:val="TextBody"/>
        <w:bidi w:val="0"/>
        <w:spacing w:before="240" w:after="0"/>
        <w:jc w:val="left"/>
        <w:rPr>
          <w:rFonts w:ascii="Times New Roman" w:hAnsi="Times New Roman"/>
          <w:sz w:val="20"/>
        </w:rPr>
      </w:pPr>
      <w:r>
        <w:rPr>
          <w:rFonts w:ascii="Times New Roman" w:hAnsi="Times New Roman"/>
          <w:sz w:val="20"/>
        </w:rPr>
        <w:t xml:space="preserve">Dividends, interests, rent or royalties payable by our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PRC that provides for a reduced withholding tax rate or an exemption from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consolidated results of operations for the periods presented, both in absolute amounts and as percentages of our total revenues, for the periods presented. This information should be read together with our consolidated financial statements and related notes included elsewhere in this annual report. The results of operations in any particular period are not necessarily indicative of our future trends.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0"/>
        <w:gridCol w:w="120"/>
        <w:gridCol w:w="60"/>
        <w:gridCol w:w="875"/>
        <w:gridCol w:w="155"/>
        <w:gridCol w:w="60"/>
        <w:gridCol w:w="60"/>
        <w:gridCol w:w="635"/>
        <w:gridCol w:w="155"/>
        <w:gridCol w:w="60"/>
        <w:gridCol w:w="60"/>
        <w:gridCol w:w="875"/>
        <w:gridCol w:w="155"/>
        <w:gridCol w:w="60"/>
        <w:gridCol w:w="60"/>
        <w:gridCol w:w="635"/>
        <w:gridCol w:w="155"/>
        <w:gridCol w:w="60"/>
        <w:gridCol w:w="60"/>
        <w:gridCol w:w="875"/>
        <w:gridCol w:w="155"/>
        <w:gridCol w:w="60"/>
        <w:gridCol w:w="60"/>
        <w:gridCol w:w="755"/>
        <w:gridCol w:w="155"/>
        <w:gridCol w:w="60"/>
        <w:gridCol w:w="60"/>
        <w:gridCol w:w="635"/>
        <w:gridCol w:w="170"/>
      </w:tblGrid>
      <w:tr>
        <w:trPr/>
        <w:tc>
          <w:tcPr>
            <w:tcW w:w="2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5"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70" w:type="dxa"/>
            <w:tcBorders/>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95" w:type="dxa"/>
            <w:gridSpan w:val="26"/>
            <w:tcBorders/>
            <w:vAlign w:val="center"/>
          </w:tcPr>
          <w:p>
            <w:pPr>
              <w:pStyle w:val="TableContents"/>
              <w:bidi w:val="0"/>
              <w:spacing w:before="0" w:after="283"/>
              <w:jc w:val="center"/>
              <w:rPr>
                <w:b/>
              </w:rPr>
            </w:pPr>
            <w:r>
              <w:rPr>
                <w:b/>
              </w:rPr>
              <w:t>(in thousands, except for percentages)</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117,426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456,152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417,981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59,770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100.0</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(176,206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(160,827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(38.5</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75,311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279,946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257,154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36,772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61.5</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 expenses(1)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(60,389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(29.2</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(150,092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(233,398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(269,648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(38,559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(64.5</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(167,315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(199,465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(194,581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(46.6</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(377,796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(563,890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(123.6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(586,249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(83,833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(140.3</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29,869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(296,252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(254,075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(55.7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(316,712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(75.8</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investment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58,588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8,378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14.0</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exchange (losses) </w:t>
              <w:br/>
              <w:t>gains,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non-operating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0.7</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non-operating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(3.7</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(expenses)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28,782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9.9</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and (loss) from equity method investment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(300,575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(225,293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(39,407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(65.9</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(loss) from equity method investment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(300,781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(225,679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(271,163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(38,777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(64.8</w:t>
            </w:r>
          </w:p>
        </w:tc>
        <w:tc>
          <w:tcPr>
            <w:tcW w:w="170" w:type="dxa"/>
            <w:tcBorders/>
            <w:shd w:fill="CCEEFF" w:val="clear"/>
            <w:vAlign w:val="center"/>
          </w:tcPr>
          <w:p>
            <w:pPr>
              <w:pStyle w:val="TableContents"/>
              <w:bidi w:val="0"/>
              <w:spacing w:before="0" w:after="283"/>
              <w:jc w:val="left"/>
              <w:rPr/>
            </w:pPr>
            <w:r>
              <w:rPr/>
              <w:t>) </w:t>
            </w:r>
          </w:p>
        </w:tc>
      </w:tr>
      <w:tr>
        <w:trPr/>
        <w:tc>
          <w:tcPr>
            <w:tcW w:w="2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(loss) from equity method investment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 </w:t>
            </w:r>
          </w:p>
        </w:tc>
      </w:tr>
      <w:tr>
        <w:trPr/>
        <w:tc>
          <w:tcPr>
            <w:tcW w:w="2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(302,341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(230,032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(276,411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(39,527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w:t>
      </w:r>
    </w:p>
    <w:p>
      <w:pPr>
        <w:pStyle w:val="TextBody"/>
        <w:bidi w:val="0"/>
        <w:spacing w:before="0" w:after="0"/>
        <w:jc w:val="left"/>
        <w:rPr/>
      </w:pPr>
      <w:r>
        <w:rPr/>
        <w:t> </w:t>
      </w:r>
    </w:p>
    <w:tbl>
      <w:tblPr>
        <w:tblW w:w="7120" w:type="dxa"/>
        <w:jc w:val="left"/>
        <w:tblInd w:w="0" w:type="dxa"/>
        <w:tblLayout w:type="fixed"/>
        <w:tblCellMar>
          <w:top w:w="0" w:type="dxa"/>
          <w:left w:w="0" w:type="dxa"/>
          <w:bottom w:w="0" w:type="dxa"/>
          <w:right w:w="0" w:type="dxa"/>
        </w:tblCellMar>
      </w:tblPr>
      <w:tblGrid>
        <w:gridCol w:w="305"/>
        <w:gridCol w:w="6815"/>
      </w:tblGrid>
      <w:tr>
        <w:trPr/>
        <w:tc>
          <w:tcPr>
            <w:tcW w:w="305" w:type="dxa"/>
            <w:tcBorders/>
            <w:vAlign w:val="center"/>
          </w:tcPr>
          <w:p>
            <w:pPr>
              <w:pStyle w:val="TableContents"/>
              <w:bidi w:val="0"/>
              <w:spacing w:before="0" w:after="283"/>
              <w:jc w:val="left"/>
              <w:rPr/>
            </w:pPr>
            <w:r>
              <w:rPr/>
              <w:t>(1)</w:t>
            </w:r>
          </w:p>
        </w:tc>
        <w:tc>
          <w:tcPr>
            <w:tcW w:w="6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was allocated in operating expenses as follows: </w:t>
            </w:r>
          </w:p>
        </w:tc>
      </w:tr>
    </w:tbl>
    <w:p>
      <w:pPr>
        <w:pStyle w:val="TextBody"/>
        <w:bidi w:val="0"/>
        <w:spacing w:before="0" w:after="0"/>
        <w:jc w:val="left"/>
        <w:rPr/>
      </w:pPr>
      <w:r>
        <w:rPr/>
        <w:t> </w:t>
      </w:r>
    </w:p>
    <w:tbl>
      <w:tblPr>
        <w:tblW w:w="7788" w:type="dxa"/>
        <w:jc w:val="left"/>
        <w:tblInd w:w="0" w:type="dxa"/>
        <w:tblLayout w:type="fixed"/>
        <w:tblCellMar>
          <w:top w:w="0" w:type="dxa"/>
          <w:left w:w="0" w:type="dxa"/>
          <w:bottom w:w="0" w:type="dxa"/>
          <w:right w:w="0" w:type="dxa"/>
        </w:tblCellMar>
      </w:tblPr>
      <w:tblGrid>
        <w:gridCol w:w="3005"/>
        <w:gridCol w:w="120"/>
        <w:gridCol w:w="71"/>
        <w:gridCol w:w="952"/>
        <w:gridCol w:w="71"/>
        <w:gridCol w:w="142"/>
        <w:gridCol w:w="71"/>
        <w:gridCol w:w="952"/>
        <w:gridCol w:w="71"/>
        <w:gridCol w:w="142"/>
        <w:gridCol w:w="71"/>
        <w:gridCol w:w="952"/>
        <w:gridCol w:w="71"/>
        <w:gridCol w:w="142"/>
        <w:gridCol w:w="71"/>
        <w:gridCol w:w="809"/>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21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88" w:type="dxa"/>
            <w:gridSpan w:val="14"/>
            <w:tcBorders/>
            <w:vAlign w:val="center"/>
          </w:tcPr>
          <w:p>
            <w:pPr>
              <w:pStyle w:val="TableContents"/>
              <w:bidi w:val="0"/>
              <w:spacing w:before="0" w:after="283"/>
              <w:jc w:val="center"/>
              <w:rPr>
                <w:b/>
              </w:rPr>
            </w:pPr>
            <w:r>
              <w:rPr>
                <w:b/>
              </w:rPr>
              <w:t>(in thousands, except share and share related</w:t>
              <w:br/>
              <w:t>data)</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416</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18,958</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65,597</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45,537</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6,512</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79,327</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134,984</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154,838</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22,142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53,200</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72,543</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2" w:type="dxa"/>
            <w:tcBorders/>
            <w:vAlign w:val="center"/>
          </w:tcPr>
          <w:p>
            <w:pPr>
              <w:pStyle w:val="TableContents"/>
              <w:bidi w:val="0"/>
              <w:spacing w:before="0" w:after="283"/>
              <w:jc w:val="right"/>
              <w:rPr/>
            </w:pPr>
            <w:r>
              <w:rPr/>
              <w:t>45,367</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6,487</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single" w:sz="2" w:space="1" w:color="000000"/>
              </w:pBdr>
              <w:bidi w:val="0"/>
              <w:spacing w:before="0" w:after="0"/>
              <w:jc w:val="left"/>
              <w:rPr/>
            </w:pPr>
            <w:r>
              <w:rPr/>
              <w:t> </w:t>
            </w:r>
          </w:p>
        </w:tc>
        <w:tc>
          <w:tcPr>
            <w:tcW w:w="952" w:type="dxa"/>
            <w:tcBorders/>
            <w:vAlign w:val="center"/>
          </w:tcPr>
          <w:p>
            <w:pPr>
              <w:pStyle w:val="TableContents"/>
              <w:pBdr>
                <w:top w:val="single" w:sz="2"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single" w:sz="2" w:space="1" w:color="000000"/>
              </w:pBdr>
              <w:bidi w:val="0"/>
              <w:spacing w:before="0" w:after="0"/>
              <w:jc w:val="left"/>
              <w:rPr/>
            </w:pPr>
            <w:r>
              <w:rPr/>
              <w:t> </w:t>
            </w:r>
          </w:p>
        </w:tc>
        <w:tc>
          <w:tcPr>
            <w:tcW w:w="80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rPr>
            </w:pPr>
            <w:r>
              <w:rPr>
                <w:b/>
              </w:rPr>
              <w:t>151,485</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rPr>
            </w:pPr>
            <w:r>
              <w:rPr>
                <w:b/>
              </w:rPr>
              <w:t>273,124</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b/>
              </w:rPr>
            </w:pPr>
            <w:r>
              <w:rPr>
                <w:b/>
              </w:rPr>
              <w:t>246,158</w:t>
            </w:r>
          </w:p>
        </w:tc>
        <w:tc>
          <w:tcPr>
            <w:tcW w:w="71"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b/>
              </w:rPr>
            </w:pPr>
            <w:r>
              <w:rPr>
                <w:b/>
              </w:rPr>
              <w:t>35,200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double" w:sz="6" w:space="1" w:color="000000"/>
              </w:pBdr>
              <w:bidi w:val="0"/>
              <w:spacing w:before="0" w:after="0"/>
              <w:jc w:val="left"/>
              <w:rPr/>
            </w:pPr>
            <w:r>
              <w:rPr/>
              <w:t> </w:t>
            </w:r>
          </w:p>
        </w:tc>
        <w:tc>
          <w:tcPr>
            <w:tcW w:w="952" w:type="dxa"/>
            <w:tcBorders/>
            <w:vAlign w:val="center"/>
          </w:tcPr>
          <w:p>
            <w:pPr>
              <w:pStyle w:val="TableContents"/>
              <w:pBdr>
                <w:top w:val="double" w:sz="6" w:space="1" w:color="000000"/>
              </w:pBdr>
              <w:bidi w:val="0"/>
              <w:spacing w:before="0" w:after="0"/>
              <w:jc w:val="left"/>
              <w:rPr/>
            </w:pPr>
            <w:r>
              <w:rPr/>
              <w:t> </w:t>
            </w:r>
          </w:p>
        </w:tc>
        <w:tc>
          <w:tcPr>
            <w:tcW w:w="71"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double" w:sz="6" w:space="1" w:color="000000"/>
              </w:pBdr>
              <w:bidi w:val="0"/>
              <w:spacing w:before="0" w:after="0"/>
              <w:jc w:val="left"/>
              <w:rPr/>
            </w:pPr>
            <w:r>
              <w:rPr/>
              <w:t> </w:t>
            </w:r>
          </w:p>
        </w:tc>
        <w:tc>
          <w:tcPr>
            <w:tcW w:w="809"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Year ended December 31, 2025 compared with year ended December 31, 2024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Our total revenues decreased by 8.4% from RMB456.2 million in 2024 to RMB418.0 million (US$59.8 million) in 2025, primarily due to the decrease in the sales volume of eVTOL aircraft. </w:t>
      </w:r>
    </w:p>
    <w:p>
      <w:pPr>
        <w:pStyle w:val="TextBody"/>
        <w:bidi w:val="0"/>
        <w:spacing w:before="240" w:after="0"/>
        <w:jc w:val="left"/>
        <w:rPr>
          <w:rFonts w:ascii="Times New Roman" w:hAnsi="Times New Roman"/>
          <w:sz w:val="20"/>
        </w:rPr>
      </w:pPr>
      <w:r>
        <w:rPr>
          <w:rFonts w:ascii="Times New Roman" w:hAnsi="Times New Roman"/>
          <w:sz w:val="20"/>
        </w:rPr>
        <w:t xml:space="preserve">Revenues from air mobility solutions decreased from RMB443.3 million in 2024 to RMB395.2 million (US$56.5 million) in 2025. We sold 169 units of the EH216 series products and six units of VT35 in 2025, compared with 216 units in 2024. </w:t>
      </w:r>
    </w:p>
    <w:p>
      <w:pPr>
        <w:pStyle w:val="TextBody"/>
        <w:bidi w:val="0"/>
        <w:spacing w:before="240" w:after="0"/>
        <w:jc w:val="left"/>
        <w:rPr>
          <w:rFonts w:ascii="Times New Roman" w:hAnsi="Times New Roman"/>
          <w:sz w:val="20"/>
        </w:rPr>
      </w:pPr>
      <w:r>
        <w:rPr>
          <w:rFonts w:ascii="Times New Roman" w:hAnsi="Times New Roman"/>
          <w:sz w:val="20"/>
        </w:rPr>
        <w:t xml:space="preserve">Revenues from others increased from RMB12.9 million in 2024 to RMB22.8 million (US$3.3 million) in 2025, primarily driven by growth in smart city management solutions and aerial media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Our cost of revenues decreased by 8.7% from RMB176.2 million in 2024 to RMB160.8 million (US$23.0 million) in 2025, which was broadly in line with the decrease in the sales volume of EH216 series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and gross profit margin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our gross profit decreased from RMB279.9 million in 2024 to RMB257.2 million (US$36.8 million) in 2025. Our gross profit margin remained relatively stable at 61.4% in 2024 and 61.5%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expenses increased by 4.0% from RMB563.9 million in 2024 to RMB586.2 million (US$83.8 million) in 2025. </w:t>
      </w:r>
    </w:p>
    <w:p>
      <w:pPr>
        <w:pStyle w:val="TextBody"/>
        <w:bidi w:val="0"/>
        <w:spacing w:before="240" w:after="0"/>
        <w:jc w:val="left"/>
        <w:rPr>
          <w:rFonts w:ascii="Times New Roman" w:hAnsi="Times New Roman"/>
          <w:sz w:val="20"/>
        </w:rPr>
      </w:pPr>
      <w:r>
        <w:rPr>
          <w:rFonts w:ascii="Times New Roman" w:hAnsi="Times New Roman"/>
          <w:i/>
          <w:sz w:val="20"/>
        </w:rPr>
        <w:t>Sales and marketing expenses</w:t>
      </w:r>
      <w:r>
        <w:rPr>
          <w:rFonts w:ascii="Times New Roman" w:hAnsi="Times New Roman"/>
          <w:sz w:val="20"/>
        </w:rPr>
        <w:t xml:space="preserve"> decreased from RMB131.0 million in 2024 to RMB122.0 million (US$17.4 million) in 2025, mainly attributed to lower share-based compensation expenses due to modification and accelerated vesting of outstanding share-based awards in 2024, partially offset by increased sales-related compensation driven by workforce expansion for sales and service network.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expenses</w:t>
      </w:r>
      <w:r>
        <w:rPr>
          <w:rFonts w:ascii="Times New Roman" w:hAnsi="Times New Roman"/>
          <w:sz w:val="20"/>
        </w:rPr>
        <w:t xml:space="preserve">. General and administrative expenses increased from RMB233.4 million in 2024 to RMB269.6 million (US$38.6 million) in 2025, primarily due to increased employee compensation driven by workforce expansion and higher share-based compensation expenses due to new grant of share-based awards in 2025, and increased lease expenses due to the expansion of our office space. </w:t>
      </w:r>
    </w:p>
    <w:p>
      <w:pPr>
        <w:pStyle w:val="TextBody"/>
        <w:bidi w:val="0"/>
        <w:spacing w:before="240" w:after="0"/>
        <w:jc w:val="left"/>
        <w:rPr>
          <w:rFonts w:ascii="Times New Roman" w:hAnsi="Times New Roman"/>
          <w:sz w:val="20"/>
        </w:rPr>
      </w:pPr>
      <w:r>
        <w:rPr>
          <w:rFonts w:ascii="Times New Roman" w:hAnsi="Times New Roman"/>
          <w:i/>
          <w:sz w:val="20"/>
        </w:rPr>
        <w:t>Research and development expenses</w:t>
      </w:r>
      <w:r>
        <w:rPr>
          <w:rFonts w:ascii="Times New Roman" w:hAnsi="Times New Roman"/>
          <w:sz w:val="20"/>
        </w:rPr>
        <w:t xml:space="preserve"> decreased slightly from RMB199.5 million in 2024 to RMB194.6 million (US$27.8 million) in 2025, mainly attributed to lower share-based compensation expenses due to accelerated vesting of outstanding share-based awards in 2024, partially offset by increased employee compensation driven by workforce expansion to further accelerate the research and development progress of different models of eVTOL aircraft in support of the Company’s future growth.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decreased from RMB29.9 million in 2024 to RMB12.4 million (US$1.8 million) in 2025, primarily due to a decrease in government subsidies recognized in the period. For the year ended December 31, 2025, government grants recognized upon receipt immediately in profit or loss amounted to RMB10.4 million (US$1.5 million), and other operating income of RMB2.0 million (US$0.3 million) was recognized from deferred government subsidies when the conditions were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 and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We recorded interest and investment income of RMB58.6 million (US$8.4 million) in 2025 and RMB30.6 million in 2024, both of which consisted primarily of interest earned from our cash and cash equivalents, short-term investments and fair value gains on short-term investments and other investments. The significant increase in 2025 was primarily driven by higher average balances of short-term investments and fair value gains on equity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expenses </w:t>
      </w:r>
    </w:p>
    <w:p>
      <w:pPr>
        <w:pStyle w:val="TextBody"/>
        <w:bidi w:val="0"/>
        <w:spacing w:before="120" w:after="0"/>
        <w:jc w:val="left"/>
        <w:rPr>
          <w:rFonts w:ascii="Times New Roman" w:hAnsi="Times New Roman"/>
          <w:sz w:val="20"/>
        </w:rPr>
      </w:pPr>
      <w:r>
        <w:rPr>
          <w:rFonts w:ascii="Times New Roman" w:hAnsi="Times New Roman"/>
          <w:sz w:val="20"/>
        </w:rPr>
        <w:t xml:space="preserve">We recorded interest expenses of RMB6.0 million (US$0.9 million) in 2025 and RMB3.4 million in 2024, both of which were primarily related to bank loans. The increase in 2025 reflects higher average bank loan balances during the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non-operating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income was RMB2.8 million (US$0.4 million) in 2025 and RMB4.7 million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non-operating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expenses were RMB15.5 million (US$2.2 million) in 2025 and RMB1.9 million in 2024. The significant increase in 2025 was primarily attributable to the settlement of the securities class action lawsuit (Pujo v. EHang Holdings Limited) for US$1,985 thousand (equivalent to RMB14,254 thousand), which was recorded as a loss from shareholder securities litigation. See “Item 8. Financial Information—A. Consolidated Statements and Other Financial Information—Legal Proceedings.”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 (expenses) benefits </w:t>
      </w:r>
    </w:p>
    <w:p>
      <w:pPr>
        <w:pStyle w:val="TextBody"/>
        <w:bidi w:val="0"/>
        <w:spacing w:before="120" w:after="0"/>
        <w:jc w:val="left"/>
        <w:rPr>
          <w:rFonts w:ascii="Times New Roman" w:hAnsi="Times New Roman"/>
          <w:sz w:val="20"/>
        </w:rPr>
      </w:pPr>
      <w:r>
        <w:rPr>
          <w:rFonts w:ascii="Times New Roman" w:hAnsi="Times New Roman"/>
          <w:sz w:val="20"/>
        </w:rPr>
        <w:t xml:space="preserve">Our income tax expenses were RMB0.4 million in 2024 and income tax benefits were RMB4.4 million (US$0.6 million) in 2025. We did not have significant income tax expenses because most of our subsidiaries and consolidated affiliated entities were loss making in 2024 and 2025. Our income tax benefits were due to one of our subsidiaries recognized deferred tax assets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our net loss increased by 20.2% from RMB230.0 million in 2024 to RMB276.4 million (US$39.5 million) in 2025. Net loss attributable to EHang Holdings Limited’s ordinary shareholders was RMB276.0 million (US$39.5 million) in 2025, compared with RMB229.8 million in 2024. </w:t>
      </w:r>
    </w:p>
    <w:p>
      <w:pPr>
        <w:pStyle w:val="TextBody"/>
        <w:bidi w:val="0"/>
        <w:spacing w:before="360" w:after="0"/>
        <w:jc w:val="left"/>
        <w:rPr>
          <w:rFonts w:ascii="Times New Roman" w:hAnsi="Times New Roman"/>
          <w:b/>
          <w:sz w:val="20"/>
        </w:rPr>
      </w:pPr>
      <w:r>
        <w:rPr>
          <w:rFonts w:ascii="Times New Roman" w:hAnsi="Times New Roman"/>
          <w:b/>
          <w:sz w:val="20"/>
        </w:rPr>
        <w:t xml:space="preserve">Year ended December 31, 2024 compared with year ended December 31, 2023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240" w:after="0"/>
        <w:jc w:val="left"/>
        <w:rPr>
          <w:rFonts w:ascii="Times New Roman" w:hAnsi="Times New Roman"/>
          <w:sz w:val="20"/>
        </w:rPr>
      </w:pPr>
      <w:r>
        <w:rPr>
          <w:rFonts w:ascii="Times New Roman" w:hAnsi="Times New Roman"/>
          <w:sz w:val="20"/>
        </w:rPr>
        <w:t xml:space="preserve">Our total revenues increased significantly from RMB117.4 million in 2023 to RMB456.2 million in 2024, primarily due to the increase in the sales volume of EH216 series products. </w:t>
      </w:r>
    </w:p>
    <w:p>
      <w:pPr>
        <w:pStyle w:val="TextBody"/>
        <w:bidi w:val="0"/>
        <w:spacing w:before="240" w:after="0"/>
        <w:jc w:val="left"/>
        <w:rPr>
          <w:rFonts w:ascii="Times New Roman" w:hAnsi="Times New Roman"/>
          <w:sz w:val="20"/>
        </w:rPr>
      </w:pPr>
      <w:r>
        <w:rPr>
          <w:rFonts w:ascii="Times New Roman" w:hAnsi="Times New Roman"/>
          <w:sz w:val="20"/>
        </w:rPr>
        <w:t xml:space="preserve">Revenues from air mobility solutions increased significantly from RMB104.7 million in 2023 to RMB443.3 million in 2024. We sold 216 units of the EH216 series products in 2024, compared with 52 units in 2023. </w:t>
      </w:r>
    </w:p>
    <w:p>
      <w:pPr>
        <w:pStyle w:val="TextBody"/>
        <w:bidi w:val="0"/>
        <w:spacing w:before="240" w:after="0"/>
        <w:jc w:val="left"/>
        <w:rPr>
          <w:rFonts w:ascii="Times New Roman" w:hAnsi="Times New Roman"/>
          <w:sz w:val="20"/>
        </w:rPr>
      </w:pPr>
      <w:r>
        <w:rPr>
          <w:rFonts w:ascii="Times New Roman" w:hAnsi="Times New Roman"/>
          <w:sz w:val="20"/>
        </w:rPr>
        <w:t xml:space="preserve">Revenues from others remained stable at RMB12.9 million in 2024, as compared to RMB12.7 million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Our cost of revenues increased significantly from RMB42.1 million in 2023 to RMB176.2 million in 2024, which was in line with the increase in the sales volume of EH216 series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Gross profit and gross profit margin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our gross profit increased significantly from RMB75.3 million in 2023 to RMB279.9 million in 2024. However, our gross profit margin decreased from 64.1% in 2023 to 61.4% in 2024 primarily due to changes in revenue mix and increased cost per unit of the airworthiness certified EH216-S product.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expenses increased by 49.3% from RMB377.8 million in 2023 to RMB563.9 million in 2024. </w:t>
      </w:r>
    </w:p>
    <w:p>
      <w:pPr>
        <w:pStyle w:val="TextBody"/>
        <w:bidi w:val="0"/>
        <w:spacing w:before="240" w:after="0"/>
        <w:jc w:val="left"/>
        <w:rPr>
          <w:rFonts w:ascii="Times New Roman" w:hAnsi="Times New Roman"/>
          <w:sz w:val="20"/>
        </w:rPr>
      </w:pPr>
      <w:r>
        <w:rPr>
          <w:rFonts w:ascii="Times New Roman" w:hAnsi="Times New Roman"/>
          <w:sz w:val="20"/>
        </w:rPr>
        <w:t xml:space="preserve">Sales and marketing expenses. Sales and marketing expenses increased significantly from RMB60.4 million in 2023 to RMB131.0 million in 2024, primarily due to increased sales-related compensation and associated share-based compensation expenses due to new grant and modification of share-based awards, as well as increased expansion of sales channels. </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General and administrative expenses increased from RMB150.1 million in 2023 to RMB233.4 million in 2024, primarily due to headcount expansion, increased employee compensation and related share-based compensation expenses resulting from new grants of share-based awards, and increased professional fees due to more professional services acquired from third parties for operational needs.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Research and development expenses increased from RMB167.3 million in 2023 to RMB199.5 million in 2024, primarily due to incremental expenditures on different models of eVTOL aircraft, headcount expansion, increased employee compensation and related share-based compensation expenses due to new grants of share-based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increased significantly from RMB6.2 million in 2023 to RMB29.9 million in 2024, primarily due to the increase of government subsidies.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and investment income </w:t>
      </w:r>
    </w:p>
    <w:p>
      <w:pPr>
        <w:pStyle w:val="TextBody"/>
        <w:bidi w:val="0"/>
        <w:spacing w:before="120" w:after="0"/>
        <w:jc w:val="left"/>
        <w:rPr>
          <w:rFonts w:ascii="Times New Roman" w:hAnsi="Times New Roman"/>
          <w:sz w:val="20"/>
        </w:rPr>
      </w:pPr>
      <w:r>
        <w:rPr>
          <w:rFonts w:ascii="Times New Roman" w:hAnsi="Times New Roman"/>
          <w:sz w:val="20"/>
        </w:rPr>
        <w:t xml:space="preserve">We recorded interest and investment income of RMB30.6 million in 2024 and RMB8.5 million in 2023, both of which consisted primarily of interest earned from our cash and cash equivalents, short-term deposits, restricted short-term deposits and short-term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expenses </w:t>
      </w:r>
    </w:p>
    <w:p>
      <w:pPr>
        <w:pStyle w:val="TextBody"/>
        <w:bidi w:val="0"/>
        <w:spacing w:before="120" w:after="0"/>
        <w:jc w:val="left"/>
        <w:rPr>
          <w:rFonts w:ascii="Times New Roman" w:hAnsi="Times New Roman"/>
          <w:sz w:val="20"/>
        </w:rPr>
      </w:pPr>
      <w:r>
        <w:rPr>
          <w:rFonts w:ascii="Times New Roman" w:hAnsi="Times New Roman"/>
          <w:sz w:val="20"/>
        </w:rPr>
        <w:t xml:space="preserve">We recorded interest expenses of RMB3.4 million in 2024 and RMB2.9 million in 2023, both of which were primarily related to bank loans and loans from third 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Amortization of debt discounts </w:t>
      </w:r>
    </w:p>
    <w:p>
      <w:pPr>
        <w:pStyle w:val="TextBody"/>
        <w:bidi w:val="0"/>
        <w:spacing w:before="120" w:after="0"/>
        <w:jc w:val="left"/>
        <w:rPr>
          <w:rFonts w:ascii="Times New Roman" w:hAnsi="Times New Roman"/>
          <w:sz w:val="20"/>
        </w:rPr>
      </w:pPr>
      <w:r>
        <w:rPr>
          <w:rFonts w:ascii="Times New Roman" w:hAnsi="Times New Roman"/>
          <w:sz w:val="20"/>
        </w:rPr>
        <w:t xml:space="preserve">We recognized amortization of debt discounts of RMB12.0 million in 2023, which were related to the private placement transaction completed in 2023. There were no such debt discounts in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non-operating income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income was RMB4.7 million in 2024 and RMB2.0 million in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non-operating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Other non-operating expenses were RMB1.9 million in 2024 and RMB0.2 million in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expenses </w:t>
      </w:r>
    </w:p>
    <w:p>
      <w:pPr>
        <w:pStyle w:val="TextBody"/>
        <w:bidi w:val="0"/>
        <w:spacing w:before="120" w:after="0"/>
        <w:jc w:val="left"/>
        <w:rPr>
          <w:rFonts w:ascii="Times New Roman" w:hAnsi="Times New Roman"/>
          <w:sz w:val="20"/>
        </w:rPr>
      </w:pPr>
      <w:r>
        <w:rPr>
          <w:rFonts w:ascii="Times New Roman" w:hAnsi="Times New Roman"/>
          <w:sz w:val="20"/>
        </w:rPr>
        <w:t xml:space="preserve">Our income tax expenses increased from RMB0.2 million in 2023 to RMB0.4 million in 2024. We did not have significant income tax expenses because most of our subsidiaries and consolidated affiliated entities were loss making in 2023 and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the foregoing, our net loss decreased by 23.9% from RMB302.3 million in 2023 to RMB230.0 million in 2024. </w:t>
      </w:r>
    </w:p>
    <w:p>
      <w:pPr>
        <w:pStyle w:val="TextBody"/>
        <w:bidi w:val="0"/>
        <w:spacing w:before="360" w:after="0"/>
        <w:jc w:val="left"/>
        <w:rPr>
          <w:rFonts w:ascii="Times New Roman" w:hAnsi="Times New Roman"/>
          <w:b/>
          <w:sz w:val="20"/>
        </w:rPr>
      </w:pPr>
      <w:r>
        <w:rPr>
          <w:rFonts w:ascii="Times New Roman" w:hAnsi="Times New Roman"/>
          <w:b/>
          <w:sz w:val="20"/>
        </w:rPr>
        <w:t xml:space="preserve">B. 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assuming that we will continue as a going concern, which contemplates the realization of assets and the satisfaction of liabilities during the normal course of operations. We have experienced recurring losses from operations since inception. As of December 31, 2024 and 2025, we had an accumulated deficit of RMB1,984.9 million and RMB2,262.4 million (US$323.5 million) respectively. For the years ended December 31, 2023, 2024 and 2025, we incurred net loss of RMB302.3 million, RMB230.0 million and RMB276.4 million (US$39.5 million) respectively. We had net cash used in operating activities of RMB88.4 million and RMB179.5 million (US$25.7 million) for the years ended December 31, 2023 and 2025, respectively, and net cash generated from operating activities of RMB158.0 million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our cash and cash equivalents, short-term investments and restricted short-term deposits were RMB256.4 million (US$36.7 million), RMB843.2 million (US$120.6 million) and RMB29.7 million (US$4.2 million), respectively. Our ability to continue as a going concern is largely dependent on successful execution of our business plan to scale up commercial sales of EH216-S and our ability to raise additional funds when needed. Our primary sources of liquidity have been proceeds from issuance of equity securities offerings, including private placements, as well as customer advances, short-term and long-term bank loans. For example, we had raised a total of US$95.6 million from the sale and issuance of our Class A ordinary shares in private placements as of the date of this annual report, including US$40 million in 2021, US$33 million in 2023, and US$22.6 million in 2024. In addition, we raised a total of US$76.2 million and US$23.8 million through our ATM Program in 2024 and 2025, respectively. As of December 31, 2025, we had RMB1,129.3 million (US$161.5 million) in cash and cash equivalents, short-term investments and restricted short-term deposits, of which 9.6% were held in Renminbi and the remainder was held in U.S. dollars and other currencies, and of which 24.2% were held in the PRC. Our cash and cash equivalents consist primarily of cash on hand and highly liquid investments which are unrestricted as to withdrawal or use, and which have original maturities of three months or less.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milestone achievement in obtaining the world’s first human-carrying unmanned aerial vehicle system certification for EH216-S, and the granting of OC to EH216-S operators in March 2025, the Company’s management is implementing business plans to scale up the commercial sales and operations of EH216-S through building a replicable and promotable business model to further expand the Company’s partnership network and enrich the commercial scenarios of EH216-S.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balances of cash and cash equivalents, short-term investments and restricted short-term deposits as of December 31, 2025 will be sufficient to meet our sustainable operations and material cash requirements for at least the next 12 months after the date of this annual report. However, we may need additional cash resources in the future if we experience changes in business conditions or other developments, or if we pursue opportunities for investment, acquisition, capital expenditure or similar actions.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covenants that would restrict our operations. We cannot assure you that financing will be available in amounts or on terms acceptable to us, if at all. In utilizing the proceeds, we received from our securities offerings including our initial public offering and private placements, we may make additional capital contributions to our PRC subsidiaries, establish new PRC subsidiaries and make capital contributions to these new PRC subsidiaries, make loans to our PRC subsidiaries, or acquire offshore entities with operations in China in offshore transactions. However, most of these uses are subject to PRC regulations. See “Item 3. Key Information—D.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the VIE and the VIE’s subsidiaries, which could materially and adversely affect our liquidity and our ability to fund and expand our business,” and “Item 14. Material Modifications to the Rights of Security Holders and Use of Proceeds—Use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majority of our revenues have been, and we expect they are likely to continue to be, in the form of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current PRC regulations permit our PRC subsidiaries to pay dividends to us only out of its accumulated profits, if any, determined in accordance with Chinese accounting standards and regulations. Our PRC subsidiaries are required to set aside at least 10% of their after-tax profits after making up previous years’ accumulated losses each year, if any, to fund certain reserve funds until the total amount set aside reaches 50% of its registered capital. These reserves are not distributable as cash dividends. Historically, our PRC subsidiaries have not paid dividends to us, and it will not be able to pay dividends until it generates accumulated profits. Furthermore, capital account transactions, which include foreign direct investment and loans, must be approved by and/or registered with SAFE, its local branches and certain local banks. </w:t>
      </w:r>
    </w:p>
    <w:p>
      <w:pPr>
        <w:pStyle w:val="TextBody"/>
        <w:bidi w:val="0"/>
        <w:spacing w:before="240" w:after="0"/>
        <w:jc w:val="left"/>
        <w:rPr>
          <w:rFonts w:ascii="Times New Roman" w:hAnsi="Times New Roman"/>
          <w:sz w:val="20"/>
        </w:rPr>
      </w:pPr>
      <w:r>
        <w:rPr>
          <w:rFonts w:ascii="Times New Roman" w:hAnsi="Times New Roman"/>
          <w:sz w:val="20"/>
        </w:rPr>
        <w:t xml:space="preserve">As a Cayman Islands exempted company and offshore holding company, we are permitted under PRC laws and regulations to provide funding to our PRC subsidiaries only through loans or capital contributions, subject to the approval of government authorities and limits on the amount of capital contributions and loans. This may delay us from using the proceeds from our securities offerings to make loans or capital contributions to our PRC subsidiaries. See “Item 3. Key Information—D.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the VIE and the VIE’s subsidiaries, which could materially and adversely affect our liquidity and our ability to fund and expand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presented: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70"/>
        <w:gridCol w:w="120"/>
        <w:gridCol w:w="60"/>
        <w:gridCol w:w="875"/>
        <w:gridCol w:w="155"/>
        <w:gridCol w:w="120"/>
        <w:gridCol w:w="60"/>
        <w:gridCol w:w="875"/>
        <w:gridCol w:w="155"/>
        <w:gridCol w:w="120"/>
        <w:gridCol w:w="60"/>
        <w:gridCol w:w="875"/>
        <w:gridCol w:w="155"/>
        <w:gridCol w:w="120"/>
        <w:gridCol w:w="60"/>
        <w:gridCol w:w="755"/>
        <w:gridCol w:w="170"/>
      </w:tblGrid>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4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45" w:type="dxa"/>
            <w:gridSpan w:val="14"/>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generated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(88,410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157,959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(179,506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(25,668</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(128,692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(482,508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(507,145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(72,521</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195,480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701,357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337,431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48,252</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(752</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increase in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382,627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(354,477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(50,689</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the beginning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249,310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228,250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610,877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87,354</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end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228,250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610,877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256,400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36,665</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in 2025 was RMB179.5 million (US$25.7 million). This amount was primarily attributable to net loss of RMB276.4 million (US$39.5 million), adjusted to add back certain non-cash expenses, principally share-based compensation of RMB246.2 million (US$35.2 million), current expected credit losses of RMB7.9 million (US$1.1 million), depreciation of property and equipment of RMB19.0 million (US$2.7 million) and amortization of right-of-use assets of RMB10.1 million (US$1.4 million), and further adjusted downwards due to changes in operating assets and liabilities. The changes in operating assets and liabilities primarily included an increase of RMB61.4 million (US$8.8 million) in accounts receivable as a result of deliberate business strategy to grant longer credit terms to certain customers in an effort to strengthen long-term strategic partnerships, an increase of RMB101.6 million (US$14.5 million) in prepayments and other assets, and an increase of RMB35.7 million (US$5.1 million) in inventories, partially offset by an increase of RMB61.6 million (US$8.8 million) in accrued expenses and other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generated from operating activities in 2024 was RMB158.0 million. This amount was primarily attributable to net loss of RMB230.0 million, adjusted to add back certain non-cash expenses, principally share-based compensation of RMB273.1 million, current expected credit losses of RMB12.8 million, depreciation of property and equipment of RMB12.8 million and amortization of right-of-use assets of RMB6.1 million, and further adjusted upwards due to changes in operating assets and liabilities. The changes in operating assets and liabilities primarily included an increase of RMB92.3 million in accounts payable in relation to procurement of materials for production, an increase of RMB57.6 million in accrued expenses and other liabilities in relation to payrolls and tax payables, an increase of RMB30.1 million in accounts receivable in relation to receivables that we are entitled to receive primarily due to the increase in the sales volume, and an increase of RMB29.5 million in prepayments and other assets in relation to deductible value-added tax input and acquisition of inventories.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operating activities in 2023 was RMB88.4 million. This amount was primarily attributable to net loss of RMB302.3 million, adjusted to add back certain non-cash expenses, principally share-based compensation of RMB151.5 million, current expected credit losses of RMB13.7 million, depreciation of property and equipment of RMB12.4 million and amortization of right-of-use assets of RMB8.1 million, and further adjusted upwards due to changes in operating assets and liabilities. The changes in operating assets and liabilities primarily included an increase of RMB20.5 million in accounts receivable in relation to the receivables that we are entitled to receive and a decrease of RMB3.7 million in lease liabilities in relation to lease payments for office and production facilities and offset mainly by an increase of RMB17.8 million in contract liabilities in relation to more payments received before the sale of products or services to customers, a decrease of RMB10.7 million in prepayments and other current assets in relation to consideration received for vested share-based awards under share incentive plan, and a decrease of RMB7.8 million in inventories in relation to procurement of materials for production and finished goods. </w:t>
      </w:r>
    </w:p>
    <w:p>
      <w:pPr>
        <w:pStyle w:val="TextBody"/>
        <w:bidi w:val="0"/>
        <w:spacing w:before="360" w:after="0"/>
        <w:jc w:val="left"/>
        <w:rPr>
          <w:rFonts w:ascii="Times New Roman" w:hAnsi="Times New Roman"/>
          <w:b/>
          <w:sz w:val="20"/>
        </w:rPr>
      </w:pPr>
      <w:r>
        <w:rPr>
          <w:rFonts w:ascii="Times New Roman" w:hAnsi="Times New Roman"/>
          <w:b/>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in 2025 was RMB507.1 million (US$72.5 million), mainly consisting of purchase of short-term investments of RMB729.2 million (US$104.3 million), purchase of property and equipment of RMB147.9 million (US$21.2 million) and purchases of land use rights of RMB11.4 million (US$1.6 million), partially offset by redemption of short-term investments of RMB418.7 million (US$59.9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2024 was RMB482.5 million, mainly consisting of purchase of short-term investments of RMB885.7 million and payments for short-term deposits of RMB130.1 million, partially offset by redemption of short-term investments of RMB444.8 million and proceeds received from maturity of short-term deposits of RMB143.8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in 2023 was RMB128.7 million, mainly consisting of purchase of short-term investments of RMB56.7 million, purchase of restricted short-term deposits of RMB33.4 million and purchase of short-term deposits of RMB14.2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provided by financing activities in 2025 was RMB337.4 million (US$48.3 million), primarily attributable to RMB249.1 million (US$35.6 million) from proceeds from short-term bank loans, RMB75.0 million (US$10.7 million) from proceeds from long-term bank loans, and RMB166.8 million (US$23.9 million) from issuance of Class A ordinary shares under the ATM Program, partially offset by repayment of mandatorily redeemable non-controlling interests of RMB40.0 million (US$5.7 million) and repayment of short-term bank loans of RMB83.8 million (US$12.0 million).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in 2024 was RMB701.4 million, primarily attributable to RMB698.1 million from issuance of Class A ordinary shares under the ATM Program and certain private placement transactions. </w:t>
      </w:r>
    </w:p>
    <w:p>
      <w:pPr>
        <w:pStyle w:val="TextBody"/>
        <w:bidi w:val="0"/>
        <w:spacing w:before="240" w:after="0"/>
        <w:jc w:val="left"/>
        <w:rPr>
          <w:rFonts w:ascii="Times New Roman" w:hAnsi="Times New Roman"/>
          <w:sz w:val="20"/>
        </w:rPr>
      </w:pPr>
      <w:r>
        <w:rPr>
          <w:rFonts w:ascii="Times New Roman" w:hAnsi="Times New Roman"/>
          <w:sz w:val="20"/>
        </w:rPr>
        <w:t xml:space="preserve">Net cash provided by financing activities in 2023 was RMB195.5 million, primarily attributable to RMB250.2 million from issuance of Class A ordinary shares, including to several strategic investors in connection with a US$23.0 million private placement which had closed in the third quarter of 2023, and net proceeds of RMB19.3 million from short-term bank loans. </w:t>
      </w:r>
    </w:p>
    <w:p>
      <w:pPr>
        <w:pStyle w:val="TextBody"/>
        <w:bidi w:val="0"/>
        <w:spacing w:before="360" w:after="0"/>
        <w:jc w:val="left"/>
        <w:rPr>
          <w:rFonts w:ascii="Times New Roman" w:hAnsi="Times New Roman"/>
          <w:b/>
          <w:sz w:val="20"/>
        </w:rPr>
      </w:pPr>
      <w:r>
        <w:rPr>
          <w:rFonts w:ascii="Times New Roman" w:hAnsi="Times New Roman"/>
          <w:b/>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Our capital expenditures were RMB9.1 million, RMB40.1 million and RMB160.4 million (US$22.9 million) in 2023, 2024 and 2025, respectively, which were mainly used for the purchase of property and equipment for the establishment and installation of equipment at our manufacturing facility in Yunfu, construction of our new office building in Guangzhou, improvements for other office buildings and obtaining a land use right. We plan to fund our future capital expenditures with our existing cash balance.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material cash requirements as of December 31, 2025 and any subsequent interim period primarily include operating lease commitments, short-term bank loans, long-term bank loans, capital commitment for property, plant and equipment, and investment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lease commitments primarily represent our non-cancelable lease of offices and facilities for business operation. We lease offices under non-cancelable operating lease arrangements with initial terms in excess of one year. </w:t>
      </w:r>
    </w:p>
    <w:p>
      <w:pPr>
        <w:pStyle w:val="TextBody"/>
        <w:bidi w:val="0"/>
        <w:spacing w:before="240" w:after="0"/>
        <w:jc w:val="left"/>
        <w:rPr>
          <w:rFonts w:ascii="Times New Roman" w:hAnsi="Times New Roman"/>
          <w:sz w:val="20"/>
        </w:rPr>
      </w:pPr>
      <w:r>
        <w:rPr>
          <w:rFonts w:ascii="Times New Roman" w:hAnsi="Times New Roman"/>
          <w:sz w:val="20"/>
        </w:rPr>
        <w:t xml:space="preserve">We intend to fund our existing and future material cash requirements primarily with our existing cash balance and other financing alternatives. We will continue to make cash commitments, including capital expenditures, to support the growth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contractual obligations as of December 31, 2025: </w:t>
      </w:r>
    </w:p>
    <w:p>
      <w:pPr>
        <w:pStyle w:val="TextBody"/>
        <w:bidi w:val="0"/>
        <w:spacing w:before="0" w:after="0"/>
        <w:jc w:val="left"/>
        <w:rPr/>
      </w:pPr>
      <w:r>
        <w:rPr/>
        <w:t> </w:t>
      </w:r>
    </w:p>
    <w:tbl>
      <w:tblPr>
        <w:tblW w:w="9825" w:type="dxa"/>
        <w:jc w:val="left"/>
        <w:tblInd w:w="0" w:type="dxa"/>
        <w:tblLayout w:type="fixed"/>
        <w:tblCellMar>
          <w:top w:w="0" w:type="dxa"/>
          <w:left w:w="0" w:type="dxa"/>
          <w:bottom w:w="0" w:type="dxa"/>
          <w:right w:w="0" w:type="dxa"/>
        </w:tblCellMar>
      </w:tblPr>
      <w:tblGrid>
        <w:gridCol w:w="4475"/>
        <w:gridCol w:w="120"/>
        <w:gridCol w:w="60"/>
        <w:gridCol w:w="800"/>
        <w:gridCol w:w="60"/>
        <w:gridCol w:w="120"/>
        <w:gridCol w:w="69"/>
        <w:gridCol w:w="926"/>
        <w:gridCol w:w="60"/>
        <w:gridCol w:w="120"/>
        <w:gridCol w:w="60"/>
        <w:gridCol w:w="680"/>
        <w:gridCol w:w="60"/>
        <w:gridCol w:w="120"/>
        <w:gridCol w:w="60"/>
        <w:gridCol w:w="680"/>
        <w:gridCol w:w="60"/>
        <w:gridCol w:w="120"/>
        <w:gridCol w:w="76"/>
        <w:gridCol w:w="1024"/>
        <w:gridCol w:w="75"/>
      </w:tblGrid>
      <w:tr>
        <w:trPr/>
        <w:tc>
          <w:tcPr>
            <w:tcW w:w="4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1-3</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3-5</w:t>
              <w:br/>
              <w:t>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5" w:type="dxa"/>
            <w:gridSpan w:val="18"/>
            <w:tcBorders/>
            <w:vAlign w:val="center"/>
          </w:tcPr>
          <w:p>
            <w:pPr>
              <w:pStyle w:val="TableContents"/>
              <w:bidi w:val="0"/>
              <w:spacing w:before="0" w:after="283"/>
              <w:jc w:val="center"/>
              <w:rPr>
                <w:b/>
              </w:rPr>
            </w:pPr>
            <w:r>
              <w:rPr>
                <w:b/>
              </w:rPr>
              <w:t>(in RMB thousands)</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commitments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172,977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16,576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24,626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103,063</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bank loans(1)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232,667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232,667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bank loans(1)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12,303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66,421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13,810</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Capital commitment for property, plant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30,064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obligations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20,880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565,814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926" w:type="dxa"/>
            <w:tcBorders/>
            <w:vAlign w:val="center"/>
          </w:tcPr>
          <w:p>
            <w:pPr>
              <w:pStyle w:val="TableContents"/>
              <w:bidi w:val="0"/>
              <w:spacing w:before="0" w:after="283"/>
              <w:jc w:val="right"/>
              <w:rPr/>
            </w:pPr>
            <w:r>
              <w:rPr/>
              <w:t>312,490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41,318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116,873</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short-term bank loans and long-term bank loans are presented with the principle and estimated interest calculated based on the contractual interest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disclosed in our consolidated financial statements included elsewhere in this annual report, we had unrecognized tax benefits. The final outcome of the tax uncertainty is dependent upon various matters including tax examinations, interpretation of tax laws or expiration of statutes of limitation. However, due to the uncertainties associated with the status of examinations, including the protocols of finalizing audits by the relevant tax authorities, there is a high degree of uncertainty regarding the future cash outflows associated with these tax uncertainties. </w:t>
      </w:r>
    </w:p>
    <w:p>
      <w:pPr>
        <w:pStyle w:val="TextBody"/>
        <w:bidi w:val="0"/>
        <w:spacing w:before="240" w:after="0"/>
        <w:jc w:val="left"/>
        <w:rPr>
          <w:rFonts w:ascii="Times New Roman" w:hAnsi="Times New Roman"/>
          <w:sz w:val="20"/>
        </w:rPr>
      </w:pPr>
      <w:r>
        <w:rPr>
          <w:rFonts w:ascii="Times New Roman" w:hAnsi="Times New Roman"/>
          <w:sz w:val="20"/>
        </w:rPr>
        <w:t xml:space="preserve">Other than as shown above, we did not have any significant capital and other commitments, long-term obligations or guarantees as of December 31, 2025.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We have not entered into any financial guarantees or other commitments to guarantee the payment obligations of any third parties. In addition, we have not entered into any derivative contracts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 </w:t>
      </w:r>
    </w:p>
    <w:p>
      <w:pPr>
        <w:pStyle w:val="TextBody"/>
        <w:bidi w:val="0"/>
        <w:spacing w:before="360" w:after="0"/>
        <w:jc w:val="left"/>
        <w:rPr>
          <w:rFonts w:ascii="Times New Roman" w:hAnsi="Times New Roman"/>
          <w:b/>
          <w:sz w:val="20"/>
        </w:rPr>
      </w:pPr>
      <w:r>
        <w:rPr>
          <w:rFonts w:ascii="Times New Roman" w:hAnsi="Times New Roman"/>
          <w:b/>
          <w:sz w:val="20"/>
        </w:rPr>
        <w:t xml:space="preserve">Holding Company Structure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with no material operations on our own. We conduct our operations primarily through the WFOE, the VIE and their respective subsidiaries in China. As a result, our ability to pay dividends depends upon dividends paid by the WFOE. If the WFOE or any newly formed PRC subsidiaries incur debt on their own behalf in the future, the instruments governing their debt may restrict their ability to pay dividends to us. In addition, our wholly foreign-owned subsidiary in China is permitted to pay dividends to us only out of its retained earnings, if any, as determined in accordance with PRC accounting standards and regulations. Under PRC law, each of the WFOE, the VIE and their respective subsidiaries in China is required to set aside at least 10% of its after-tax profits each year, if any, to contribute to certain statutory reserve funds until the cumulative amount of such reserve funds reaches 50% of its registered capital. As of December 31, 2025, the total registered capital of the WFOE, the VIE and their respective subsidiaries in China amounted to RMB1,858.9 million (US$265.8 million), implying a maximum total amount of RMB929.4 million (US$132.9 million) in statutory reserve funds to be set aside from their after-tax profits, if any. Our WFOE, the VIE and their respective subsidiaries in China had set aside a cumulative amount of RMB3.3 million (US$0.5 million) for such statutory reserve funds as of December 31, 2025. We believe that setting aside such additional amount will not have a material adverse impact on our business or liquidity because (i) a company is not required to set aside any amount for its statutory reserve fund until it has positive after-tax profits; (ii) the amount to be set aside annually is only 10% of a company’s after-tax profits, if any, and (iii) pursuant to the PRC Company Law, the statutory reserve funds can be used for offsetting a company’s losses, expanding its business operations and increasing its capital. In addition, our wholly foreign-owned subsidiary in China may allocate a portion of its after-tax profits based on PRC accounting standards to enterprise expansion funds and staff bonus and welfare funds at its discretion, and the VIE may allocate a portion of its after-tax profits based on PRC accounting standards to a surplus fund at its discretion. The statutory reserve funds and the discretionary funds are not distributable as cash dividends. Remittance of dividends by a wholly foreign-owned company out of China is subject to examination by the banks designated by SAFE. Our WFOE has not paid dividends and will not be able to pay dividends until it generates accumulated profits and meets the requirements for statutory reserve funds. </w:t>
      </w:r>
    </w:p>
    <w:p>
      <w:pPr>
        <w:pStyle w:val="TextBody"/>
        <w:bidi w:val="0"/>
        <w:spacing w:before="360" w:after="0"/>
        <w:jc w:val="left"/>
        <w:rPr>
          <w:rFonts w:ascii="Times New Roman" w:hAnsi="Times New Roman"/>
          <w:b/>
          <w:sz w:val="20"/>
        </w:rPr>
      </w:pPr>
      <w:r>
        <w:rPr>
          <w:rFonts w:ascii="Times New Roman" w:hAnsi="Times New Roman"/>
          <w:b/>
          <w:sz w:val="20"/>
        </w:rPr>
        <w:t xml:space="preserve">Inflation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inflation in China has not materially affected our results of operations. According to the National Bureau of Statistics of China, the year-over-year percent changes in the consumer price index were a decrease of 0.3% for December 2023 and an increase of 0.1% for December 2024 and remained stable for December 2025. Although we have not been materially affected by inflation in the past, we can provide no assurance that we will not be affected in the future by higher rates of inflation in mainland China. For example, certain operating costs and expenses, such as employee compensation and office operating expenses may increase as a result of higher inflation. We are not able to hedge our exposure to higher inflation in mainland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 Research and Development, Patents and Licenses, etc.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Overview—Research and Development Capabilities” and “—Intellectual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D. Trend Information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E. 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 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2025 for more information on our critical accounting policies. </w:t>
      </w:r>
    </w:p>
    <w:p>
      <w:pPr>
        <w:pStyle w:val="TextBody"/>
        <w:bidi w:val="0"/>
        <w:spacing w:before="360" w:after="0"/>
        <w:jc w:val="left"/>
        <w:rPr>
          <w:rFonts w:ascii="Times New Roman" w:hAnsi="Times New Roman"/>
          <w:b/>
          <w:sz w:val="20"/>
        </w:rPr>
      </w:pPr>
      <w:r>
        <w:rPr>
          <w:rFonts w:ascii="Times New Roman" w:hAnsi="Times New Roman"/>
          <w:b/>
          <w:sz w:val="20"/>
        </w:rPr>
        <w:t xml:space="preserve">Current expected credit loss </w:t>
      </w:r>
    </w:p>
    <w:p>
      <w:pPr>
        <w:pStyle w:val="TextBody"/>
        <w:bidi w:val="0"/>
        <w:spacing w:before="120" w:after="0"/>
        <w:jc w:val="left"/>
        <w:rPr>
          <w:rFonts w:ascii="Times New Roman" w:hAnsi="Times New Roman"/>
          <w:sz w:val="20"/>
        </w:rPr>
      </w:pPr>
      <w:r>
        <w:rPr>
          <w:rFonts w:ascii="Times New Roman" w:hAnsi="Times New Roman"/>
          <w:sz w:val="20"/>
        </w:rPr>
        <w:t xml:space="preserve">Our cash and cash equivalents, restricted short-term deposits, accounts receivable, loans receivable, other receivables and other non-current assets are within the scope of ASC Topic 326. We have identified the relevant risk characteristics of our customers and the related receivables which include the products we provide, the type of business, the scale of transactions on credit terms, the nature of counterparties and the level of credit risk of the customers, or a combination of these characteristics. Receivables with similar risk characteristics have been grouped into pools. For each pool, we consider the historical credit loss experience, current economic conditions, supportable forecasts of future economic conditions, and any recoveries in assessing the lifetime expected credit losses. Other key factors that influence the expected credit loss analysis include payment terms offered in the normal course of business to customers and industry-specific factors that could impact our receivables. Additionally, external data and macroeconomic factors are also considered. When facts and circumstances indicate that the receivable no longer shares similar risk characteristics, the Group evaluates the receivables for expected credit losses on an individual basis with expected future cash flow. This is assessed at each quarter based on our specific facts and circumstances. For the year ended December 31, 2025, we recorded RMB7,938 thousand (US$1,135 thousand) of expected credit loss in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We apply management’s judgments and estimates when determining the expected credit loss to be recognized. We reassess the allowance at each balance sheet date. Where the basis of judgments and estimates is different from the initial assessment, such differences will impact the expected credit loss and the carrying values of the accounts receivable in the year. As of December 31, 2024 and 2025, we assessed the ending balance of expected credit losses provision to be RMB110,422 thousand and RMB118,508 thousand (US$16,946 thousand), respectively. Changes in these estimates and assumptions could materially affect the allowance losses. </w:t>
      </w:r>
    </w:p>
    <w:p>
      <w:pPr>
        <w:pStyle w:val="TextBody"/>
        <w:bidi w:val="0"/>
        <w:spacing w:before="360" w:after="0"/>
        <w:jc w:val="left"/>
        <w:rPr>
          <w:rFonts w:ascii="Times New Roman" w:hAnsi="Times New Roman"/>
          <w:b/>
          <w:sz w:val="20"/>
        </w:rPr>
      </w:pPr>
      <w:r>
        <w:rPr>
          <w:rFonts w:ascii="Times New Roman" w:hAnsi="Times New Roman"/>
          <w:b/>
          <w:sz w:val="20"/>
        </w:rPr>
        <w:t xml:space="preserve">Valuation allowance for deferred tax assets </w:t>
      </w:r>
    </w:p>
    <w:p>
      <w:pPr>
        <w:pStyle w:val="TextBody"/>
        <w:bidi w:val="0"/>
        <w:spacing w:before="120" w:after="0"/>
        <w:jc w:val="left"/>
        <w:rPr>
          <w:rFonts w:ascii="Times New Roman" w:hAnsi="Times New Roman"/>
          <w:sz w:val="20"/>
        </w:rPr>
      </w:pPr>
      <w:r>
        <w:rPr>
          <w:rFonts w:ascii="Times New Roman" w:hAnsi="Times New Roman"/>
          <w:sz w:val="20"/>
        </w:rPr>
        <w:t xml:space="preserve">We record a valuation allowance to offset deferred tax assets if based on the weight of available evidence, it is more-likely-than-not that some portion, or all, of the deferred tax assets will not be realized. Significant judgment is required in determining the valuation allowance. In assessing the need for a valuation allowance, we consider all sources of taxable income, including projected future taxable income, reversing taxable temporary differences and ongoing tax planning strategies.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35" w:type="dxa"/>
        <w:jc w:val="left"/>
        <w:tblInd w:w="0" w:type="dxa"/>
        <w:tblLayout w:type="fixed"/>
        <w:tblCellMar>
          <w:top w:w="0" w:type="dxa"/>
          <w:left w:w="0" w:type="dxa"/>
          <w:bottom w:w="0" w:type="dxa"/>
          <w:right w:w="0" w:type="dxa"/>
        </w:tblCellMar>
      </w:tblPr>
      <w:tblGrid>
        <w:gridCol w:w="725"/>
        <w:gridCol w:w="4010"/>
      </w:tblGrid>
      <w:tr>
        <w:trPr/>
        <w:tc>
          <w:tcPr>
            <w:tcW w:w="725" w:type="dxa"/>
            <w:tcBorders/>
            <w:vAlign w:val="center"/>
          </w:tcPr>
          <w:p>
            <w:pPr>
              <w:pStyle w:val="TableContents"/>
              <w:bidi w:val="0"/>
              <w:spacing w:before="0" w:after="283"/>
              <w:jc w:val="left"/>
              <w:rPr>
                <w:b/>
              </w:rPr>
            </w:pPr>
            <w:bookmarkStart w:id="13" w:name="txa39307_11"/>
            <w:bookmarkEnd w:id="13"/>
            <w:r>
              <w:rPr>
                <w:b/>
              </w:rPr>
              <w:t>Item 6.</w:t>
            </w:r>
          </w:p>
        </w:tc>
        <w:tc>
          <w:tcPr>
            <w:tcW w:w="4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Senior Management and Employees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Directors and senior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relating to our directors and executive officers as of the date of this annual report. </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2405"/>
        <w:gridCol w:w="120"/>
        <w:gridCol w:w="425"/>
        <w:gridCol w:w="120"/>
        <w:gridCol w:w="369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Directors and Executive Officers</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120" w:type="dxa"/>
            <w:tcBorders/>
            <w:vAlign w:val="center"/>
          </w:tcPr>
          <w:p>
            <w:pPr>
              <w:pStyle w:val="TableContents"/>
              <w:bidi w:val="0"/>
              <w:spacing w:before="0" w:after="283"/>
              <w:jc w:val="left"/>
              <w:rPr/>
            </w:pPr>
            <w:r>
              <w:rPr/>
              <w:t>  </w:t>
            </w:r>
          </w:p>
        </w:tc>
        <w:tc>
          <w:tcPr>
            <w:tcW w:w="36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Position/Title</w:t>
            </w:r>
          </w:p>
        </w:tc>
      </w:tr>
      <w:tr>
        <w:trPr/>
        <w:tc>
          <w:tcPr>
            <w:tcW w:w="2405" w:type="dxa"/>
            <w:tcBorders/>
            <w:vAlign w:val="center"/>
          </w:tcPr>
          <w:p>
            <w:pPr>
              <w:pStyle w:val="TableContents"/>
              <w:bidi w:val="0"/>
              <w:spacing w:before="0" w:after="283"/>
              <w:jc w:val="left"/>
              <w:rPr/>
            </w:pPr>
            <w:r>
              <w:rPr/>
              <w:t>Huazhi Hu</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49</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Chairman and Chief Executive Officer</w:t>
            </w:r>
          </w:p>
        </w:tc>
      </w:tr>
      <w:tr>
        <w:trPr/>
        <w:tc>
          <w:tcPr>
            <w:tcW w:w="2405" w:type="dxa"/>
            <w:tcBorders/>
            <w:vAlign w:val="center"/>
          </w:tcPr>
          <w:p>
            <w:pPr>
              <w:pStyle w:val="TableContents"/>
              <w:bidi w:val="0"/>
              <w:spacing w:before="0" w:after="283"/>
              <w:jc w:val="left"/>
              <w:rPr/>
            </w:pPr>
            <w:r>
              <w:rPr/>
              <w:t>Haoxiang Hou</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37</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Conor Chia-hung Yang</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63</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Director and Chief Financial Officer</w:t>
            </w:r>
          </w:p>
        </w:tc>
      </w:tr>
      <w:tr>
        <w:trPr/>
        <w:tc>
          <w:tcPr>
            <w:tcW w:w="2405" w:type="dxa"/>
            <w:tcBorders/>
            <w:vAlign w:val="center"/>
          </w:tcPr>
          <w:p>
            <w:pPr>
              <w:pStyle w:val="TableContents"/>
              <w:bidi w:val="0"/>
              <w:spacing w:before="0" w:after="283"/>
              <w:jc w:val="left"/>
              <w:rPr/>
            </w:pPr>
            <w:r>
              <w:rPr/>
              <w:t>Dongming Wu</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62</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Nick Ning Yang</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50</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Wing Kee Lau</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61</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Zhao Wang</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48</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Chief Operating Officer</w:t>
            </w:r>
          </w:p>
        </w:tc>
      </w:tr>
      <w:tr>
        <w:trPr/>
        <w:tc>
          <w:tcPr>
            <w:tcW w:w="2405" w:type="dxa"/>
            <w:tcBorders/>
            <w:vAlign w:val="center"/>
          </w:tcPr>
          <w:p>
            <w:pPr>
              <w:pStyle w:val="TableContents"/>
              <w:bidi w:val="0"/>
              <w:spacing w:before="0" w:after="283"/>
              <w:jc w:val="left"/>
              <w:rPr/>
            </w:pPr>
            <w:r>
              <w:rPr/>
              <w:t>Haiyan Li</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50</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Director</w:t>
            </w:r>
          </w:p>
        </w:tc>
      </w:tr>
      <w:tr>
        <w:trPr/>
        <w:tc>
          <w:tcPr>
            <w:tcW w:w="2405" w:type="dxa"/>
            <w:tcBorders/>
            <w:vAlign w:val="center"/>
          </w:tcPr>
          <w:p>
            <w:pPr>
              <w:pStyle w:val="TableContents"/>
              <w:bidi w:val="0"/>
              <w:spacing w:before="0" w:after="283"/>
              <w:jc w:val="left"/>
              <w:rPr/>
            </w:pPr>
            <w:r>
              <w:rPr/>
              <w:t>Shuai Feng</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35</w:t>
            </w:r>
          </w:p>
        </w:tc>
        <w:tc>
          <w:tcPr>
            <w:tcW w:w="1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Chief Technology Officer</w:t>
            </w:r>
          </w:p>
        </w:tc>
      </w:tr>
    </w:tbl>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Huazhi Hu</w:t>
      </w:r>
      <w:r>
        <w:rPr>
          <w:rFonts w:ascii="Times New Roman" w:hAnsi="Times New Roman"/>
          <w:sz w:val="20"/>
        </w:rPr>
        <w:t xml:space="preserve"> is our founder and has served as our chief executive officer and the chairman of the board of directors since our inception. Mr. Hu founded our predecessor company, Beijing Yihang Chuangshi Technology Co., Ltd. in 2005, a leader in providing large-scale command-and-control systems. Mr. Hu also worked as the chief technology officer at Beijing 999 Emergency Rescue Center in charge of the development of the emergency command &amp; control center between 2008 and 2010, and worked at Beijing Jindian Group as a vice president overseeing information management between 2006 and 2008. Mr. Hu is a recipient of the Technology Innovation Award presented at the Living Legends of Aviation event in 2019. Mr. Hu attended Tsinghua University where he studied computer science between 1992 and 1997.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Haoxiang Hou</w:t>
      </w:r>
      <w:r>
        <w:rPr>
          <w:rFonts w:ascii="Times New Roman" w:hAnsi="Times New Roman"/>
          <w:sz w:val="20"/>
        </w:rPr>
        <w:t xml:space="preserve"> has served as our director since August 2015. Mr. Hou has been the founder and the chief investment officer of Houxue Capital since July 2022. He has served as the managing partner and investment committee head of GP Venture Capital, senior partner and investment committee member of GP Hi-Tech Capital, and vice president of investments at GP Xincheng Capital from April 2015 to June 2022. Mr. Hou was named on the list of “Forbes China Top 100 Venture Capitalists” from 2023 to 2025. Mr. Hou received his dual bachelor’s degree in electrical engineering and international finance and his master’s degree in business administration from Shanghai Jiao Tong University in 2011 and 2015, respectively. Mr. Hou is also a CFA charterholder.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Conor Chia-hung Yang </w:t>
      </w:r>
      <w:r>
        <w:rPr>
          <w:rFonts w:ascii="Times New Roman" w:hAnsi="Times New Roman"/>
          <w:sz w:val="20"/>
        </w:rPr>
        <w:t xml:space="preserve">has served as our director since December 2019 and as our chief financial officer since September 2023. From 2007 to 2023, Mr. Yang served in several chief financial officer positions, including at Tuniu Corporation (Nasdaq: TOUR), E-Commerce China Dangdang Inc., and AirMedia Group Inc. Mr. Yang was the chief executive officer of Rock Mobile Corporation from 2004 to 2007, and the chief financial officer of the Asia Pacific region for CellStar Asia Corporation from 1999 to 2004. Prior to that, Mr. Yang was a senior banker at Goldman Sachs (Asia) L.L.C., Lehman Brothers Asia Limited and Morgan Stanley Asia Limited from 1992 to 1999. Mr. Yang currently also serves as an independent director of NovaBridge Biosciences (Nasdaq: NBP), iQIYI, Inc. (Nasdaq: IQ), Tongcheng Travel Holdings Limited (HKSE: 0780) and UP Fintech Holding Ltd (Nasdaq: TIGR). Mr. Yang received his master’s degree in business administration from the University of California, Los Angeles (UCLA).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Dongming Wu</w:t>
      </w:r>
      <w:r>
        <w:rPr>
          <w:rFonts w:ascii="Times New Roman" w:hAnsi="Times New Roman"/>
          <w:sz w:val="20"/>
        </w:rPr>
        <w:t xml:space="preserve"> has served as our director since June 2020. Mr. Wu has served as a Managing Director of DHL-Sinotrans since May 2003. He also currently serves as the Chief Executive Officer of DHL Express China and a Global Management Board Member of DHL Express. DHL-Sinotrans, a leading international express company in China, is a joint venture between the global delivery and logistics giant DHL and Sinotrans. Mr. Wu has over 30 years of experience in the global delivery and logistics industry. He started his career at Sinotrans in July 1986, where he held various senior management positions and most recently served as the chairman of its supervisory board through March 2017. Mr. Dongming Wu received his bachelor’s degree in economics from Beijing International Studies University and his EMBA degree from the BiMBA Business School of the National School of Development at Peking University.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Nick Ning Yang </w:t>
      </w:r>
      <w:r>
        <w:rPr>
          <w:rFonts w:ascii="Times New Roman" w:hAnsi="Times New Roman"/>
          <w:sz w:val="20"/>
        </w:rPr>
        <w:t xml:space="preserve">has served as our director since December 2022. Mr. Yang has served as a founding partner of LeBox Capital, a venture investment fund that focuses on early-stage high growth TMT companies in China, since October 2011. Prior to that, Mr. Yang was a co-founder of KongZhong Corporation, a company focusing on wireless value-added services and listed on Nasdaq in July 2004, and served as Chief Technology Officer from 2002 to 2008. Mr. Yang had also held the position of Vice President of Technology at Nasdaq-listed Sohu from 2000 to 2001. From 1999 to 2000, Mr. Yang served as Chief Technology Officer of ChinaRen.com, a company he co-founded. Mr. Yang received a bachelor’s degree in electrical engineering from the University of Michigan in 1997 and a master’s degree in electrical engineering from the Stanford University in 1999.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Wing Kee Lau</w:t>
      </w:r>
      <w:r>
        <w:rPr>
          <w:rFonts w:ascii="Times New Roman" w:hAnsi="Times New Roman"/>
          <w:sz w:val="20"/>
        </w:rPr>
        <w:t xml:space="preserve"> has served as our independent director since August 2023. Mr. Lau has served as the chief financial Officer of RoboSense Technology Co., Ltd. (HKSE: 2498) since August 2022. He served as an independent director of Genetron Holdings Limited (NASDAQ: GTH) from June 2020 to March 2024. Mr. Lau served as the chief financial Officer in Tarena International Inc. (NASDAQ: TEDU) from March 2020 to July 2022, the chief financial officer in Square Panda Inc. from July 2018 to August 2019, the chief financial officer in Perfect World Co., Ltd. (SHE: 002624) from March 2007 to June 2018, the chief financial officer and company secretary in Beijing Media Corporation Ltd. (HKSE: 1000) from November 2004 to February 2007, and a financial director in Ogilvy &amp; Mather Advertising Ltd. Beijing Branch from July 2000 to October 2004. Prior to that, Mr. Lau worked in PricewaterhouseCoopers from January 1994 to July 2000. Mr. Lau obtained a bachelor’s degree in business administration (finance) from the Hong Kong Baptist University in Hong Kong in November 1990, and an executive master of business administration degree from Cheung Kong Graduate School of Business in China in September 2011. Mr. Lau is an associate of both of The Association of Chartered Certified Accountants and The Hong Kong Institute of Certified Public Accountants.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Zhao Wang</w:t>
      </w:r>
      <w:r>
        <w:rPr>
          <w:rFonts w:ascii="Times New Roman" w:hAnsi="Times New Roman"/>
          <w:sz w:val="20"/>
        </w:rPr>
        <w:t xml:space="preserve"> has served as our chief operating officer since April 2024. Prior to joining us, Mr. Wang worked for Antaeus Group, a Chinese group enterprise with cross-industry services in resort, film and art, as the chief executive officer of Mangrove Tree Technology Group from June 2020 to March 2024. He played a pivotal role in driving digital transformation initiatives and planning business operations for several super-large-scale resorts in China, including the deployment of intelligent operational and management system platforms and introducing self-driving vehicles in air as well as on the ground and water to resorts. Prior to that, Mr. Wang was the chief executive officer at Beijing Ganlan Technology Development Co., Ltd., an IT consulting firm, from August 2017 to June 2020. Between October 2008 and August 2017, Mr. Wang served in several executive positions at Antaeus Investment Group and was in charge of platform development, operation and management for cultural tourism projects and digital film industries. From December 2006 to October 2008, Mr. Wang served as technology manager in Sohu.com and led the architecture design of the website information system for the 2008 Summer Olympic Games in Beijing. Mr. Wang also participated in the development of information system for the 2004 Summer Olympic Games in Athens. Mr. Wang holds a bachelor’s degree in computer science and technology from Tsinghua University. </w:t>
      </w:r>
    </w:p>
    <w:p>
      <w:pPr>
        <w:pStyle w:val="TextBody"/>
        <w:bidi w:val="0"/>
        <w:spacing w:before="240" w:after="0"/>
        <w:jc w:val="left"/>
        <w:rPr>
          <w:rFonts w:ascii="Times New Roman" w:hAnsi="Times New Roman"/>
          <w:sz w:val="20"/>
        </w:rPr>
      </w:pPr>
      <w:r>
        <w:rPr>
          <w:rFonts w:ascii="Times New Roman" w:hAnsi="Times New Roman"/>
          <w:i/>
          <w:sz w:val="20"/>
        </w:rPr>
        <w:t>Ms.</w:t>
      </w:r>
      <w:r>
        <w:rPr>
          <w:rFonts w:ascii="Times New Roman" w:hAnsi="Times New Roman"/>
          <w:sz w:val="20"/>
        </w:rPr>
        <w:t> </w:t>
      </w:r>
      <w:r>
        <w:rPr>
          <w:rFonts w:ascii="Times New Roman" w:hAnsi="Times New Roman"/>
          <w:i/>
          <w:sz w:val="20"/>
        </w:rPr>
        <w:t>Haiyan Li</w:t>
      </w:r>
      <w:r>
        <w:rPr>
          <w:rFonts w:ascii="Times New Roman" w:hAnsi="Times New Roman"/>
          <w:sz w:val="20"/>
        </w:rPr>
        <w:t xml:space="preserve"> has served as our director since November 2025. Ms. Li founded HL Strategy in January 2025, a company providing consultancy services to companies with a globalization ambition or seeking to improve communication with the financial markets, and has been serving as its CEO. Prior to that, Ms. Li worked in the finance sector for 24 years and has acquired extensive experience in asset management. From October 2011 to December 2024, she was the head of China investments and portfolio manager of emerging markets at Carmignac Gestion. From October 2004 to October 2011, she served as the head of Asia markets investments at ADI (acquired by OFI in 2010) and was responsible for all investments in Asia. Ms. Li graduated from Beijing Foreign Studies University in the PRC in September 1998 with a bachelor’s degree, majoring in French. She then obtained a master’s degree in finance from ESCP Business School (formerly known as ESCP-EAP, now European School of Management) in June 2001. She was Asian convertible bond analyst at Société Générale Investment Banking from May 2001 until August 2004.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Shuai Feng</w:t>
      </w:r>
      <w:r>
        <w:rPr>
          <w:rFonts w:ascii="Times New Roman" w:hAnsi="Times New Roman"/>
          <w:sz w:val="20"/>
        </w:rPr>
        <w:t xml:space="preserve"> has joined EHang in July 2014 and served as our chief technology officer since January 2026 and held the position of compliance officer. As a core member of the founding team, under the strategic guidance of Mr. Huazhi Hu, our founder, chairman, and chief executive officer, Mr. Feng has been deeply involved in the development of EHang’s technology system and product portfolio and the integration of technology R&amp;D, production and manufacturing, quality systems, and supply chain. Mr. Feng has led and played a pivotal role in the R&amp;D of multiple landmark pilotless human-carrying electric vertical take-off and landing (eVTOL) aircraft, including the EH184, EH216-S, and VT35, as well as the GD series aerial formation unmanned aerial vehicles (UAVs), pioneering commercialization in global advanced air mobility (AAM) and aerial media performance applications. Aligned with the Company’s full-industry-chain integration strategy, he has also overseen the establishment of the Company’s procurement and supply chain management systems. By strengthening upstream and downstream coordination, enhancing productization efficiency, and advancing deep industry-chain integration and regional ecosystem development, he has significantly enhanced the Company’s capabilities for key components R&amp;D and scaled manufacturing. Mr. Feng graduated from Tsinghua University in Automation major, specializing in UAV technology. He is a recipient of the Grand Prize at Tsinghua University’s 29th “Challenge Cup” competition and other honors. Currently, he serves as Deputy Director of the Tsinghua-EHang Joint Research Institute for Low-Altitude Aviation Technology, Deputy Secretary-General of the Aerospace, Aviation, and Smart Manufacturing Committee of the Tsinghua University Guangzhou Alumni Association, and Secretary-General of the Tsinghua University Future Robotics Interest Group. </w:t>
      </w:r>
    </w:p>
    <w:p>
      <w:pPr>
        <w:pStyle w:val="TextBody"/>
        <w:bidi w:val="0"/>
        <w:spacing w:before="360" w:after="0"/>
        <w:jc w:val="left"/>
        <w:rPr>
          <w:rFonts w:ascii="Times New Roman" w:hAnsi="Times New Roman"/>
          <w:b/>
          <w:sz w:val="20"/>
        </w:rPr>
      </w:pPr>
      <w:r>
        <w:rPr>
          <w:rFonts w:ascii="Times New Roman" w:hAnsi="Times New Roman"/>
          <w:b/>
          <w:sz w:val="20"/>
        </w:rPr>
        <w:t xml:space="preserve">B. Compensation </w:t>
      </w:r>
    </w:p>
    <w:p>
      <w:pPr>
        <w:pStyle w:val="TextBody"/>
        <w:bidi w:val="0"/>
        <w:spacing w:before="120" w:after="0"/>
        <w:jc w:val="left"/>
        <w:rPr>
          <w:rFonts w:ascii="Times New Roman" w:hAnsi="Times New Roman"/>
          <w:b/>
          <w:sz w:val="20"/>
        </w:rPr>
      </w:pPr>
      <w:r>
        <w:rPr>
          <w:rFonts w:ascii="Times New Roman" w:hAnsi="Times New Roman"/>
          <w:b/>
          <w:sz w:val="20"/>
        </w:rPr>
        <w:t xml:space="preserve">Compensation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2025, we paid an aggregate of approximately RMB6.7 million (US$1.0 million) in cash to our directors and executive officers. We are not required under Cayman Islands law to disclose, and we have not otherwise disclosed, the compensation of our directors and executive officers on an individual basis. We have not set aside or accrued any amount to provide pension, retirement or other similar benefits to our directors and executive officers. Our PRC subsidiaries and VIE are required by law to make contributions equal to certain percentages of each employee’s salary for his or her pension insurance, medical insurance, unemployment insurance and other statutory benefits and a housing provident fund. </w:t>
      </w:r>
    </w:p>
    <w:p>
      <w:pPr>
        <w:pStyle w:val="TextBody"/>
        <w:bidi w:val="0"/>
        <w:spacing w:before="360" w:after="0"/>
        <w:jc w:val="left"/>
        <w:rPr>
          <w:rFonts w:ascii="Times New Roman" w:hAnsi="Times New Roman"/>
          <w:b/>
          <w:sz w:val="20"/>
        </w:rPr>
      </w:pPr>
      <w:r>
        <w:rPr>
          <w:rFonts w:ascii="Times New Roman" w:hAnsi="Times New Roman"/>
          <w:b/>
          <w:sz w:val="20"/>
        </w:rPr>
        <w:t xml:space="preserve">Employment Agreements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employment agreements with each of our executive officers.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 The executive officer may resign at any time with a 30 days’ advance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 In addition, each executive officer has agreed to be bound by non-competition and non-solicitation restrictions during the term of his or her employment and typically for one year following the last date of employment. </w:t>
      </w:r>
    </w:p>
    <w:p>
      <w:pPr>
        <w:pStyle w:val="TextBody"/>
        <w:bidi w:val="0"/>
        <w:spacing w:before="240" w:after="0"/>
        <w:jc w:val="left"/>
        <w:rPr>
          <w:rFonts w:ascii="Times New Roman" w:hAnsi="Times New Roman"/>
          <w:sz w:val="20"/>
        </w:rPr>
      </w:pPr>
      <w:r>
        <w:rPr>
          <w:rFonts w:ascii="Times New Roman" w:hAnsi="Times New Roman"/>
          <w:sz w:val="20"/>
        </w:rPr>
        <w:t xml:space="preserve">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2015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approved the 2015 Share Incentive Plan, or the 2015 Plan, to attract and retain the best available personnel, provide additional incentives to employees, directors and consultants, and promote the success of our business. The maximum aggregate number of ordinary shares that may be issued under the 2015 Plan pursuant to all awards under the 2015 Plan is 8,867,053 ordinary shares and can be increased up to a number that is equal to 15% of the then total outstanding shares on a fully diluted basis at the discretion of our board of directors. As of March 31, 2026, 53,737 share options were outstanding under the 2015 Plan, excluding awards that were forfeited or cancelled after the relevant grant dates.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the 2015 Plan. </w:t>
      </w:r>
    </w:p>
    <w:p>
      <w:pPr>
        <w:pStyle w:val="TextBody"/>
        <w:bidi w:val="0"/>
        <w:spacing w:before="240" w:after="0"/>
        <w:jc w:val="left"/>
        <w:rPr>
          <w:rFonts w:ascii="Times New Roman" w:hAnsi="Times New Roman"/>
          <w:sz w:val="20"/>
        </w:rPr>
      </w:pPr>
      <w:r>
        <w:rPr>
          <w:rFonts w:ascii="Times New Roman" w:hAnsi="Times New Roman"/>
          <w:i/>
          <w:sz w:val="20"/>
        </w:rPr>
        <w:t xml:space="preserve">Types of Awards. </w:t>
      </w:r>
      <w:r>
        <w:rPr>
          <w:rFonts w:ascii="Times New Roman" w:hAnsi="Times New Roman"/>
          <w:sz w:val="20"/>
        </w:rPr>
        <w:t xml:space="preserve">The 2015 Plan permits the awards of options, restricted shares and restricted share units.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committee of one or more members of the board of directors will administer the 2015 Plan. The committee or the full board of directors, as applicable, will determine the participants to receive awards, the type and number of awards to be granted to each participant, and the terms and conditions of each award grant. </w:t>
      </w:r>
    </w:p>
    <w:p>
      <w:pPr>
        <w:pStyle w:val="TextBody"/>
        <w:bidi w:val="0"/>
        <w:spacing w:before="240" w:after="0"/>
        <w:jc w:val="left"/>
        <w:rPr>
          <w:rFonts w:ascii="Times New Roman" w:hAnsi="Times New Roman"/>
          <w:sz w:val="20"/>
        </w:rPr>
      </w:pPr>
      <w:r>
        <w:rPr>
          <w:rFonts w:ascii="Times New Roman" w:hAnsi="Times New Roman"/>
          <w:i/>
          <w:sz w:val="20"/>
        </w:rPr>
        <w:t xml:space="preserve">Award Agreement. </w:t>
      </w:r>
      <w:r>
        <w:rPr>
          <w:rFonts w:ascii="Times New Roman" w:hAnsi="Times New Roman"/>
          <w:sz w:val="20"/>
        </w:rPr>
        <w:t xml:space="preserve">Awards granted under the 2015 Plan are evidenced by an award agreement that sets forth the terms, conditions and limitations for each award which may include the term of an award, the provisions applicable in the event the grantee’s employment or service terminates, and our authority to unilaterally or bilaterally amend, modify, suspend, cancel or rescind an award. </w:t>
      </w:r>
    </w:p>
    <w:p>
      <w:pPr>
        <w:pStyle w:val="TextBody"/>
        <w:bidi w:val="0"/>
        <w:spacing w:before="240" w:after="0"/>
        <w:jc w:val="left"/>
        <w:rPr>
          <w:rFonts w:ascii="Times New Roman" w:hAnsi="Times New Roman"/>
          <w:sz w:val="20"/>
        </w:rPr>
      </w:pPr>
      <w:r>
        <w:rPr>
          <w:rFonts w:ascii="Times New Roman" w:hAnsi="Times New Roman"/>
          <w:i/>
          <w:sz w:val="20"/>
        </w:rPr>
        <w:t xml:space="preserve">Eligibility. </w:t>
      </w:r>
      <w:r>
        <w:rPr>
          <w:rFonts w:ascii="Times New Roman" w:hAnsi="Times New Roman"/>
          <w:sz w:val="20"/>
        </w:rPr>
        <w:t xml:space="preserve">We may grant awards to our employees, consultants and directors, as determined by our board of directors or a committee of one or more members of the board of directors. </w:t>
      </w:r>
    </w:p>
    <w:p>
      <w:pPr>
        <w:pStyle w:val="TextBody"/>
        <w:bidi w:val="0"/>
        <w:spacing w:before="240" w:after="0"/>
        <w:jc w:val="left"/>
        <w:rPr>
          <w:rFonts w:ascii="Times New Roman" w:hAnsi="Times New Roman"/>
          <w:sz w:val="20"/>
        </w:rPr>
      </w:pPr>
      <w:r>
        <w:rPr>
          <w:rFonts w:ascii="Times New Roman" w:hAnsi="Times New Roman"/>
          <w:i/>
          <w:sz w:val="20"/>
        </w:rPr>
        <w:t xml:space="preserve">Vesting Schedule. </w:t>
      </w:r>
      <w:r>
        <w:rPr>
          <w:rFonts w:ascii="Times New Roman" w:hAnsi="Times New Roman"/>
          <w:sz w:val="20"/>
        </w:rPr>
        <w:t xml:space="preserve">In general, the plan administrator determines the vesting schedule, which is specified in the relevant award agreement. </w:t>
      </w:r>
    </w:p>
    <w:p>
      <w:pPr>
        <w:pStyle w:val="TextBody"/>
        <w:bidi w:val="0"/>
        <w:spacing w:before="240" w:after="0"/>
        <w:jc w:val="left"/>
        <w:rPr>
          <w:rFonts w:ascii="Times New Roman" w:hAnsi="Times New Roman"/>
          <w:sz w:val="20"/>
        </w:rPr>
      </w:pPr>
      <w:r>
        <w:rPr>
          <w:rFonts w:ascii="Times New Roman" w:hAnsi="Times New Roman"/>
          <w:i/>
          <w:sz w:val="20"/>
        </w:rPr>
        <w:t xml:space="preserve">Transfer Restrictions. </w:t>
      </w:r>
      <w:r>
        <w:rPr>
          <w:rFonts w:ascii="Times New Roman" w:hAnsi="Times New Roman"/>
          <w:sz w:val="20"/>
        </w:rPr>
        <w:t xml:space="preserve">Awards may not be transferred in any manner by the participant other than in accordance with the exceptions provided in the 2015 Plan or the relevant award agreement or otherwise determined by the plan administrator, such as transfers by will or the laws of descent and distribution. </w:t>
      </w:r>
    </w:p>
    <w:p>
      <w:pPr>
        <w:pStyle w:val="TextBody"/>
        <w:bidi w:val="0"/>
        <w:spacing w:before="240" w:after="0"/>
        <w:jc w:val="left"/>
        <w:rPr>
          <w:rFonts w:ascii="Times New Roman" w:hAnsi="Times New Roman"/>
          <w:sz w:val="20"/>
        </w:rPr>
      </w:pPr>
      <w:r>
        <w:rPr>
          <w:rFonts w:ascii="Times New Roman" w:hAnsi="Times New Roman"/>
          <w:i/>
          <w:sz w:val="20"/>
        </w:rPr>
        <w:t xml:space="preserve">Termination and Amendment of the 2015 Plan. </w:t>
      </w:r>
      <w:r>
        <w:rPr>
          <w:rFonts w:ascii="Times New Roman" w:hAnsi="Times New Roman"/>
          <w:sz w:val="20"/>
        </w:rPr>
        <w:t xml:space="preserve">Unless terminated earlier, the 2015 Plan has a term of ten years. With the approval of our board of directors, the plan administrator has the authority to terminate, amend or modify the 2015 Plan. However, without the prior written consent of the participant, no such action may adversely affect in any material way any award previously granted pursuant to the 2015 Plan. </w:t>
      </w:r>
    </w:p>
    <w:p>
      <w:pPr>
        <w:pStyle w:val="TextBody"/>
        <w:bidi w:val="0"/>
        <w:spacing w:before="360" w:after="0"/>
        <w:jc w:val="left"/>
        <w:rPr>
          <w:rFonts w:ascii="Times New Roman" w:hAnsi="Times New Roman"/>
          <w:b/>
          <w:sz w:val="20"/>
        </w:rPr>
      </w:pPr>
      <w:r>
        <w:rPr>
          <w:rFonts w:ascii="Times New Roman" w:hAnsi="Times New Roman"/>
          <w:b/>
          <w:sz w:val="20"/>
        </w:rPr>
        <w:t xml:space="preserve">2019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approved the 2019 Share Incentive Plan, or the 2019 Plan, to attract and retain the best available personnel, provide additional incentives to employees, directors and consultants, and promote the success of our business. The 2019 Plan became effective upon the completion of the Company’s initial public offering in 2019. The maximum aggregate number of ordinary shares that may be issued under the 2019 Plan is initially 5,455,346, which may be increased by up to 15% of the then total outstanding shares on a fully diluted basis at the discretion of our board of directors. As of the date of this annual report, the maximum aggregate number of ordinary shares that may be issued under the 2019 Plan is 14,141,558. As of March 31, 2026, 2,758,000 restricted share units and 124,000 options were outstanding under the 2019 Plan, excluding awards that were forfeited or cancelled after the relevant grant dates.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the 2019 Plan. </w:t>
      </w:r>
    </w:p>
    <w:p>
      <w:pPr>
        <w:pStyle w:val="TextBody"/>
        <w:bidi w:val="0"/>
        <w:spacing w:before="240" w:after="0"/>
        <w:jc w:val="left"/>
        <w:rPr>
          <w:rFonts w:ascii="Times New Roman" w:hAnsi="Times New Roman"/>
          <w:sz w:val="20"/>
        </w:rPr>
      </w:pPr>
      <w:r>
        <w:rPr>
          <w:rFonts w:ascii="Times New Roman" w:hAnsi="Times New Roman"/>
          <w:i/>
          <w:sz w:val="20"/>
        </w:rPr>
        <w:t xml:space="preserve">Types of Awards. </w:t>
      </w:r>
      <w:r>
        <w:rPr>
          <w:rFonts w:ascii="Times New Roman" w:hAnsi="Times New Roman"/>
          <w:sz w:val="20"/>
        </w:rPr>
        <w:t xml:space="preserve">The 2019 Plan permits the awards of options, restricted shares and restricted share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committee of one or more members of the board of directors will administer the 2019 Plan. The committee or the full board of directors, as applicable, will determine the participants to receive awards, the type and number of awards to be granted to each participant, and the terms and conditions of each award grant. </w:t>
      </w:r>
    </w:p>
    <w:p>
      <w:pPr>
        <w:pStyle w:val="TextBody"/>
        <w:bidi w:val="0"/>
        <w:spacing w:before="240" w:after="0"/>
        <w:jc w:val="left"/>
        <w:rPr>
          <w:rFonts w:ascii="Times New Roman" w:hAnsi="Times New Roman"/>
          <w:sz w:val="20"/>
        </w:rPr>
      </w:pPr>
      <w:r>
        <w:rPr>
          <w:rFonts w:ascii="Times New Roman" w:hAnsi="Times New Roman"/>
          <w:i/>
          <w:sz w:val="20"/>
        </w:rPr>
        <w:t xml:space="preserve">Award Agreement. </w:t>
      </w:r>
      <w:r>
        <w:rPr>
          <w:rFonts w:ascii="Times New Roman" w:hAnsi="Times New Roman"/>
          <w:sz w:val="20"/>
        </w:rPr>
        <w:t xml:space="preserve">Awards granted under the 2019 Plan are evidenced by an award agreement that sets forth the terms, conditions and limitations for each award which may include the term of an award, the provisions applicable in the event the grantee’s employment or service terminates, and our authority to unilaterally or bilaterally amend, modify, suspend, cancel or rescind an award. </w:t>
      </w:r>
    </w:p>
    <w:p>
      <w:pPr>
        <w:pStyle w:val="TextBody"/>
        <w:bidi w:val="0"/>
        <w:spacing w:before="240" w:after="0"/>
        <w:jc w:val="left"/>
        <w:rPr>
          <w:rFonts w:ascii="Times New Roman" w:hAnsi="Times New Roman"/>
          <w:sz w:val="20"/>
        </w:rPr>
      </w:pPr>
      <w:r>
        <w:rPr>
          <w:rFonts w:ascii="Times New Roman" w:hAnsi="Times New Roman"/>
          <w:i/>
          <w:sz w:val="20"/>
        </w:rPr>
        <w:t xml:space="preserve">Eligibility. </w:t>
      </w:r>
      <w:r>
        <w:rPr>
          <w:rFonts w:ascii="Times New Roman" w:hAnsi="Times New Roman"/>
          <w:sz w:val="20"/>
        </w:rPr>
        <w:t xml:space="preserve">We may grant awards to our employees, consultants and directors, as determined by our board of directors or a committee of one or more members of the board of directors. </w:t>
      </w:r>
    </w:p>
    <w:p>
      <w:pPr>
        <w:pStyle w:val="TextBody"/>
        <w:bidi w:val="0"/>
        <w:spacing w:before="240" w:after="0"/>
        <w:jc w:val="left"/>
        <w:rPr>
          <w:rFonts w:ascii="Times New Roman" w:hAnsi="Times New Roman"/>
          <w:sz w:val="20"/>
        </w:rPr>
      </w:pPr>
      <w:r>
        <w:rPr>
          <w:rFonts w:ascii="Times New Roman" w:hAnsi="Times New Roman"/>
          <w:i/>
          <w:sz w:val="20"/>
        </w:rPr>
        <w:t xml:space="preserve">Vesting Schedule. </w:t>
      </w:r>
      <w:r>
        <w:rPr>
          <w:rFonts w:ascii="Times New Roman" w:hAnsi="Times New Roman"/>
          <w:sz w:val="20"/>
        </w:rPr>
        <w:t xml:space="preserve">In general, the plan administrator determines the vesting schedule, which is specified in the relevant award agreement. </w:t>
      </w:r>
    </w:p>
    <w:p>
      <w:pPr>
        <w:pStyle w:val="TextBody"/>
        <w:bidi w:val="0"/>
        <w:spacing w:before="240" w:after="0"/>
        <w:jc w:val="left"/>
        <w:rPr>
          <w:rFonts w:ascii="Times New Roman" w:hAnsi="Times New Roman"/>
          <w:sz w:val="20"/>
        </w:rPr>
      </w:pPr>
      <w:r>
        <w:rPr>
          <w:rFonts w:ascii="Times New Roman" w:hAnsi="Times New Roman"/>
          <w:i/>
          <w:sz w:val="20"/>
        </w:rPr>
        <w:t xml:space="preserve">Transfer Restrictions. </w:t>
      </w:r>
      <w:r>
        <w:rPr>
          <w:rFonts w:ascii="Times New Roman" w:hAnsi="Times New Roman"/>
          <w:sz w:val="20"/>
        </w:rPr>
        <w:t xml:space="preserve">Awards may not be transferred in any manner by the participant other than in accordance with the exceptions provided in the 2019 Plan or the relevant award agreement or otherwise determined by the plan administrator, such as transfers by will or the laws of descent and distribution. </w:t>
      </w:r>
    </w:p>
    <w:p>
      <w:pPr>
        <w:pStyle w:val="TextBody"/>
        <w:bidi w:val="0"/>
        <w:spacing w:before="240" w:after="0"/>
        <w:jc w:val="left"/>
        <w:rPr>
          <w:rFonts w:ascii="Times New Roman" w:hAnsi="Times New Roman"/>
          <w:sz w:val="20"/>
        </w:rPr>
      </w:pPr>
      <w:r>
        <w:rPr>
          <w:rFonts w:ascii="Times New Roman" w:hAnsi="Times New Roman"/>
          <w:i/>
          <w:sz w:val="20"/>
        </w:rPr>
        <w:t xml:space="preserve">Termination and Amendment of the 2019 Plan. </w:t>
      </w:r>
      <w:r>
        <w:rPr>
          <w:rFonts w:ascii="Times New Roman" w:hAnsi="Times New Roman"/>
          <w:sz w:val="20"/>
        </w:rPr>
        <w:t xml:space="preserve">Unless terminated earlier, the 2019 Plan has a term of ten years. With the approval of our board of directors, the plan administrator has the authority to terminate, amend or modify the 2019 Plan. However, without the prior written consent of the participant, no such action may adversely affect in any material way any award previously granted pursuant to the 2019 Plan. </w:t>
      </w:r>
    </w:p>
    <w:p>
      <w:pPr>
        <w:pStyle w:val="TextBody"/>
        <w:bidi w:val="0"/>
        <w:spacing w:before="360" w:after="0"/>
        <w:jc w:val="left"/>
        <w:rPr>
          <w:rFonts w:ascii="Times New Roman" w:hAnsi="Times New Roman"/>
          <w:b/>
          <w:sz w:val="20"/>
        </w:rPr>
      </w:pPr>
      <w:r>
        <w:rPr>
          <w:rFonts w:ascii="Times New Roman" w:hAnsi="Times New Roman"/>
          <w:b/>
          <w:sz w:val="20"/>
        </w:rPr>
        <w:t xml:space="preserve">2023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approved the 2023 Share Incentive Plan, or the 2023 Plan, to attract and retain the best available personnel, provide additional incentives to employees, directors and consultants, and promote the success of our business. The 2023 Plan became effective on December 22, 2023. The maximum aggregate number of ordinary shares that may be issued under the 2023 Plan is initially 3,782,555 (the “Maximum Number”). On the first day of each of the subsequent fiscal years during the term of the 2023 Plan starting from January 1, 2024, the Maximum Number shall automatically increase by an amount determined by the Board that is equal to no more than 3% of the total number of shares outstanding on the last day of the immediately preceding fiscal year. If the Board does not determine such amount of increase by the first day of each of the subsequent fiscal years, the Maximum Number shall automatically increase by 3% of the total number of shares outstanding on the last day of the immediately preceding fiscal year. As of the date of this annual report, the maximum aggregate number of ordinary shares that may be issued under the 2023 Plan is 16,413,255. As of March 31, 2026, 3,283,825 restricted share units and 6,507,580 options were outstanding under the 2023 Plan, excluding awards that were forfeited or cancelled after the relevant grant dates.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the 2023 Plan. </w:t>
      </w:r>
    </w:p>
    <w:p>
      <w:pPr>
        <w:pStyle w:val="TextBody"/>
        <w:bidi w:val="0"/>
        <w:spacing w:before="240" w:after="0"/>
        <w:jc w:val="left"/>
        <w:rPr>
          <w:rFonts w:ascii="Times New Roman" w:hAnsi="Times New Roman"/>
          <w:sz w:val="20"/>
        </w:rPr>
      </w:pPr>
      <w:r>
        <w:rPr>
          <w:rFonts w:ascii="Times New Roman" w:hAnsi="Times New Roman"/>
          <w:i/>
          <w:sz w:val="20"/>
        </w:rPr>
        <w:t xml:space="preserve">Types of Awards. </w:t>
      </w:r>
      <w:r>
        <w:rPr>
          <w:rFonts w:ascii="Times New Roman" w:hAnsi="Times New Roman"/>
          <w:sz w:val="20"/>
        </w:rPr>
        <w:t xml:space="preserve">The 2023 Plan permits the awards of options, restricted shares and restricted share units.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Our board of directors or a committee of one or more members of the board of directors will administer the 2023 Plan. The committee or the full board of directors, as applicable, will determine the participants to receive awards, the type and number of awards to be granted to each participant, and the terms and conditions of each award grant. </w:t>
      </w:r>
    </w:p>
    <w:p>
      <w:pPr>
        <w:pStyle w:val="TextBody"/>
        <w:bidi w:val="0"/>
        <w:spacing w:before="240" w:after="0"/>
        <w:jc w:val="left"/>
        <w:rPr>
          <w:rFonts w:ascii="Times New Roman" w:hAnsi="Times New Roman"/>
          <w:sz w:val="20"/>
        </w:rPr>
      </w:pPr>
      <w:r>
        <w:rPr>
          <w:rFonts w:ascii="Times New Roman" w:hAnsi="Times New Roman"/>
          <w:i/>
          <w:sz w:val="20"/>
        </w:rPr>
        <w:t xml:space="preserve">Award Agreement. </w:t>
      </w:r>
      <w:r>
        <w:rPr>
          <w:rFonts w:ascii="Times New Roman" w:hAnsi="Times New Roman"/>
          <w:sz w:val="20"/>
        </w:rPr>
        <w:t xml:space="preserve">Awards granted under the 2023 Plan are evidenced by an award agreement that sets forth the terms, conditions and limitations for each award which may include the term of an award, the provisions applicable in the event the grantee’s employment or service terminates, and our authority to unilaterally or bilaterally amend, modify, suspend, cancel or rescind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 xml:space="preserve">Eligibility. </w:t>
      </w:r>
      <w:r>
        <w:rPr>
          <w:rFonts w:ascii="Times New Roman" w:hAnsi="Times New Roman"/>
          <w:sz w:val="20"/>
        </w:rPr>
        <w:t xml:space="preserve">We may grant awards to our employees, consultants and directors, as determined by our board of directors or a committee of one or more members of the board of directors. </w:t>
      </w:r>
    </w:p>
    <w:p>
      <w:pPr>
        <w:pStyle w:val="TextBody"/>
        <w:bidi w:val="0"/>
        <w:spacing w:before="240" w:after="0"/>
        <w:jc w:val="left"/>
        <w:rPr>
          <w:rFonts w:ascii="Times New Roman" w:hAnsi="Times New Roman"/>
          <w:sz w:val="20"/>
        </w:rPr>
      </w:pPr>
      <w:r>
        <w:rPr>
          <w:rFonts w:ascii="Times New Roman" w:hAnsi="Times New Roman"/>
          <w:i/>
          <w:sz w:val="20"/>
        </w:rPr>
        <w:t xml:space="preserve">Vesting Schedule. </w:t>
      </w:r>
      <w:r>
        <w:rPr>
          <w:rFonts w:ascii="Times New Roman" w:hAnsi="Times New Roman"/>
          <w:sz w:val="20"/>
        </w:rPr>
        <w:t xml:space="preserve">In general, the plan administrator determines the vesting schedule, which is specified in the relevant award agreement. </w:t>
      </w:r>
    </w:p>
    <w:p>
      <w:pPr>
        <w:pStyle w:val="TextBody"/>
        <w:bidi w:val="0"/>
        <w:spacing w:before="240" w:after="0"/>
        <w:jc w:val="left"/>
        <w:rPr>
          <w:rFonts w:ascii="Times New Roman" w:hAnsi="Times New Roman"/>
          <w:sz w:val="20"/>
        </w:rPr>
      </w:pPr>
      <w:r>
        <w:rPr>
          <w:rFonts w:ascii="Times New Roman" w:hAnsi="Times New Roman"/>
          <w:i/>
          <w:sz w:val="20"/>
        </w:rPr>
        <w:t xml:space="preserve">Transfer Restrictions. </w:t>
      </w:r>
      <w:r>
        <w:rPr>
          <w:rFonts w:ascii="Times New Roman" w:hAnsi="Times New Roman"/>
          <w:sz w:val="20"/>
        </w:rPr>
        <w:t xml:space="preserve">Awards may not be transferred in any manner by the participant other than in accordance with the exceptions provided in the 2023 Plan or the relevant award agreement or otherwise determined by the plan administrator, such as transfers by will or the laws of descent and distribution. </w:t>
      </w:r>
    </w:p>
    <w:p>
      <w:pPr>
        <w:pStyle w:val="TextBody"/>
        <w:bidi w:val="0"/>
        <w:spacing w:before="240" w:after="0"/>
        <w:jc w:val="left"/>
        <w:rPr>
          <w:rFonts w:ascii="Times New Roman" w:hAnsi="Times New Roman"/>
          <w:sz w:val="20"/>
        </w:rPr>
      </w:pPr>
      <w:r>
        <w:rPr>
          <w:rFonts w:ascii="Times New Roman" w:hAnsi="Times New Roman"/>
          <w:i/>
          <w:sz w:val="20"/>
        </w:rPr>
        <w:t xml:space="preserve">Termination and Amendment of the 2023 Plan. </w:t>
      </w:r>
      <w:r>
        <w:rPr>
          <w:rFonts w:ascii="Times New Roman" w:hAnsi="Times New Roman"/>
          <w:sz w:val="20"/>
        </w:rPr>
        <w:t xml:space="preserve">Unless terminated earlier, the 2023 Plan has a term of ten years. With the approval of our board of directors, the plan administrator has the authority to terminate, amend or modify the 2023 Plan. However, without the prior written consent of the participant, no such action may adversely affect in any material way any award previously granted pursuant to the 2023 Plan.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as of March 31, 2026, the number of Class A ordinary shares under outstanding options, restricted share units and other equity awards that we granted to our directors and executive officers, excluding awards that were settled, forfeited or cancelled after the relevant grant dates.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7"/>
        <w:gridCol w:w="120"/>
        <w:gridCol w:w="1325"/>
        <w:gridCol w:w="120"/>
        <w:gridCol w:w="2999"/>
        <w:gridCol w:w="120"/>
        <w:gridCol w:w="3344"/>
      </w:tblGrid>
      <w:tr>
        <w:trPr/>
        <w:tc>
          <w:tcPr>
            <w:tcW w:w="21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217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3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Class A Ordinary</w:t>
              <w:br/>
              <w:t>Shares underlying</w:t>
            </w:r>
          </w:p>
          <w:p>
            <w:pPr>
              <w:pStyle w:val="TableContents"/>
              <w:bidi w:val="0"/>
              <w:spacing w:before="0" w:after="20"/>
              <w:jc w:val="center"/>
              <w:rPr>
                <w:rFonts w:ascii="Times New Roman" w:hAnsi="Times New Roman"/>
                <w:b/>
                <w:sz w:val="16"/>
              </w:rPr>
            </w:pPr>
            <w:r>
              <w:rPr>
                <w:rFonts w:ascii="Times New Roman" w:hAnsi="Times New Roman"/>
                <w:b/>
                <w:sz w:val="16"/>
              </w:rPr>
              <w:t>Equity Awards</w:t>
            </w:r>
          </w:p>
        </w:tc>
        <w:tc>
          <w:tcPr>
            <w:tcW w:w="120" w:type="dxa"/>
            <w:tcBorders/>
            <w:vAlign w:val="center"/>
          </w:tcPr>
          <w:p>
            <w:pPr>
              <w:pStyle w:val="TableContents"/>
              <w:bidi w:val="0"/>
              <w:spacing w:before="0" w:after="283"/>
              <w:jc w:val="left"/>
              <w:rPr/>
            </w:pPr>
            <w:r>
              <w:rPr/>
              <w:t>  </w:t>
            </w:r>
          </w:p>
        </w:tc>
        <w:tc>
          <w:tcPr>
            <w:tcW w:w="299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 of Grant</w:t>
            </w:r>
          </w:p>
        </w:tc>
        <w:tc>
          <w:tcPr>
            <w:tcW w:w="120" w:type="dxa"/>
            <w:tcBorders/>
            <w:vAlign w:val="center"/>
          </w:tcPr>
          <w:p>
            <w:pPr>
              <w:pStyle w:val="TableContents"/>
              <w:bidi w:val="0"/>
              <w:spacing w:before="0" w:after="283"/>
              <w:jc w:val="left"/>
              <w:rPr/>
            </w:pPr>
            <w:r>
              <w:rPr/>
              <w:t>  </w:t>
            </w:r>
          </w:p>
        </w:tc>
        <w:tc>
          <w:tcPr>
            <w:tcW w:w="334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 of Expiration</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Huazhi Hu</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From January 1, 2024 to February 1, 2026</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From December 31, 2034 to January 31, 2036</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Conor Chia-hung Yang</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From August 1, 2023 to February 1, 2026</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From July 31, 2033 to January 31, 2036</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Dongming Wu</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October 1, 2024</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September 30, 2034</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Nick Ning Yang</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March 27, 2023</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March 26, 2033</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Wing Kee Lau</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August 16, 2023</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August 15, 2033</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Zhao Wang</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From October 1, 2024 to February 1, 2026</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From September 30, 2034 to January 31, 2036</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Haiyan Li</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January 1, 2025</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December 31, 2035</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Shuai Feng</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From January 1, 2024 to January 14, 2026</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From December 31, 2034 to January 13, 2036</w:t>
            </w:r>
          </w:p>
        </w:tc>
      </w:tr>
      <w:tr>
        <w:trPr/>
        <w:tc>
          <w:tcPr>
            <w:tcW w:w="21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officers as a group</w:t>
            </w:r>
          </w:p>
        </w:tc>
        <w:tc>
          <w:tcPr>
            <w:tcW w:w="12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5,938,562</w:t>
            </w:r>
          </w:p>
        </w:tc>
        <w:tc>
          <w:tcPr>
            <w:tcW w:w="120" w:type="dxa"/>
            <w:tcBorders/>
            <w:vAlign w:val="center"/>
          </w:tcPr>
          <w:p>
            <w:pPr>
              <w:pStyle w:val="TableContents"/>
              <w:bidi w:val="0"/>
              <w:spacing w:before="0" w:after="283"/>
              <w:jc w:val="left"/>
              <w:rPr/>
            </w:pPr>
            <w:r>
              <w:rPr/>
              <w:t>  </w:t>
            </w:r>
          </w:p>
        </w:tc>
        <w:tc>
          <w:tcPr>
            <w:tcW w:w="2999" w:type="dxa"/>
            <w:tcBorders/>
            <w:vAlign w:val="center"/>
          </w:tcPr>
          <w:p>
            <w:pPr>
              <w:pStyle w:val="TableContents"/>
              <w:bidi w:val="0"/>
              <w:spacing w:before="0" w:after="283"/>
              <w:jc w:val="left"/>
              <w:rPr/>
            </w:pPr>
            <w:r>
              <w:rPr/>
              <w:t>From March 27, 2023 to February 1, 2026</w:t>
            </w:r>
          </w:p>
        </w:tc>
        <w:tc>
          <w:tcPr>
            <w:tcW w:w="120" w:type="dxa"/>
            <w:tcBorders/>
            <w:vAlign w:val="center"/>
          </w:tcPr>
          <w:p>
            <w:pPr>
              <w:pStyle w:val="TableContents"/>
              <w:bidi w:val="0"/>
              <w:spacing w:before="0" w:after="283"/>
              <w:jc w:val="left"/>
              <w:rPr/>
            </w:pPr>
            <w:r>
              <w:rPr/>
              <w:t>  </w:t>
            </w:r>
          </w:p>
        </w:tc>
        <w:tc>
          <w:tcPr>
            <w:tcW w:w="3344" w:type="dxa"/>
            <w:tcBorders/>
            <w:vAlign w:val="center"/>
          </w:tcPr>
          <w:p>
            <w:pPr>
              <w:pStyle w:val="TableContents"/>
              <w:bidi w:val="0"/>
              <w:spacing w:before="0" w:after="283"/>
              <w:jc w:val="left"/>
              <w:rPr/>
            </w:pPr>
            <w:r>
              <w:rPr/>
              <w:t>From March 26, 2033 to January 31, 2036</w:t>
            </w:r>
          </w:p>
        </w:tc>
      </w:tr>
    </w:tbl>
    <w:p>
      <w:pPr>
        <w:pStyle w:val="TextBody"/>
        <w:bidi w:val="0"/>
        <w:spacing w:lineRule="atLeast" w:line="160" w:before="0" w:after="40"/>
        <w:jc w:val="left"/>
        <w:rPr>
          <w:bdr w:val="single" w:sz="2" w:space="1" w:color="000000"/>
        </w:rPr>
      </w:pPr>
      <w:r>
        <w:rPr>
          <w:bdr w:val="single" w:sz="2" w:space="1" w:color="000000"/>
        </w:rPr>
        <w:t> </w:t>
      </w:r>
    </w:p>
    <w:tbl>
      <w:tblPr>
        <w:tblW w:w="8335" w:type="dxa"/>
        <w:jc w:val="left"/>
        <w:tblInd w:w="0" w:type="dxa"/>
        <w:tblLayout w:type="fixed"/>
        <w:tblCellMar>
          <w:top w:w="0" w:type="dxa"/>
          <w:left w:w="0" w:type="dxa"/>
          <w:bottom w:w="0" w:type="dxa"/>
          <w:right w:w="0" w:type="dxa"/>
        </w:tblCellMar>
      </w:tblPr>
      <w:tblGrid>
        <w:gridCol w:w="155"/>
        <w:gridCol w:w="8180"/>
      </w:tblGrid>
      <w:tr>
        <w:trPr/>
        <w:tc>
          <w:tcPr>
            <w:tcW w:w="155"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Vested equity awards less than 1% of our total outstanding ordinary shares on an as-converted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2026, other grantees as a group held 547,000 restricted share units and 6,241,580 options. </w:t>
      </w: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pStyle w:val="TextBody"/>
        <w:bidi w:val="0"/>
        <w:spacing w:before="120" w:after="0"/>
        <w:jc w:val="left"/>
        <w:rPr>
          <w:rFonts w:ascii="Times New Roman" w:hAnsi="Times New Roman"/>
          <w:sz w:val="20"/>
        </w:rPr>
      </w:pPr>
      <w:r>
        <w:rPr>
          <w:rFonts w:ascii="Times New Roman" w:hAnsi="Times New Roman"/>
          <w:sz w:val="20"/>
        </w:rPr>
        <w:t xml:space="preserve">In 2023, our board of directors adopted an Incentive Compensation Recoupment Policy, or the Clawback Policy, providing for the recovery of certain incentive-based compensation from current and former executive officers of our company in the event our company is required to restate any of its financial statements filed with the SEC under the Exchange Act in order to correct an error that is material to the previously-issued financial statements, or that would result in a material misstatement if the error were corrected in the current period or left uncorrected in the current period. Adoption of the Clawback Policy was mandated by Nasdaq listing standards introduced pursuant to Exchange Act Rule 10D-1. A copy of our Clawback Policy is attached as Exhibit 97.1 to this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 Board Practices </w:t>
      </w:r>
    </w:p>
    <w:p>
      <w:pPr>
        <w:pStyle w:val="TextBody"/>
        <w:bidi w:val="0"/>
        <w:spacing w:before="12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seven directors. A director is not required to hold any shares in our company by way of qualification. A director may vote with respect to any contract or transaction, or proposed contract or transaction in which he or she is, whether directly or indirectly, interested, provided that (a) such director has declared the nature of his or her interest at the earliest meeting of the board at which it is practicable for him or her to do so, either specifically or by way of a general notice, and (b) if such contract or transaction, or proposed contract or transaction is a transaction with a related party, such transaction has been approved by the audit committee in accordance with the Nasdaq rules. The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non-executive directors has a service contract with us that provides for benefits upon termination of service.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 company of which more than 50% of the voting power is held by a single entity is considered a “controlled company” under the Nasdaq Stock Market Rules. A controlled company is not required to comply with the Nasdaq corporate governance rules requiring a board of directors to have a majority of independent directors, to have an independent compensation committee, and to have an independent nominating and corporate governance committee. We are a “controlled company” as defined under the Nasdaq Stock Market Rules, but we have no current intention to rely on the controlled company exemption.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three committees under the board of directors: an audit committee, a compensation committee and a nominating and corporate governance committee. We have adopted a charter for each of the three committees. Each committee’s members and functions are described below. </w:t>
      </w:r>
    </w:p>
    <w:p>
      <w:pPr>
        <w:pStyle w:val="TextBody"/>
        <w:bidi w:val="0"/>
        <w:spacing w:before="240" w:after="0"/>
        <w:jc w:val="left"/>
        <w:rPr>
          <w:rFonts w:ascii="Times New Roman" w:hAnsi="Times New Roman"/>
          <w:sz w:val="20"/>
        </w:rPr>
      </w:pPr>
      <w:r>
        <w:rPr>
          <w:rFonts w:ascii="Times New Roman" w:hAnsi="Times New Roman"/>
          <w:b/>
          <w:i/>
          <w:sz w:val="20"/>
        </w:rPr>
        <w:t>Audit Committee</w:t>
      </w:r>
      <w:r>
        <w:rPr>
          <w:rFonts w:ascii="Times New Roman" w:hAnsi="Times New Roman"/>
          <w:b/>
          <w:sz w:val="20"/>
        </w:rPr>
        <w:t xml:space="preserve">. </w:t>
      </w:r>
      <w:r>
        <w:rPr>
          <w:rFonts w:ascii="Times New Roman" w:hAnsi="Times New Roman"/>
          <w:sz w:val="20"/>
        </w:rPr>
        <w:t xml:space="preserve">Our audit committee consists of Wing Kee Lau, Dongming Wu and Haoxiang Hou. Wing Kee Lau is the chairman of our audit committee. We have determined that each of Wing Kee Lau, Dongming Wu and Haoxiang Hou satisfies the “independence” requirements of Rule 5605(c)(2) of the Listing Rules of the Nasdaq Stock Market and Rule 10A-3 under the Exchange Act, as amended. We have determined that Wing Kee Lau qualifies as an “audit committee financial expert.” The audit committee oversees our accounting and financial reporting processes and the audits of the financial statements of our company. The audit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the independent auditors and pre-approving all auditing and non-auditing services permitted to be performed by the independent auditors;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auditors any audit problems or difficulties and management’s response;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annual audited financial statements with management and the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accounting and internal control policies and procedures and any steps taken to monitor and control major financial risk exposures; </w:t>
            </w:r>
          </w:p>
        </w:tc>
      </w:tr>
    </w:tbl>
    <w:p>
      <w:pPr>
        <w:pStyle w:val="TextBody"/>
        <w:bidi w:val="0"/>
        <w:spacing w:before="0" w:after="0"/>
        <w:jc w:val="left"/>
        <w:rPr/>
      </w:pPr>
      <w:r>
        <w:rPr/>
        <w:t> </w:t>
      </w:r>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proposed related party transactions;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separately and periodically with management and the independent auditors;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monitoring compliance with our code of business conduct and ethics, including reviewing the adequacy and effectiveness of our procedures to ensure proper compliance. </w:t>
            </w:r>
          </w:p>
        </w:tc>
      </w:tr>
    </w:tbl>
    <w:p>
      <w:pPr>
        <w:pStyle w:val="TextBody"/>
        <w:bidi w:val="0"/>
        <w:spacing w:before="240" w:after="0"/>
        <w:jc w:val="left"/>
        <w:rPr>
          <w:rFonts w:ascii="Times New Roman" w:hAnsi="Times New Roman"/>
          <w:sz w:val="20"/>
        </w:rPr>
      </w:pPr>
      <w:r>
        <w:rPr>
          <w:rFonts w:ascii="Times New Roman" w:hAnsi="Times New Roman"/>
          <w:b/>
          <w:i/>
          <w:sz w:val="20"/>
        </w:rPr>
        <w:t>Compensation Committee.</w:t>
      </w:r>
      <w:r>
        <w:rPr>
          <w:rFonts w:ascii="Times New Roman" w:hAnsi="Times New Roman"/>
          <w:sz w:val="20"/>
        </w:rPr>
        <w:t xml:space="preserve"> Our compensation committee consists of Haoxiang Hou and Wing Kee Lau. Haoxiang Hou is the chairman of our compensation committee. We have determined that each of Haoxiang Hou and Wing Kee Lau satisfies the “independence” requirements of Rule 5605(c)(2) of the Listing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board for its approval, the compensation for our chief executive officer and other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for determination with respect to the compensation of our non-employee directors;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and approving any incentive compensation or equity plans, programs or similar arrangements;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compensation consultant, legal counsel or other adviser only after taking into consideration all factors relevant to that person’s independence from management. </w:t>
            </w:r>
          </w:p>
        </w:tc>
      </w:tr>
    </w:tbl>
    <w:p>
      <w:pPr>
        <w:pStyle w:val="TextBody"/>
        <w:bidi w:val="0"/>
        <w:spacing w:before="240" w:after="0"/>
        <w:jc w:val="left"/>
        <w:rPr>
          <w:rFonts w:ascii="Times New Roman" w:hAnsi="Times New Roman"/>
          <w:sz w:val="20"/>
        </w:rPr>
      </w:pPr>
      <w:r>
        <w:rPr>
          <w:rFonts w:ascii="Times New Roman" w:hAnsi="Times New Roman"/>
          <w:b/>
          <w:i/>
          <w:sz w:val="20"/>
        </w:rPr>
        <w:t xml:space="preserve">Nominating and Corporate Governance Committee. </w:t>
      </w:r>
      <w:r>
        <w:rPr>
          <w:rFonts w:ascii="Times New Roman" w:hAnsi="Times New Roman"/>
          <w:sz w:val="20"/>
        </w:rPr>
        <w:t xml:space="preserve">Our nominating and corporate governance committee consists of Huazhi Hu and Haoxiang Hou. Huazhi Hu is the chairperson of our nominating and corporate governance committee. We have determined that Haoxiang Hou satisfies the “independence” requirements of Rule 5605(c)(2) of the Listing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and recommending to the board nominees for election by the shareholders or appointment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annually with the board the current composition of the board with regards to characteristics such as independence, knowledge, skills, experience and diversity;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on the frequency and structure of board meetings and monitoring the functioning of the committees of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Duties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regards to the registered skill and care and these authorized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has all the powers necessary for managing, and for directing and supervising, our business affairs. The functions and powers of our board of directors include,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convening shareholders’ annual and extraordinary general meetings and reporting its work to shareholders at such meetings;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declaring dividends and distributions;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officers and determining the term of office of the officers;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exercising the borrowing powers of our company and mortgaging the property of our company; and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approving the transfer of shares in our company, including the registration of such shares in our share register.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directors may be elected by a resolution of our board of directors or by an ordinary resolution of our shareholders. Unless otherwise determined by our company in general meeting, our company shall have not less than three (3) directors, and there shall be no maximum number of directors.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Each director whose term of office expires shall be eligible for re-election at a meeting of the Shareholders or re-appointment by our board of directors. Our directors may be removed from office by ordinary resolution of the shareholders. In addition, a director’s office will be vacated if the director (i) becomes bankrupt or makes any arrangement or composition with his creditors; (ii) dies or is found by our company to be or becomes of unsound mind; (iii) resigns his office by notice in writing to us; (iv) without special leave of absence from our board, is absent from three consecutive board meetings and our board of directors resolves that his office be vacated; or (v) is removed from office pursuant to any other provisions of our memorandum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Our officers are elected by and serve at the discretion of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 Employees </w:t>
      </w:r>
    </w:p>
    <w:p>
      <w:pPr>
        <w:pStyle w:val="TextBody"/>
        <w:bidi w:val="0"/>
        <w:spacing w:before="120" w:after="0"/>
        <w:jc w:val="left"/>
        <w:rPr>
          <w:rFonts w:ascii="Times New Roman" w:hAnsi="Times New Roman"/>
          <w:sz w:val="20"/>
        </w:rPr>
      </w:pPr>
      <w:r>
        <w:rPr>
          <w:rFonts w:ascii="Times New Roman" w:hAnsi="Times New Roman"/>
          <w:sz w:val="20"/>
        </w:rPr>
        <w:t xml:space="preserve">We had 367, 483 and 829 employees as of December 31, 2023, 2024 and 2025, respectively. The following table sets forth a breakdown of our employees categorized by function as of December 31, 2025: </w:t>
      </w:r>
    </w:p>
    <w:p>
      <w:pPr>
        <w:pStyle w:val="TextBody"/>
        <w:bidi w:val="0"/>
        <w:spacing w:before="0" w:after="0"/>
        <w:jc w:val="left"/>
        <w:rPr/>
      </w:pPr>
      <w:r>
        <w:rPr/>
        <w:t> </w:t>
      </w:r>
    </w:p>
    <w:tbl>
      <w:tblPr>
        <w:tblW w:w="6440" w:type="dxa"/>
        <w:jc w:val="left"/>
        <w:tblInd w:w="0" w:type="dxa"/>
        <w:tblLayout w:type="fixed"/>
        <w:tblCellMar>
          <w:top w:w="0" w:type="dxa"/>
          <w:left w:w="0" w:type="dxa"/>
          <w:bottom w:w="0" w:type="dxa"/>
          <w:right w:w="0" w:type="dxa"/>
        </w:tblCellMar>
      </w:tblPr>
      <w:tblGrid>
        <w:gridCol w:w="3860"/>
        <w:gridCol w:w="120"/>
        <w:gridCol w:w="119"/>
        <w:gridCol w:w="756"/>
        <w:gridCol w:w="60"/>
        <w:gridCol w:w="120"/>
        <w:gridCol w:w="90"/>
        <w:gridCol w:w="1025"/>
        <w:gridCol w:w="290"/>
      </w:tblGrid>
      <w:tr>
        <w:trPr/>
        <w:tc>
          <w:tcPr>
            <w:tcW w:w="3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Function</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Total</w:t>
              <w:br/>
              <w:t>Employees</w:t>
            </w:r>
          </w:p>
        </w:tc>
        <w:tc>
          <w:tcPr>
            <w:tcW w:w="29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product development department</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403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48.61</w:t>
            </w:r>
          </w:p>
        </w:tc>
        <w:tc>
          <w:tcPr>
            <w:tcW w:w="29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Marketing and sales department</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177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21.35</w:t>
            </w:r>
          </w:p>
        </w:tc>
        <w:tc>
          <w:tcPr>
            <w:tcW w:w="290" w:type="dxa"/>
            <w:tcBorders/>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administration department</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756" w:type="dxa"/>
            <w:tcBorders/>
            <w:shd w:fill="CCEEFF" w:val="clear"/>
            <w:vAlign w:val="center"/>
          </w:tcPr>
          <w:p>
            <w:pPr>
              <w:pStyle w:val="TableContents"/>
              <w:bidi w:val="0"/>
              <w:spacing w:before="0" w:after="283"/>
              <w:jc w:val="right"/>
              <w:rPr/>
            </w:pPr>
            <w:r>
              <w:rPr/>
              <w:t>249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30.04</w:t>
            </w:r>
          </w:p>
        </w:tc>
        <w:tc>
          <w:tcPr>
            <w:tcW w:w="290" w:type="dxa"/>
            <w:tcBorders/>
            <w:shd w:fill="CCEEFF" w:val="clear"/>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number of employees</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6" w:type="dxa"/>
            <w:tcBorders/>
            <w:vAlign w:val="center"/>
          </w:tcPr>
          <w:p>
            <w:pPr>
              <w:pStyle w:val="TableContents"/>
              <w:bidi w:val="0"/>
              <w:spacing w:before="0" w:after="283"/>
              <w:jc w:val="right"/>
              <w:rPr/>
            </w:pPr>
            <w:r>
              <w:rPr/>
              <w:t>829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100.00</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had 153, 284 and 310 full-time contractors who are involved in the manufacturing of our products as of December 31, 2023, 2024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laws and regulations in China, we participate in various employee social security plans that are organized by municipal and provincial governments, including housing, pension, medical insurance and unemployment insurance. We are required under PRC law to make contributions to an employee benefit plan at a specified percentage of the salaries, bonuses and certain allowances of our employees, up to a maximum amount specified by the local government from time to time. See “Item 3. Key Information—D. Risk Factors—Risks Relating to Doing Business in China—Increases in labor costs and enforcement of stricter labor laws and regulations in the PRC may adversely affect our business and our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typically enter into standard employment and confidentiality agreements with our key employees. In addition, we entered into confidentiality and non-compete agreements with senior management and intellectual property assignment agreements with core technical personnel. </w:t>
      </w:r>
    </w:p>
    <w:p>
      <w:pPr>
        <w:pStyle w:val="TextBody"/>
        <w:bidi w:val="0"/>
        <w:spacing w:before="240" w:after="0"/>
        <w:jc w:val="left"/>
        <w:rPr>
          <w:rFonts w:ascii="Times New Roman" w:hAnsi="Times New Roman"/>
          <w:sz w:val="20"/>
        </w:rPr>
      </w:pPr>
      <w:r>
        <w:rPr>
          <w:rFonts w:ascii="Times New Roman" w:hAnsi="Times New Roman"/>
          <w:sz w:val="20"/>
        </w:rPr>
        <w:t xml:space="preserve">Our success depends on our ability to attract, retain and motivate qualified employees that share our values and vision. We believe that we maintain a good working relationship with our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E. Share Ownership </w:t>
      </w:r>
    </w:p>
    <w:p>
      <w:pPr>
        <w:pStyle w:val="TextBody"/>
        <w:bidi w:val="0"/>
        <w:spacing w:before="120" w:after="0"/>
        <w:jc w:val="left"/>
        <w:rPr>
          <w:rFonts w:ascii="Times New Roman" w:hAnsi="Times New Roman"/>
          <w:sz w:val="20"/>
        </w:rPr>
      </w:pPr>
      <w:r>
        <w:rPr>
          <w:rFonts w:ascii="Times New Roman" w:hAnsi="Times New Roman"/>
          <w:sz w:val="20"/>
        </w:rPr>
        <w:t xml:space="preserve">Except as specifically noted, the following table sets forth information with respect to the beneficial ownership of our ordinary shares as of March 31, 2026 by: </w:t>
      </w:r>
    </w:p>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executive officers; and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our ordinary shares on an as-converted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calculations in the table below are based on 112,664,164 Class A ordinary shares (excluding Class A ordinary shares issued to the depositary bank for bulk issuance of ADSs reserved for future issuances upon the exercise or vesting of awards granted under our share incentive plans and treasury shares) and 39,026,560 Class B ordinary shares outstanding as of March 31, 2026.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after March 31, 2026, including through the exercise of any restricted share unit, option, warrant or other right or the conversion of any other security. These shares, however, are not included in the computation of the percentage ownership of any other person.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20"/>
        <w:gridCol w:w="120"/>
        <w:gridCol w:w="60"/>
        <w:gridCol w:w="980"/>
        <w:gridCol w:w="60"/>
        <w:gridCol w:w="120"/>
        <w:gridCol w:w="60"/>
        <w:gridCol w:w="1100"/>
        <w:gridCol w:w="60"/>
        <w:gridCol w:w="120"/>
        <w:gridCol w:w="71"/>
        <w:gridCol w:w="1314"/>
        <w:gridCol w:w="60"/>
        <w:gridCol w:w="120"/>
        <w:gridCol w:w="137"/>
        <w:gridCol w:w="1008"/>
        <w:gridCol w:w="275"/>
        <w:gridCol w:w="60"/>
        <w:gridCol w:w="128"/>
        <w:gridCol w:w="942"/>
        <w:gridCol w:w="290"/>
      </w:tblGrid>
      <w:tr>
        <w:trPr/>
        <w:tc>
          <w:tcPr>
            <w:tcW w:w="3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Ordinary</w:t>
              <w:br/>
              <w:t>Shares on an</w:t>
              <w:br/>
              <w:t>as-Converted</w:t>
              <w:br/>
              <w:t>Basis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Beneficial</w:t>
              <w:br/>
              <w:t>Ownership</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w:t>
              <w:br/>
              <w:t>Aggregate</w:t>
              <w:br/>
              <w:t>Voting</w:t>
              <w:br/>
              <w:t>Power**</w:t>
            </w:r>
          </w:p>
        </w:tc>
        <w:tc>
          <w:tcPr>
            <w:tcW w:w="290"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3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942"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Huazhi Hu(1)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1,295,258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39,026,560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40,321,818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26.6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77.9</w:t>
            </w:r>
          </w:p>
        </w:tc>
        <w:tc>
          <w:tcPr>
            <w:tcW w:w="290"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Haoxiang Hou(2)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Conor Chia-Hung Yang(3)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975,000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0.2</w:t>
            </w:r>
          </w:p>
        </w:tc>
        <w:tc>
          <w:tcPr>
            <w:tcW w:w="290"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Dongming Wu(4)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158,737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Nick Ning Yang(5)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Wing Kee Lau(6)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20,500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Zhao Wang(7)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742,500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0.1</w:t>
            </w:r>
          </w:p>
        </w:tc>
        <w:tc>
          <w:tcPr>
            <w:tcW w:w="290"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Haiyan Li(8)</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188,775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0.0</w:t>
            </w:r>
          </w:p>
        </w:tc>
        <w:tc>
          <w:tcPr>
            <w:tcW w:w="290" w:type="dxa"/>
            <w:tcBorders/>
            <w:shd w:fill="CCEEFF" w:val="clear"/>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Shuai Feng(9)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129,800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129,800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3,645,570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39,026,560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42,672,130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78.3</w:t>
            </w:r>
          </w:p>
        </w:tc>
        <w:tc>
          <w:tcPr>
            <w:tcW w:w="290" w:type="dxa"/>
            <w:tcBorders/>
            <w:shd w:fill="CCEEFF" w:val="clear"/>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Shareholder: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Genesis Rising Limited(1)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1,295,258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39,026,560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40,321,818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26.6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right"/>
              <w:rPr/>
            </w:pPr>
            <w:r>
              <w:rPr/>
              <w:t>77.9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 Huazhi Hu, Mr. Conor Chia-Hung Yang, Mr. Zhao Wang and Mr. Shuai Feng’s business address is EHang Future City (Group Headquarters), No. 118 Dongjiang Avenue, Huangpu District, Guangzhou, Guangdong Province, 510730, PRC. Mr. Haoxiang Hou’s business address is No. 151 Mao Jia Yuan Rd, Huangpu District, Shanghai, PRC. Mr. Wing Kee Lau’s business address is Building 9, Block 2, Zhongguan Honghualing Industry Southern District, 1213 Liuxian Avenue, Taoyuan Street, Nanshan District, Shenzhen, Guangdong Province, PRC. Mr. Dongming Wu’s business address is No. 18 Rong Hua South Road, Beijing Economic-Technological Development Area, Daxing District, Beijing, PRC. Mr. Nick Ning Yang’s business address is No.107 AI Technology Park, No. 27 Xidawang Road, Chaoyang District, Beijing, PRC. Ms. Haiyan Li’s business address is 105, rue de Longchamp, Neuilly sur Seine, France.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w:t>
            </w:r>
          </w:p>
        </w:tc>
        <w:tc>
          <w:tcPr>
            <w:tcW w:w="100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person and group included in this column, percentage of voting power is calculated by dividing the voting power beneficially owned by such person or group by the voting power of all of our outstanding Class A and Class B ordinary shares as a single class. Each holder of Class B ordinary shares is entitled to ten votes per share, and while each holder of our Class A ordinary shares is entitled to one vote per share on all matters submitted to them for a vote. Our Class A ordinary shares and Class B ordinary shares vote together as a single class on all matters submitted to a vote of our shareholders. Our Class B ordinary shares are convertible at any time by the holders thereof into Class A ordinary shares on a one-for-one basis.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1,295,258 Class A ordinary shares and 39,026,560 Class B ordinary shares held by Genesis Rising Limited, a British Virgin Islands company that is wholly owned by Mr. Huazhi Hu. The registered address of Genesis Rising Limited is Start Chambers, Wickham’s Cay II, P.O. Box 2221, Road Town, Tortola, British Virgin Islands. </w:t>
            </w:r>
          </w:p>
        </w:tc>
      </w:tr>
    </w:tbl>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held by Taxus Investment Holdings Limited, a British Virgin Islands company that is wholly owned by Mr. Haoxiang Hou. </w:t>
            </w:r>
          </w:p>
        </w:tc>
      </w:tr>
    </w:tbl>
    <w:tbl>
      <w:tblPr>
        <w:tblW w:w="7420" w:type="dxa"/>
        <w:jc w:val="left"/>
        <w:tblInd w:w="0" w:type="dxa"/>
        <w:tblLayout w:type="fixed"/>
        <w:tblCellMar>
          <w:top w:w="0" w:type="dxa"/>
          <w:left w:w="0" w:type="dxa"/>
          <w:bottom w:w="0" w:type="dxa"/>
          <w:right w:w="0" w:type="dxa"/>
        </w:tblCellMar>
      </w:tblPr>
      <w:tblGrid>
        <w:gridCol w:w="305"/>
        <w:gridCol w:w="7115"/>
      </w:tblGrid>
      <w:tr>
        <w:trPr/>
        <w:tc>
          <w:tcPr>
            <w:tcW w:w="305" w:type="dxa"/>
            <w:tcBorders/>
            <w:vAlign w:val="center"/>
          </w:tcPr>
          <w:p>
            <w:pPr>
              <w:pStyle w:val="TableContents"/>
              <w:bidi w:val="0"/>
              <w:spacing w:before="0" w:after="283"/>
              <w:jc w:val="left"/>
              <w:rPr/>
            </w:pPr>
            <w:r>
              <w:rPr/>
              <w:t>(3)</w:t>
            </w:r>
          </w:p>
        </w:tc>
        <w:tc>
          <w:tcPr>
            <w:tcW w:w="7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beneficially owned by Mr. Conor Chia-Hung Yang.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beneficially owned by Mr. Dongming Wu, including Class A ordinary shares underlying share options and restricted share units held by Mr. Dongming Wu that have vested as of March 31, 2026 or will vest within 60 days after March 31, 2026.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(5)</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underlying restricted share units held by Mr. Nick Ning Yang that have vested as of March 31, 2026.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(6)</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underlying restricted share units held by Mr. Wing Kee Lau that have vested as of March 31, 2026.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(7)</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held by Caland Tech Limited, a British Virgin Islands company that is wholly owned by Mr. Zhao Wang.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(8)</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held by RedChip Strategy Limited, a Hong Kong company that is wholly owned by Ms. Haiyan Li.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(9)</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Class A ordinary shares held by Smart Intelligence Holding Limited, a British Virgin Islands company that is wholly owned by Mr. Shuai Feng.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our knowledge, as of March 31, 2026, 108,216,700 of our Class A ordinary shares were held by 6 record holders in the United States, including a total of 108,096,696 Class A ordinary shares held by The Bank of New York Mellon, the depositary of the ADS program. None of our outstanding Class B ordinary shares are held by record holders in the United States. The number of beneficial owners of the ADSs in the United States is likely to be much larger than the number of record holders of our ordinary shares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except as disclosed above, we are not owned or controlled, directly or indirectly, by another corporation, by any foreign government or by any other natural or legal person or persons, severally or jointly. We are not aware of any arrangement that may, at a subsequent date, result in a change of control of our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 Disclosure of a Registrant’s Action to Recover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25"/>
        <w:gridCol w:w="4445"/>
      </w:tblGrid>
      <w:tr>
        <w:trPr/>
        <w:tc>
          <w:tcPr>
            <w:tcW w:w="725" w:type="dxa"/>
            <w:tcBorders/>
            <w:vAlign w:val="center"/>
          </w:tcPr>
          <w:p>
            <w:pPr>
              <w:pStyle w:val="TableContents"/>
              <w:bidi w:val="0"/>
              <w:spacing w:before="0" w:after="283"/>
              <w:jc w:val="left"/>
              <w:rPr>
                <w:b/>
              </w:rPr>
            </w:pPr>
            <w:bookmarkStart w:id="14" w:name="txa39307_12"/>
            <w:bookmarkEnd w:id="14"/>
            <w:r>
              <w:rPr>
                <w:b/>
              </w:rPr>
              <w:t>Item 7.</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Major Shareholders and Related Party Transaction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Major Shareholders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6. Directors, Senior Management and Employees—E. Share Ownership.” </w:t>
      </w:r>
    </w:p>
    <w:p>
      <w:pPr>
        <w:pStyle w:val="TextBody"/>
        <w:bidi w:val="0"/>
        <w:spacing w:before="360" w:after="0"/>
        <w:jc w:val="left"/>
        <w:rPr>
          <w:rFonts w:ascii="Times New Roman" w:hAnsi="Times New Roman"/>
          <w:b/>
          <w:sz w:val="20"/>
        </w:rPr>
      </w:pPr>
      <w:r>
        <w:rPr>
          <w:rFonts w:ascii="Times New Roman" w:hAnsi="Times New Roman"/>
          <w:b/>
          <w:sz w:val="20"/>
        </w:rPr>
        <w:t xml:space="preserve">B. Related Party Transactions </w:t>
      </w:r>
    </w:p>
    <w:p>
      <w:pPr>
        <w:pStyle w:val="TextBody"/>
        <w:bidi w:val="0"/>
        <w:spacing w:before="120" w:after="0"/>
        <w:jc w:val="left"/>
        <w:rPr>
          <w:rFonts w:ascii="Times New Roman" w:hAnsi="Times New Roman"/>
          <w:b/>
          <w:sz w:val="20"/>
        </w:rPr>
      </w:pPr>
      <w:r>
        <w:rPr>
          <w:rFonts w:ascii="Times New Roman" w:hAnsi="Times New Roman"/>
          <w:b/>
          <w:sz w:val="20"/>
        </w:rPr>
        <w:t xml:space="preserve">Contractual Arrangements with the VIE and its Shareholders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4. Information on the Company—C. Organizational Structure” for a detail description of the contractual arrangements among the WFOE, the VIE and the VIE’s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October 2020, the VIE paid a guarantee deposit of RMB2.6 million (US$0.4 million) to a court in Guangzhou, China to lift a judicial freeze on certain equity interests of the VIE, which were then nominally held under the name of our founder and director, Mr. Huazhi Hu. The judicial freeze was placed in connection with an arbitration in which Mr. Hu was named as a party. As of December 31, 2021, the judicial freeze had been lifted and the VIE has collected the deposit.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with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In 2025, we generated total revenue of (i) RMB13,316 thousand (US$1,904 thousand) from sale of products to Hefei Heyi Aviation Co., Ltd. (“Hefei Heyi”), Zhejiang Zhiyi Navigation Co., Ltd. (“Zhejiang Zhiyi”), Guangzhou Yitong Zhihang Technology Co., Ltd. (“Yitong Zhihang”), Hangzhou Zhongan Aviation Co., Ltd. (“Hangzhou Zhongan”) and other equity investees, and (ii) RMB394 thousand (US$56 thousand) from provision of services to Wanyi Tianxia (Zhuhai) Aviation Co., Ltd. (“Wanyi Tianxia”), Guangxi Fengshan Fengyi Aviation Service Co., Ltd. (“Fengshan Fengyi”), Hefei Heyi, Wuxi Liangyun Low-Altitude Commercial Operation Management Co., Ltd. (“Wuxi Liangyun”), Shenzhen Pengcheng Wing General Aviation Co., Ltd. (“Pengcheng Wing”) and Yitong Zhihang. Each of these entities is an equity investee of our company and we have significant influence over them. RedChip Strategy Limited (“RedChip”) is a company wholly owned by a director and classified as a related party of the Group on November 24, 2025 upon its shareholder’s appointment to the Group’s director. The Group maintained a consulting agreement with consulting firm RedChip. The consulting fees incurred during the period from November 24, 2025 to December 31, 2025 amounted to RMB1,127 thousand (US$161 thousand), which were settled via a combination of cash and RSUs. As of December 31, 2025, we had accounts receivable of RMB5,188 thousand (US$741 thousand) due from, and contract liabilities of RMB2,307 thousand (US$330 thousand) due to, these equity investees in connection with product sales and services. In addition, as of December 31, 2025, the Group had a six-month loan and interest receivable of RMB2,070 thousand (US$296 thousand) due from Hefei Heyi, with an interest rate of 3% per annum, which was settled in March 2026. In April 2025, the Group invested RMB14,500 thousand (US$2,073 thousand) in Yihang Zhifang Equipment (Guangzhou) Co., Ltd. (“Zhifang”), a company under the control of our founder and Chairman of the Board, Mr. Huazhi Hu, to acquire 4.63%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In 2024, we generated total revenue of (i) RMB0.1 million from sale of products to Hefei Heyi Aviation Co., Ltd. (“Hefei Heyi”), Wanyi Tianxia (Zhuhai) Aviation Co., Ltd. (“Wanyi Tianxia”) and Guangxi Fengshan Fengyi Aviation Service Co., Ltd. (“Fengshan Fengyi”), and (ii) RMB1.2 million from provision of services to Guangzhou Yitong Zhihang Technology Co., Ltd. (“Yitong Zhihang”), Hefei Heyi, Wanyi Tianxia and Wuxi Liangyun Low-Altitude Commercial Operation Management Co., Ltd. (“Wuxi Liangyun”). Each of Hefei Heyi, Wanyi Tianxia, Fengshan Fengyi, Yitong Zhihang and Wuxi Liangyun is an equity investee of our company and we have significant influence over them. As of December 31, 2024, we had account receivables of RMB0.5 million due from, and contract liabilities of RMB2.0 million due to, these equity investees in connection with product sales and services. </w:t>
      </w:r>
    </w:p>
    <w:p>
      <w:pPr>
        <w:pStyle w:val="TextBody"/>
        <w:bidi w:val="0"/>
        <w:spacing w:before="240" w:after="0"/>
        <w:jc w:val="left"/>
        <w:rPr>
          <w:rFonts w:ascii="Times New Roman" w:hAnsi="Times New Roman"/>
          <w:sz w:val="20"/>
        </w:rPr>
      </w:pPr>
      <w:r>
        <w:rPr>
          <w:rFonts w:ascii="Times New Roman" w:hAnsi="Times New Roman"/>
          <w:sz w:val="20"/>
        </w:rPr>
        <w:t xml:space="preserve">In 2023, we generated revenue of RMB3.0 million and RMB8.9 million from Yitong Zhihang and Xinjiang Xiyu Qingniao General Aviation Co., Ltd. (“Xiyu Qingniao”), respectively, through our sales of pilotless eVTOL aircraft. Each of Yitong Zhihang and Xiyu Qingniao is an equity investee of our company and we have significant influence over them. As of December 31, 2023, we had amount due from Yitong Zhihang of RMB1.7 million and contract liabilities to Xiyu Qingniao of RMB2.0 million relating to such sales.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RMB29,941 thousand (US$4,282 thousand) short-term bank loans and RMB7,000 thousand (US$1,001 thousand) long-term bank loans were guaranteed by Mr. Huazhi Hu, our founder, chairman and chief executive officer. </w:t>
      </w:r>
    </w:p>
    <w:p>
      <w:pPr>
        <w:pStyle w:val="TextBody"/>
        <w:bidi w:val="0"/>
        <w:spacing w:before="240" w:after="0"/>
        <w:jc w:val="left"/>
        <w:rPr>
          <w:rFonts w:ascii="Times New Roman" w:hAnsi="Times New Roman"/>
          <w:b/>
          <w:sz w:val="20"/>
        </w:rPr>
      </w:pPr>
      <w:r>
        <w:rPr>
          <w:rFonts w:ascii="Times New Roman" w:hAnsi="Times New Roman"/>
          <w:b/>
          <w:sz w:val="20"/>
        </w:rPr>
        <w:t xml:space="preserve">Employment Agreements and 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6. Directors, Senior Management and Employees—B. Compensation—Employment Agreements and Indemnification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Share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6. Directors, Senior Management and Employees—B. Compensation—2015 Share Incentive Plan,” “Item 6. Directors, Senior Management and Employees—B. Compensation—2019 Share Incentive Plan” and “Item 6. Directors, Senior Management and Employees—B. Compensation—2023 Share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C. Interests of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725"/>
        <w:gridCol w:w="1970"/>
      </w:tblGrid>
      <w:tr>
        <w:trPr/>
        <w:tc>
          <w:tcPr>
            <w:tcW w:w="725" w:type="dxa"/>
            <w:tcBorders/>
            <w:vAlign w:val="center"/>
          </w:tcPr>
          <w:p>
            <w:pPr>
              <w:pStyle w:val="TableContents"/>
              <w:bidi w:val="0"/>
              <w:spacing w:before="0" w:after="283"/>
              <w:jc w:val="left"/>
              <w:rPr>
                <w:b/>
              </w:rPr>
            </w:pPr>
            <w:bookmarkStart w:id="15" w:name="txa39307_13"/>
            <w:bookmarkEnd w:id="15"/>
            <w:r>
              <w:rPr>
                <w:b/>
              </w:rPr>
              <w:t>Item 8.</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Consolidated Statements and Other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Please refer to Item 18 “Financial Statements” for our audited consolidated financial statements filed as part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be involved in disputes and legal or administrative proceedings in the ordinary course of our business, including actions with respect to breach of contract, labor and employment claims, copyright, trademark, patent infringement, bankruptcy and other matters. Other than as described in this annual report, we are not a party to any material ongoing legal or administrative proceedings which may have significant effects on our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17 and 26, 2021, three federal securities class action lawsuits (captioned </w:t>
      </w:r>
      <w:r>
        <w:rPr>
          <w:rFonts w:ascii="Times New Roman" w:hAnsi="Times New Roman"/>
          <w:i/>
          <w:sz w:val="20"/>
        </w:rPr>
        <w:t>Amberber v. EHang Holdings Limited, et al.</w:t>
      </w:r>
      <w:r>
        <w:rPr>
          <w:rFonts w:ascii="Times New Roman" w:hAnsi="Times New Roman"/>
          <w:sz w:val="20"/>
        </w:rPr>
        <w:t xml:space="preserve">, Case No. 1:21-cv-01392-GBD (S.D.N.Y., filed Feb. 17, 2021), </w:t>
      </w:r>
      <w:r>
        <w:rPr>
          <w:rFonts w:ascii="Times New Roman" w:hAnsi="Times New Roman"/>
          <w:i/>
          <w:sz w:val="20"/>
        </w:rPr>
        <w:t>Chaumont v. EHang Holdings Limited, et al.</w:t>
      </w:r>
      <w:r>
        <w:rPr>
          <w:rFonts w:ascii="Times New Roman" w:hAnsi="Times New Roman"/>
          <w:sz w:val="20"/>
        </w:rPr>
        <w:t xml:space="preserve">, Case No. 1:21-cv-01526-GBD (S.D.N.Y., filed Feb. 19, 2021), and </w:t>
      </w:r>
      <w:r>
        <w:rPr>
          <w:rFonts w:ascii="Times New Roman" w:hAnsi="Times New Roman"/>
          <w:i/>
          <w:sz w:val="20"/>
        </w:rPr>
        <w:t>Klein v. EHang Holdings Limited, et al.</w:t>
      </w:r>
      <w:r>
        <w:rPr>
          <w:rFonts w:ascii="Times New Roman" w:hAnsi="Times New Roman"/>
          <w:sz w:val="20"/>
        </w:rPr>
        <w:t xml:space="preserve">, Case No. 2:21-cv-01811-JFW-PVC (C.D. Cal., filed Feb. 26, 2021)) were filed by purported holders of our ADSs in federal court. The complaints asserted claims under Sections 10(b) and 20(a) of the Securities Exchange Act of 1934, as amended, and generally allege that our company and certain of our officers made false and misleading statements regarding the status of its urban air mobility business, its international and domestic regulatory approvals, its relationships with major customers, and its manufacturing facilities. The complaints name as defendants our company and certain of our officers. In addition to costs and attorneys’ fees, the complaints seek compensatory and punitive damages. We believe these claims are without merit and intend to vigorously defend against them. These lawsuits were consolidated into a single class action lawsuit under the caption In re EHang Holdings Ltd. Securities Litigation 1.21-CV-01392-GBD-GWG (S.D.N.Y., filed Feb. 19, 2021), and a lead plaintiff and lead counsel were selected in February 2022. The lead plaintiff filed an amended complaint on April 25, 2022, making similar allegations as those in the previous complaints. Defendants filed a motion to dismiss the amended complaint in June 2022. The lead plaintiff filed an opposition to the defendants’ motion to dismiss in August 2022. The defendants filed a reply in support of their motion to dismiss in September 2022. In October 2022, the Court held oral argument on defendants’ motion to dismiss. The Court granted the defendants’ motion to dismiss the amended complaint on December 15, 2022, and entered final judgment dismissing the action in its entirety with prejudice on January 24, 2023. Lead plaintiff did not appeal the final judgment and on February 23, 2023, lead plaintiff’s deadline to appeal expired. </w:t>
      </w:r>
    </w:p>
    <w:p>
      <w:pPr>
        <w:pStyle w:val="TextBody"/>
        <w:bidi w:val="0"/>
        <w:spacing w:before="240" w:after="0"/>
        <w:jc w:val="left"/>
        <w:rPr>
          <w:rFonts w:ascii="Times New Roman" w:hAnsi="Times New Roman"/>
          <w:sz w:val="20"/>
        </w:rPr>
      </w:pPr>
      <w:r>
        <w:rPr>
          <w:rFonts w:ascii="Times New Roman" w:hAnsi="Times New Roman"/>
          <w:sz w:val="20"/>
        </w:rPr>
        <w:t xml:space="preserve">A former employee of our former U.S. subsidiary, EHang, Inc., filed a civil lawsuit against EHang Holdings, the VIE and certain individual defendants, including Mr. Huazhi Hu, chairman and chief executive officer of EHang Holdings, in the United States District Court for the Northern District of California. The plaintiff alleged that he was entitled to receive restricted share units from us. Following a trial by jury in April 2022, the Court entered judgment for the Plaintiff and against EHang Holdings, the VIE and Mr. Huazhi Hu as follows: (i) Judgment is entered against EHang Holdings on claims for breach of contract, false promise and unpaid wages, and EHang Holdings is held jointly and severally liable for compensatory damages in the amount of US$3,500,000 and is liable for punitive damages in the amount of US$10,000,000; (ii) Judgment is entered against the VIE on claims for breach of contract, false promise and unpaid wages, and the VIE is held jointly and severally liable for compensatory damages in the amount of US$3,500,000; and (iii) Judgment is entered against Mr. Huazhi Hu on claims for false promise and unpaid wages, and Mr. Hu is held jointly and severally liable for compensatory damages in the amount of US$3,500,000 and is liable for punitive damages in the amount of US$5,000,000. We then filed a Motion for New Trial challenging the finding of false promise, the amount of the compensatory damage award, and the amount of the punitive damage award. The judge granted the Motion as to the false promise claim and set aside the verdict on that cause of action against EHang Holdings and Mr. Hu, and because the false promise claim was the only claim that could give rise to punitive damages, the Court set aside the punitive damage award and ordered a new trial on the false promise claim. The Court denied the motion as to the compensatory damage award. Following the Motion for New Trial, the parties have been engaged in settlement discussions. On April 25, 2023, the parties entered into a settlement agreement involving a total payment to the former employee of $3,375,000 in four equal quarterly installments within one year. The Company had paid all four installments as of the date of this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4, 2023, a securities class action complaint (captioned Pujo v. EHang Holdings Limited, No. 2:23-cv-10165 (C.D. Cal.)) was filed by purported holders of the Company’s ADSs in federal court. The complaint asserted claims under Sections 10(b) and 20(a) of the Securities Exchange Act of 1934, as amended, and generally alleged that the Company and certain of its officers and directors made false and misleading statements regarding the Company’s business, operations, and prospects, among other allegations. The complaint was based in large part on a November 7, 2023, report issued by short seller Hindenburg Research. The complaint named as defendants certain of the Company’s officers and directors. The complaint sought unspecified monetary damages on behalf of the putative class and an award of costs and expenses, including reasonable attorneys’ fees. The Company and the lead plaintiff participated in private mediation on July 1, 2025. On July 3, 2025, the parties agreed to settle the matter for US$1,985 thousand. On July 7, 2025, the parties notified the Court that they had reached an agreement in principle. The parties executed a stipulation of settlement effective as of August 11, 2025. As of December 31, 2025, EHang had paid the full settlement amount of US$1,985 thousand. On January 12, 2026, the Court granted final approval of the class action settlement. For the year ended December 31, 2025, the Company recorded the settlement fee of US$1,985 thousand (equivalent to RMB14,254 thousand) in other non-operating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immediately following the date on which the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any present plan to pay any cash dividends on our ordinary shares in the foreseeable future. We currently intend to retain most, if not all, of our available funds and any future earnings to operate and expand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“Item 4. Information on the Company—B. Business Overview—PRC Regulation—Dividend Distribution.” </w:t>
      </w:r>
    </w:p>
    <w:p>
      <w:pPr>
        <w:pStyle w:val="TextBody"/>
        <w:bidi w:val="0"/>
        <w:spacing w:before="240" w:after="0"/>
        <w:jc w:val="left"/>
        <w:rPr>
          <w:rFonts w:ascii="Times New Roman" w:hAnsi="Times New Roman"/>
          <w:sz w:val="20"/>
        </w:rPr>
      </w:pPr>
      <w:r>
        <w:rPr>
          <w:rFonts w:ascii="Times New Roman" w:hAnsi="Times New Roman"/>
          <w:sz w:val="20"/>
        </w:rPr>
        <w:t xml:space="preserve">If we pay any dividends on our ordinary shares, we will pay those dividends which are payable in respect of the Class A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including the fees and expenses payable thereunder. Cash dividends on our ordinary shares, if any, will be paid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 Significant Changes </w:t>
      </w:r>
    </w:p>
    <w:p>
      <w:pPr>
        <w:pStyle w:val="TextBody"/>
        <w:bidi w:val="0"/>
        <w:spacing w:before="120" w:after="0"/>
        <w:jc w:val="left"/>
        <w:rPr>
          <w:rFonts w:ascii="Times New Roman" w:hAnsi="Times New Roman"/>
          <w:sz w:val="20"/>
        </w:rPr>
      </w:pPr>
      <w:r>
        <w:rPr>
          <w:rFonts w:ascii="Times New Roman" w:hAnsi="Times New Roman"/>
          <w:sz w:val="20"/>
        </w:rPr>
        <w:t xml:space="preserve">Except as disclosed elsewhere in this annual report, we have not experienced any significant changes since the date of our audited consolidated financial statements included in this annual report.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725"/>
        <w:gridCol w:w="1910"/>
      </w:tblGrid>
      <w:tr>
        <w:trPr/>
        <w:tc>
          <w:tcPr>
            <w:tcW w:w="725" w:type="dxa"/>
            <w:tcBorders/>
            <w:vAlign w:val="center"/>
          </w:tcPr>
          <w:p>
            <w:pPr>
              <w:pStyle w:val="TableContents"/>
              <w:bidi w:val="0"/>
              <w:spacing w:before="0" w:after="283"/>
              <w:jc w:val="left"/>
              <w:rPr>
                <w:b/>
              </w:rPr>
            </w:pPr>
            <w:bookmarkStart w:id="16" w:name="txa39307_14"/>
            <w:bookmarkEnd w:id="16"/>
            <w:r>
              <w:rPr>
                <w:b/>
              </w:rPr>
              <w:t>Item 9.</w:t>
            </w:r>
          </w:p>
        </w:tc>
        <w:tc>
          <w:tcPr>
            <w:tcW w:w="19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The Offer and Listing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Offer and Listing Details </w:t>
      </w:r>
    </w:p>
    <w:p>
      <w:pPr>
        <w:pStyle w:val="TextBody"/>
        <w:bidi w:val="0"/>
        <w:spacing w:before="120" w:after="0"/>
        <w:jc w:val="left"/>
        <w:rPr>
          <w:rFonts w:ascii="Times New Roman" w:hAnsi="Times New Roman"/>
          <w:sz w:val="20"/>
        </w:rPr>
      </w:pPr>
      <w:r>
        <w:rPr>
          <w:rFonts w:ascii="Times New Roman" w:hAnsi="Times New Roman"/>
          <w:sz w:val="20"/>
        </w:rPr>
        <w:t xml:space="preserve">See “—C. Markets.” </w:t>
      </w:r>
    </w:p>
    <w:p>
      <w:pPr>
        <w:pStyle w:val="TextBody"/>
        <w:bidi w:val="0"/>
        <w:spacing w:before="360" w:after="0"/>
        <w:jc w:val="left"/>
        <w:rPr>
          <w:rFonts w:ascii="Times New Roman" w:hAnsi="Times New Roman"/>
          <w:b/>
          <w:sz w:val="20"/>
        </w:rPr>
      </w:pPr>
      <w:r>
        <w:rPr>
          <w:rFonts w:ascii="Times New Roman" w:hAnsi="Times New Roman"/>
          <w:b/>
          <w:sz w:val="20"/>
        </w:rPr>
        <w:t xml:space="preserve">B. Plan of Distribution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 Markets </w:t>
      </w:r>
    </w:p>
    <w:p>
      <w:pPr>
        <w:pStyle w:val="TextBody"/>
        <w:bidi w:val="0"/>
        <w:spacing w:before="120" w:after="0"/>
        <w:jc w:val="left"/>
        <w:rPr>
          <w:rFonts w:ascii="Times New Roman" w:hAnsi="Times New Roman"/>
          <w:sz w:val="20"/>
        </w:rPr>
      </w:pPr>
      <w:r>
        <w:rPr>
          <w:rFonts w:ascii="Times New Roman" w:hAnsi="Times New Roman"/>
          <w:sz w:val="20"/>
        </w:rPr>
        <w:t xml:space="preserve">The ADSs, each represents two Class A ordinary shares, have been listed on the Nasdaq Global Market since December 12, 2019, under the symbol “EH.” </w:t>
      </w:r>
    </w:p>
    <w:p>
      <w:pPr>
        <w:pStyle w:val="TextBody"/>
        <w:bidi w:val="0"/>
        <w:spacing w:before="360" w:after="0"/>
        <w:jc w:val="left"/>
        <w:rPr>
          <w:rFonts w:ascii="Times New Roman" w:hAnsi="Times New Roman"/>
          <w:b/>
          <w:sz w:val="20"/>
        </w:rPr>
      </w:pPr>
      <w:r>
        <w:rPr>
          <w:rFonts w:ascii="Times New Roman" w:hAnsi="Times New Roman"/>
          <w:b/>
          <w:sz w:val="20"/>
        </w:rPr>
        <w:t xml:space="preserve">D. Selling Shareholders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E. Dilution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F. Expenses of the Issue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845"/>
        <w:gridCol w:w="2060"/>
      </w:tblGrid>
      <w:tr>
        <w:trPr/>
        <w:tc>
          <w:tcPr>
            <w:tcW w:w="845" w:type="dxa"/>
            <w:tcBorders/>
            <w:vAlign w:val="center"/>
          </w:tcPr>
          <w:p>
            <w:pPr>
              <w:pStyle w:val="TableContents"/>
              <w:bidi w:val="0"/>
              <w:spacing w:before="0" w:after="283"/>
              <w:jc w:val="left"/>
              <w:rPr>
                <w:b/>
              </w:rPr>
            </w:pPr>
            <w:bookmarkStart w:id="17" w:name="txa39307_15"/>
            <w:bookmarkEnd w:id="17"/>
            <w:r>
              <w:rPr>
                <w:b/>
              </w:rPr>
              <w:t>Item 10.</w:t>
            </w:r>
          </w:p>
        </w:tc>
        <w:tc>
          <w:tcPr>
            <w:tcW w:w="2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Share Capital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B.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summaries of material provisions of our currently effective fifth amended and restated memorandum and articles of association, and of the Companies Act, insofar as they relate to the material terms of our ordinary shares. </w:t>
      </w:r>
    </w:p>
    <w:p>
      <w:pPr>
        <w:pStyle w:val="TextBody"/>
        <w:bidi w:val="0"/>
        <w:spacing w:before="240" w:after="0"/>
        <w:jc w:val="left"/>
        <w:rPr>
          <w:rFonts w:ascii="Times New Roman" w:hAnsi="Times New Roman"/>
          <w:sz w:val="20"/>
        </w:rPr>
      </w:pPr>
      <w:r>
        <w:rPr>
          <w:rFonts w:ascii="Times New Roman" w:hAnsi="Times New Roman"/>
          <w:i/>
          <w:sz w:val="20"/>
        </w:rPr>
        <w:t>Objects of Our Company</w:t>
      </w:r>
      <w:r>
        <w:rPr>
          <w:rFonts w:ascii="Times New Roman" w:hAnsi="Times New Roman"/>
          <w:sz w:val="20"/>
        </w:rPr>
        <w:t xml:space="preserve">. Under our memorandum and articles of association, the objects of our company are unrestricted and we have the full power and authority to carry out any object not prohibited by the law of the Cayman Islands. </w:t>
      </w:r>
    </w:p>
    <w:p>
      <w:pPr>
        <w:pStyle w:val="TextBody"/>
        <w:bidi w:val="0"/>
        <w:spacing w:before="240" w:after="0"/>
        <w:jc w:val="left"/>
        <w:rPr>
          <w:rFonts w:ascii="Times New Roman" w:hAnsi="Times New Roman"/>
          <w:sz w:val="20"/>
        </w:rPr>
      </w:pPr>
      <w:r>
        <w:rPr>
          <w:rFonts w:ascii="Times New Roman" w:hAnsi="Times New Roman"/>
          <w:i/>
          <w:sz w:val="20"/>
        </w:rPr>
        <w:t>Ordinary Shares</w:t>
      </w:r>
      <w:r>
        <w:rPr>
          <w:rFonts w:ascii="Times New Roman" w:hAnsi="Times New Roman"/>
          <w:sz w:val="20"/>
        </w:rPr>
        <w:t xml:space="preserve">. Our ordinary shares are issued in registered form and are issued when registered in our register of shareholders. We may not issue shares to bearer. Our shareholders who are non-residents of the Cayman Islands may freely hold and vote their shares. Our ordinary shares are divided into Class A ordinary shares and Class B ordinary shares. Holders of our Class A ordinary shares and Class B ordinary shares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Conversion</w:t>
      </w:r>
      <w:r>
        <w:rPr>
          <w:rFonts w:ascii="Times New Roman" w:hAnsi="Times New Roman"/>
          <w:sz w:val="20"/>
        </w:rPr>
        <w:t xml:space="preserve">. Each Class B ordinary share is convertible into one Class A ordinary share at any time at the option of the holder thereof. Class A ordinary shares are not convertible into Class B ordinary shares in any event. Upon any sale, transfer, assignment or disposition of any Class B ordinary shares by their holder or upon a change of ultimate beneficial ownership of any Class B ordinary shares to any person other than our founder or an affiliate controlled by our founder, each such Class B ordinary share shall be automatically and immediately converted into one of Class A ordinary share.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amended and restated memorandum and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 immediately following the date on which the dividend is paid.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ten votes, on all matters subject to a vote on a poll at general meetings of our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of association. Holders of the ordinary shares may, among other things, divide or combine their shares by ordinary resolution. </w:t>
      </w:r>
    </w:p>
    <w:p>
      <w:pPr>
        <w:pStyle w:val="TextBody"/>
        <w:bidi w:val="0"/>
        <w:spacing w:before="240" w:after="0"/>
        <w:jc w:val="left"/>
        <w:rPr>
          <w:rFonts w:ascii="Times New Roman" w:hAnsi="Times New Roman"/>
          <w:sz w:val="20"/>
        </w:rPr>
      </w:pPr>
      <w:r>
        <w:rPr>
          <w:rFonts w:ascii="Times New Roman" w:hAnsi="Times New Roman"/>
          <w:i/>
          <w:sz w:val="20"/>
        </w:rPr>
        <w:t>General Meetings of Shareholders</w:t>
      </w:r>
      <w:r>
        <w:rPr>
          <w:rFonts w:ascii="Times New Roman" w:hAnsi="Times New Roman"/>
          <w:sz w:val="20"/>
        </w:rPr>
        <w:t xml:space="preserve">. As a Cayman Islands exempted company, we are not obliged by the Companies Act to call 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w:t>
      </w:r>
    </w:p>
    <w:p>
      <w:pPr>
        <w:pStyle w:val="TextBody"/>
        <w:bidi w:val="0"/>
        <w:spacing w:before="240" w:after="0"/>
        <w:jc w:val="left"/>
        <w:rPr>
          <w:rFonts w:ascii="Times New Roman" w:hAnsi="Times New Roman"/>
          <w:sz w:val="20"/>
        </w:rPr>
      </w:pPr>
      <w:r>
        <w:rPr>
          <w:rFonts w:ascii="Times New Roman" w:hAnsi="Times New Roman"/>
          <w:sz w:val="20"/>
        </w:rPr>
        <w:t xml:space="preserve">Shareholders’ general meetings may be convened by the chairman of our board of directors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shareholders holding at the date of deposit of the requisition shares which carry in aggregate not less than one-third of all votes attaching to all issued and outstanding shares of our company that as at the date of the deposit carry the right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Transfer of Ordinary Shares</w:t>
      </w:r>
      <w:r>
        <w:rPr>
          <w:rFonts w:ascii="Times New Roman" w:hAnsi="Times New Roman"/>
          <w:sz w:val="20"/>
        </w:rPr>
        <w:t xml:space="preserve">. Subject to the restrictions set out below, any of our shareholders may transfer all or any of his or her ordinary shares by an instrument of transfer in the usual or common form or any other form approved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in its absolute discretion, decline to register any transfer of any ordinary share which is not fully paid up or on which we have a lien. Our board of directors may also decline to register any transfer of any ordinary share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is in respect of only one class of ordinary shares;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is properly stamped, if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transfer to joint holders, the number of joint holders to whom the ordinary share is to be transferred does not exceed four;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fee of such maximum sum as the Nasdaq Global Market may determine to be payable or such lesser sum as our directors may from time to time require is paid to us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directors refuse to register a transfer they shall, within three calendar months after the date on which the instrument of transfer was lodged, send to each of the transferor and the transferee notice of such refusal.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transfers may, after compliance with any notice required of the Nasdaq Global Market, be suspended and the register closed at such times and for such periods as our board of directors may, in their absolute discretion, from time to time determine, provided, however, that the registration of transfers shall not be suspended nor the register closed for more than 30 calendar days in any calendar year.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as nearly as may be, the losses are borne by our shareholders in proportion to the par value of the shares held by them. </w:t>
      </w:r>
    </w:p>
    <w:p>
      <w:pPr>
        <w:pStyle w:val="TextBody"/>
        <w:bidi w:val="0"/>
        <w:spacing w:before="240" w:after="0"/>
        <w:jc w:val="left"/>
        <w:rPr>
          <w:rFonts w:ascii="Times New Roman" w:hAnsi="Times New Roman"/>
          <w:sz w:val="20"/>
        </w:rPr>
      </w:pPr>
      <w:r>
        <w:rPr>
          <w:rFonts w:ascii="Times New Roman" w:hAnsi="Times New Roman"/>
          <w:i/>
          <w:sz w:val="20"/>
        </w:rPr>
        <w:t>Calls on Shares and Forfeiture of Shares</w:t>
      </w:r>
      <w:r>
        <w:rPr>
          <w:rFonts w:ascii="Times New Roman" w:hAnsi="Times New Roman"/>
          <w:sz w:val="20"/>
        </w:rPr>
        <w:t xml:space="preserve">.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 </w:t>
      </w:r>
    </w:p>
    <w:p>
      <w:pPr>
        <w:pStyle w:val="TextBody"/>
        <w:bidi w:val="0"/>
        <w:spacing w:before="240" w:after="0"/>
        <w:jc w:val="left"/>
        <w:rPr>
          <w:rFonts w:ascii="Times New Roman" w:hAnsi="Times New Roman"/>
          <w:sz w:val="20"/>
        </w:rPr>
      </w:pPr>
      <w:r>
        <w:rPr>
          <w:rFonts w:ascii="Times New Roman" w:hAnsi="Times New Roman"/>
          <w:i/>
          <w:sz w:val="20"/>
        </w:rPr>
        <w:t>Redemption, Repurchase and Surrender of Shares</w:t>
      </w:r>
      <w:r>
        <w:rPr>
          <w:rFonts w:ascii="Times New Roman" w:hAnsi="Times New Roman"/>
          <w:sz w:val="20"/>
        </w:rPr>
        <w:t xml:space="preserve">. We may issue shares on terms that such shares are subject to redemption, at our option or at the option of the holders of these shares, on such terms and in such manner as may be determined, before the issue of such shares,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Variations of Rights of Shares</w:t>
      </w:r>
      <w:r>
        <w:rPr>
          <w:rFonts w:ascii="Times New Roman" w:hAnsi="Times New Roman"/>
          <w:sz w:val="20"/>
        </w:rPr>
        <w:t xml:space="preserve">. If at any time, our share capital is divided into different classes of shares, the rights attached to any class of shares (unless otherwise subject to any rights or restrictions for the time being attached to any class), may only be materially adversely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with preferred or other rights shall not, subject to any rights or restrictions for the time being attached to the shares of that class, be deemed to be materially adversely varied by, </w:t>
      </w:r>
      <w:r>
        <w:rPr>
          <w:rFonts w:ascii="Times New Roman" w:hAnsi="Times New Roman"/>
          <w:i/>
          <w:sz w:val="20"/>
        </w:rPr>
        <w:t>inter alia</w:t>
      </w:r>
      <w:r>
        <w:rPr>
          <w:rFonts w:ascii="Times New Roman" w:hAnsi="Times New Roman"/>
          <w:sz w:val="20"/>
        </w:rPr>
        <w:t xml:space="preserve">, the creation or issue of further shares ranking </w:t>
      </w:r>
      <w:r>
        <w:rPr>
          <w:rFonts w:ascii="Times New Roman" w:hAnsi="Times New Roman"/>
          <w:i/>
          <w:sz w:val="20"/>
        </w:rPr>
        <w:t>pari passu</w:t>
      </w:r>
      <w:r>
        <w:rPr>
          <w:rFonts w:ascii="Times New Roman" w:hAnsi="Times New Roman"/>
          <w:sz w:val="20"/>
        </w:rPr>
        <w:t xml:space="preserve"> with or subsequent to such existing class of shares or the redemption or purchase of any shares of any class by our company. Further, the rights the holders of shares shall not be deemed to be materially adversely varied by the creation or issue of shares with preferred or other rights including, without limitation, the creation of shares with enhanced or weighted voting rights. </w:t>
      </w:r>
    </w:p>
    <w:p>
      <w:pPr>
        <w:pStyle w:val="TextBody"/>
        <w:bidi w:val="0"/>
        <w:spacing w:before="240" w:after="0"/>
        <w:jc w:val="left"/>
        <w:rPr>
          <w:rFonts w:ascii="Times New Roman" w:hAnsi="Times New Roman"/>
          <w:sz w:val="20"/>
        </w:rPr>
      </w:pPr>
      <w:r>
        <w:rPr>
          <w:rFonts w:ascii="Times New Roman" w:hAnsi="Times New Roman"/>
          <w:i/>
          <w:sz w:val="20"/>
        </w:rPr>
        <w:t>Issuance of Additional Shares</w:t>
      </w:r>
      <w:r>
        <w:rPr>
          <w:rFonts w:ascii="Times New Roman" w:hAnsi="Times New Roman"/>
          <w:sz w:val="20"/>
        </w:rPr>
        <w:t xml:space="preserve">. Our memorandum and articles of association authorize our board of directors to issue additional ordinary shares from time to time as our board of directors shall determine, to the extent of available authorized but unissued shares. </w:t>
      </w:r>
    </w:p>
    <w:p>
      <w:pPr>
        <w:pStyle w:val="TextBody"/>
        <w:bidi w:val="0"/>
        <w:spacing w:before="240" w:after="0"/>
        <w:jc w:val="left"/>
        <w:rPr>
          <w:rFonts w:ascii="Times New Roman" w:hAnsi="Times New Roman"/>
          <w:sz w:val="20"/>
        </w:rPr>
      </w:pPr>
      <w:r>
        <w:rPr>
          <w:rFonts w:ascii="Times New Roman" w:hAnsi="Times New Roman"/>
          <w:sz w:val="20"/>
        </w:rPr>
        <w:t xml:space="preserve">Our memorandum and articles of association also authorize our board of directors to establish from time to time one or more series of preference shares and to determine, with respect to any series of preference shares, the terms and rights of that series, including: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75"/>
        <w:gridCol w:w="110"/>
        <w:gridCol w:w="60"/>
        <w:gridCol w:w="2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series;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series;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dividend rights, dividend rates, conversion rights, voting rights; and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terms of redemption and liquidation preferences.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of directors may issue preference shares without action by our shareholders to the extent authorized but unissued. Issuance of these shares may dilute the voting power of holders of ordinary shares. </w:t>
            </w:r>
          </w:p>
        </w:tc>
      </w:tr>
    </w:tbl>
    <w:p>
      <w:pPr>
        <w:pStyle w:val="TextBody"/>
        <w:bidi w:val="0"/>
        <w:spacing w:before="240" w:after="0"/>
        <w:jc w:val="left"/>
        <w:rPr>
          <w:rFonts w:ascii="Times New Roman" w:hAnsi="Times New Roman"/>
          <w:sz w:val="20"/>
        </w:rPr>
      </w:pPr>
      <w:r>
        <w:rPr>
          <w:rFonts w:ascii="Times New Roman" w:hAnsi="Times New Roman"/>
          <w:i/>
          <w:sz w:val="20"/>
        </w:rPr>
        <w:t>Inspection of Books and Records</w:t>
      </w:r>
      <w:r>
        <w:rPr>
          <w:rFonts w:ascii="Times New Roman" w:hAnsi="Times New Roman"/>
          <w:sz w:val="20"/>
        </w:rPr>
        <w:t xml:space="preserve">. Holders of our ordinary shares will have no general right under Cayman Islands law to inspect or obtain copies of our list of shareholders or our corporate records (except for the memorandum and articles of association, our register of mortgages and charges and special resolutions of our shareholders). However, we will provide our shareholders with annual audited financial statements. See “Where You Can Find Additional Information.” </w:t>
      </w:r>
    </w:p>
    <w:p>
      <w:pPr>
        <w:pStyle w:val="TextBody"/>
        <w:bidi w:val="0"/>
        <w:spacing w:before="240" w:after="0"/>
        <w:jc w:val="left"/>
        <w:rPr>
          <w:rFonts w:ascii="Times New Roman" w:hAnsi="Times New Roman"/>
          <w:sz w:val="20"/>
        </w:rPr>
      </w:pPr>
      <w:r>
        <w:rPr>
          <w:rFonts w:ascii="Times New Roman" w:hAnsi="Times New Roman"/>
          <w:i/>
          <w:sz w:val="20"/>
        </w:rPr>
        <w:t>Anti-Takeover Provisions</w:t>
      </w:r>
      <w:r>
        <w:rPr>
          <w:rFonts w:ascii="Times New Roman" w:hAnsi="Times New Roman"/>
          <w:sz w:val="20"/>
        </w:rPr>
        <w:t xml:space="preserve">. Some provisions of our memorandum and articles of association may discourage, delay or prevent a change of control of our company or management that shareholders may consider favorable, including provisions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preference shares in one or more series and to designate the price, rights, preferences, privileges and restrictions of such preference shares without any further vote or action by our shareholders; and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ability of shareholders to requisition and convene general meetings of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under Cayman Islands law, our directors may only exercise the rights and powers granted to them under our memorandum and articles of association for a proper purpose and for what they believe in good faith to be in the best interests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Exempted Company</w:t>
      </w:r>
      <w:r>
        <w:rPr>
          <w:rFonts w:ascii="Times New Roman" w:hAnsi="Times New Roman"/>
          <w:sz w:val="20"/>
        </w:rPr>
        <w:t xml:space="preserve">.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have to file an annual return of its shareholders with the Registrar of Companies; </w:t>
            </w:r>
          </w:p>
        </w:tc>
      </w:tr>
    </w:tbl>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75"/>
        <w:gridCol w:w="110"/>
        <w:gridCol w:w="60"/>
        <w:gridCol w:w="50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 not required to open its register of members for inspection;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does not have to hold an annual general meeting;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issue shares with no par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obtain an undertaking against the imposition of any future taxation (such undertakings are given for a period of up to 30 years);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75"/>
        <w:gridCol w:w="110"/>
        <w:gridCol w:w="60"/>
        <w:gridCol w:w="8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register by way of continuation in another jurisdiction and be deregistered in the Cayman Islands;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110"/>
        <w:gridCol w:w="60"/>
        <w:gridCol w:w="3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register as a limited duration company; and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may register as a segregated portfolio company. </w:t>
            </w:r>
          </w:p>
        </w:tc>
      </w:tr>
    </w:tbl>
    <w:p>
      <w:pPr>
        <w:pStyle w:val="TextBody"/>
        <w:bidi w:val="0"/>
        <w:spacing w:before="240" w:after="0"/>
        <w:jc w:val="left"/>
        <w:rPr/>
      </w:pPr>
      <w:r>
        <w:rPr/>
        <w:t>“</w:t>
      </w:r>
      <w:r>
        <w:rPr>
          <w:rFonts w:ascii="Times New Roman" w:hAnsi="Times New Roman"/>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 </w:t>
      </w:r>
    </w:p>
    <w:p>
      <w:pPr>
        <w:pStyle w:val="TextBody"/>
        <w:bidi w:val="0"/>
        <w:spacing w:before="24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xml:space="preserve">. 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 </w:t>
      </w:r>
    </w:p>
    <w:p>
      <w:pPr>
        <w:pStyle w:val="TextBody"/>
        <w:bidi w:val="0"/>
        <w:spacing w:before="240" w:after="0"/>
        <w:jc w:val="left"/>
        <w:rPr>
          <w:rFonts w:ascii="Times New Roman" w:hAnsi="Times New Roman"/>
          <w:sz w:val="20"/>
        </w:rPr>
      </w:pPr>
      <w:r>
        <w:rPr>
          <w:rFonts w:ascii="Times New Roman" w:hAnsi="Times New Roman"/>
          <w:sz w:val="20"/>
        </w:rPr>
        <w:t xml:space="preserve">The consent of each holder of a fixed or floating security interest over a constituent company is required unless this requirement is waived by a court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w:t>
      </w:r>
    </w:p>
    <w:p>
      <w:pPr>
        <w:pStyle w:val="TextBody"/>
        <w:bidi w:val="0"/>
        <w:spacing w:before="240" w:after="0"/>
        <w:jc w:val="left"/>
        <w:rPr>
          <w:rFonts w:ascii="Times New Roman" w:hAnsi="Times New Roman"/>
          <w:sz w:val="20"/>
        </w:rPr>
      </w:pPr>
      <w:r>
        <w:rPr>
          <w:rFonts w:ascii="Times New Roman" w:hAnsi="Times New Roman"/>
          <w:sz w:val="20"/>
        </w:rPr>
        <w:t xml:space="preserve">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75"/>
        <w:gridCol w:w="110"/>
        <w:gridCol w:w="6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statutory provisions as to the required majority vote have been met;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and the statutory majority are acting bona fide without coercion of the minority to promote interests adverse to those of the class;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such that may be reasonably approved by an intelligent and honest man of that class acting in respect of his interest; and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not one that would more properly be sanctioned under some other provision of the Companies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 </w:t>
      </w:r>
    </w:p>
    <w:p>
      <w:pPr>
        <w:pStyle w:val="TextBody"/>
        <w:bidi w:val="0"/>
        <w:spacing w:before="240" w:after="0"/>
        <w:jc w:val="left"/>
        <w:rPr>
          <w:rFonts w:ascii="Times New Roman" w:hAnsi="Times New Roman"/>
          <w:sz w:val="20"/>
        </w:rPr>
      </w:pPr>
      <w:r>
        <w:rPr>
          <w:rFonts w:ascii="Times New Roman" w:hAnsi="Times New Roman"/>
          <w:sz w:val="20"/>
        </w:rPr>
        <w:t xml:space="preserve">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 </w:t>
      </w:r>
    </w:p>
    <w:p>
      <w:pPr>
        <w:pStyle w:val="TextBody"/>
        <w:bidi w:val="0"/>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company acts or proposes to act illegally or ultra vires;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act complained of, although not ultra vires, could only be effected duly if authorized by more than a simple majority vote that has not been obtained; and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bidi w:val="0"/>
        <w:spacing w:before="240" w:after="0"/>
        <w:jc w:val="left"/>
        <w:rPr>
          <w:rFonts w:ascii="Times New Roman" w:hAnsi="Times New Roman"/>
          <w:sz w:val="20"/>
        </w:rPr>
      </w:pPr>
      <w:r>
        <w:rPr>
          <w:rFonts w:ascii="Times New Roman" w:hAnsi="Times New Roman"/>
          <w:i/>
          <w:sz w:val="20"/>
        </w:rPr>
        <w:t>Indemnification of Directors and Executive Officers and Limitation of Liability</w:t>
      </w:r>
      <w:r>
        <w:rPr>
          <w:rFonts w:ascii="Times New Roman" w:hAnsi="Times New Roman"/>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executive officers that provide such persons with additional indemnification beyond that provided in our memorandum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i/>
          <w:sz w:val="20"/>
        </w:rPr>
        <w:t>Directors’ Fiduciary Duties</w:t>
      </w:r>
      <w:r>
        <w:rPr>
          <w:rFonts w:ascii="Times New Roman" w:hAnsi="Times New Roman"/>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Shareholder Action by Written Resolution</w:t>
      </w:r>
      <w:r>
        <w:rPr>
          <w:rFonts w:ascii="Times New Roman" w:hAnsi="Times New Roman"/>
          <w:sz w:val="20"/>
        </w:rPr>
        <w:t xml:space="preserve">. Under the Delaware General Corporation Law, a corporation may eliminate the right of shareholders to act by written consent by amendment to its certificate of incorporation. Cayman Islands law and our articles of association provide that our shareholders may approve corporate matters by way of a unanimous written resolution signed by or on behalf of each shareholder who would have been entitled to vote on such matter at a general meeting without a meeting being held. </w:t>
      </w:r>
    </w:p>
    <w:p>
      <w:pPr>
        <w:pStyle w:val="TextBody"/>
        <w:bidi w:val="0"/>
        <w:spacing w:before="240" w:after="0"/>
        <w:jc w:val="left"/>
        <w:rPr>
          <w:rFonts w:ascii="Times New Roman" w:hAnsi="Times New Roman"/>
          <w:sz w:val="20"/>
        </w:rPr>
      </w:pPr>
      <w:r>
        <w:rPr>
          <w:rFonts w:ascii="Times New Roman" w:hAnsi="Times New Roman"/>
          <w:i/>
          <w:sz w:val="20"/>
        </w:rPr>
        <w:t>Shareholder Proposals</w:t>
      </w:r>
      <w:r>
        <w:rPr>
          <w:rFonts w:ascii="Times New Roman" w:hAnsi="Times New Roman"/>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provides shareholders with only limited rights to requisition a general meeting, and does not provide shareholders with any right to put any proposal before a general meeting. However, these rights may be provided in a company’s memorandum and articles of association. Our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As an exempted Cayman Islands company, we may but are not obliged by law to call shareholders’ annual general meetings. </w:t>
      </w:r>
    </w:p>
    <w:p>
      <w:pPr>
        <w:pStyle w:val="TextBody"/>
        <w:bidi w:val="0"/>
        <w:spacing w:before="240" w:after="0"/>
        <w:jc w:val="left"/>
        <w:rPr>
          <w:rFonts w:ascii="Times New Roman" w:hAnsi="Times New Roman"/>
          <w:sz w:val="20"/>
        </w:rPr>
      </w:pPr>
      <w:r>
        <w:rPr>
          <w:rFonts w:ascii="Times New Roman" w:hAnsi="Times New Roman"/>
          <w:i/>
          <w:sz w:val="20"/>
        </w:rPr>
        <w:t>Cumulative Voting</w:t>
      </w:r>
      <w:r>
        <w:rPr>
          <w:rFonts w:ascii="Times New Roman" w:hAnsi="Times New Roman"/>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of association do not provide for cumulative voting. As a result, our shareholders are not afforded any less protections or rights on this issue than shareholders of a Delaware corporation.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articles of association, directors may be removed with or without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 of association. </w:t>
      </w:r>
    </w:p>
    <w:p>
      <w:pPr>
        <w:pStyle w:val="TextBody"/>
        <w:bidi w:val="0"/>
        <w:spacing w:before="240" w:after="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w:t>
      </w:r>
    </w:p>
    <w:p>
      <w:pPr>
        <w:pStyle w:val="TextBody"/>
        <w:bidi w:val="0"/>
        <w:spacing w:before="240" w:after="0"/>
        <w:jc w:val="left"/>
        <w:rPr>
          <w:rFonts w:ascii="Times New Roman" w:hAnsi="Times New Roman"/>
          <w:sz w:val="20"/>
        </w:rPr>
      </w:pPr>
      <w:r>
        <w:rPr>
          <w:rFonts w:ascii="Times New Roman" w:hAnsi="Times New Roman"/>
          <w:i/>
          <w:sz w:val="20"/>
        </w:rPr>
        <w:t>Restructuring</w:t>
      </w:r>
      <w:r>
        <w:rPr>
          <w:rFonts w:ascii="Times New Roman" w:hAnsi="Times New Roman"/>
          <w:sz w:val="20"/>
        </w:rPr>
        <w:t xml:space="preserve">. A company may present a petition to the Grand Court of the Cayman Islands for the appointment of a restructuring officer on the grounds that the company: </w:t>
      </w:r>
    </w:p>
    <w:p>
      <w:pPr>
        <w:pStyle w:val="TextBody"/>
        <w:bidi w:val="0"/>
        <w:spacing w:before="120" w:after="0"/>
        <w:jc w:val="left"/>
        <w:rPr>
          <w:rFonts w:ascii="Times New Roman" w:hAnsi="Times New Roman"/>
          <w:sz w:val="20"/>
        </w:rPr>
      </w:pPr>
      <w:r>
        <w:rPr>
          <w:rFonts w:ascii="Times New Roman" w:hAnsi="Times New Roman"/>
          <w:sz w:val="20"/>
        </w:rPr>
        <w:t xml:space="preserve">(a) is or is likely to become unable to pay its debts; and </w:t>
      </w:r>
    </w:p>
    <w:p>
      <w:pPr>
        <w:pStyle w:val="TextBody"/>
        <w:bidi w:val="0"/>
        <w:spacing w:before="120" w:after="0"/>
        <w:jc w:val="left"/>
        <w:rPr>
          <w:rFonts w:ascii="Times New Roman" w:hAnsi="Times New Roman"/>
          <w:sz w:val="20"/>
        </w:rPr>
      </w:pPr>
      <w:r>
        <w:rPr>
          <w:rFonts w:ascii="Times New Roman" w:hAnsi="Times New Roman"/>
          <w:sz w:val="20"/>
        </w:rPr>
        <w:t xml:space="preserve">(b) intends to present a compromise or arrangement to its creditors (or classes thereof) either pursuant to the Companies Act, the law of a foreign country or by way of a consensual restructuring. </w:t>
      </w:r>
    </w:p>
    <w:p>
      <w:pPr>
        <w:pStyle w:val="TextBody"/>
        <w:bidi w:val="0"/>
        <w:spacing w:before="240" w:after="0"/>
        <w:jc w:val="left"/>
        <w:rPr>
          <w:rFonts w:ascii="Times New Roman" w:hAnsi="Times New Roman"/>
          <w:sz w:val="20"/>
        </w:rPr>
      </w:pPr>
      <w:r>
        <w:rPr>
          <w:rFonts w:ascii="Times New Roman" w:hAnsi="Times New Roman"/>
          <w:sz w:val="20"/>
        </w:rPr>
        <w:t xml:space="preserve">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 </w:t>
      </w:r>
    </w:p>
    <w:p>
      <w:pPr>
        <w:pStyle w:val="TextBody"/>
        <w:bidi w:val="0"/>
        <w:spacing w:before="240" w:after="0"/>
        <w:jc w:val="left"/>
        <w:rPr>
          <w:rFonts w:ascii="Times New Roman" w:hAnsi="Times New Roman"/>
          <w:sz w:val="20"/>
        </w:rPr>
      </w:pPr>
      <w:r>
        <w:rPr>
          <w:rFonts w:ascii="Times New Roman" w:hAnsi="Times New Roman"/>
          <w:i/>
          <w:sz w:val="20"/>
        </w:rPr>
        <w:t>Dissolution; Winding up</w:t>
      </w:r>
      <w:r>
        <w:rPr>
          <w:rFonts w:ascii="Times New Roman" w:hAnsi="Times New Roman"/>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articles of association, our company may be dissolved, liquidated or wound up by a special resolution of our shareholders. </w:t>
      </w:r>
    </w:p>
    <w:p>
      <w:pPr>
        <w:pStyle w:val="TextBody"/>
        <w:bidi w:val="0"/>
        <w:spacing w:before="240" w:after="0"/>
        <w:jc w:val="left"/>
        <w:rPr>
          <w:rFonts w:ascii="Times New Roman" w:hAnsi="Times New Roman"/>
          <w:sz w:val="20"/>
        </w:rPr>
      </w:pPr>
      <w:r>
        <w:rPr>
          <w:rFonts w:ascii="Times New Roman" w:hAnsi="Times New Roman"/>
          <w:i/>
          <w:sz w:val="20"/>
        </w:rPr>
        <w:t>Variation of Rights of Shares</w:t>
      </w:r>
      <w:r>
        <w:rPr>
          <w:rFonts w:ascii="Times New Roman" w:hAnsi="Times New Roman"/>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 </w:t>
      </w:r>
    </w:p>
    <w:p>
      <w:pPr>
        <w:pStyle w:val="TextBody"/>
        <w:bidi w:val="0"/>
        <w:spacing w:before="240" w:after="0"/>
        <w:jc w:val="left"/>
        <w:rPr>
          <w:rFonts w:ascii="Times New Roman" w:hAnsi="Times New Roman"/>
          <w:sz w:val="20"/>
        </w:rPr>
      </w:pPr>
      <w:r>
        <w:rPr>
          <w:rFonts w:ascii="Times New Roman" w:hAnsi="Times New Roman"/>
          <w:i/>
          <w:sz w:val="20"/>
        </w:rPr>
        <w:t>Amendment of Governing Documents</w:t>
      </w:r>
      <w:r>
        <w:rPr>
          <w:rFonts w:ascii="Times New Roman" w:hAnsi="Times New Roman"/>
          <w:sz w:val="20"/>
        </w:rPr>
        <w:t xml:space="preserve">. 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 </w:t>
      </w:r>
    </w:p>
    <w:p>
      <w:pPr>
        <w:pStyle w:val="TextBody"/>
        <w:bidi w:val="0"/>
        <w:spacing w:before="240" w:after="0"/>
        <w:jc w:val="left"/>
        <w:rPr>
          <w:rFonts w:ascii="Times New Roman" w:hAnsi="Times New Roman"/>
          <w:sz w:val="20"/>
        </w:rPr>
      </w:pPr>
      <w:r>
        <w:rPr>
          <w:rFonts w:ascii="Times New Roman" w:hAnsi="Times New Roman"/>
          <w:i/>
          <w:sz w:val="20"/>
        </w:rPr>
        <w:t>Rights of Non-resident or Foreign Shareholders</w:t>
      </w:r>
      <w:r>
        <w:rPr>
          <w:rFonts w:ascii="Times New Roman" w:hAnsi="Times New Roman"/>
          <w:sz w:val="20"/>
        </w:rPr>
        <w:t xml:space="preserve">. 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 Material Contracts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D. Exchange Controls </w:t>
      </w:r>
    </w:p>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Overview—PRC Regulation—Foreign Exchange.” </w:t>
      </w:r>
    </w:p>
    <w:p>
      <w:pPr>
        <w:pStyle w:val="TextBody"/>
        <w:bidi w:val="0"/>
        <w:spacing w:before="360" w:after="0"/>
        <w:jc w:val="left"/>
        <w:rPr>
          <w:rFonts w:ascii="Times New Roman" w:hAnsi="Times New Roman"/>
          <w:b/>
          <w:sz w:val="20"/>
        </w:rPr>
      </w:pPr>
      <w:r>
        <w:rPr>
          <w:rFonts w:ascii="Times New Roman" w:hAnsi="Times New Roman"/>
          <w:b/>
          <w:sz w:val="20"/>
        </w:rPr>
        <w:t xml:space="preserve">E.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of the material Cayman Islands, PRC and U.S. federal income tax consequences of an investment in the ADSs or our Class A ordinary shares is based upon laws and relevant interpretations thereof in effect as of the date of this annual report, all of which are subject to change. This summary does not deal with all possible tax consequences relating to an investment in the ADSs or our Class A ordinary shares, such as the tax consequences under U.S. state and local tax laws or under the tax laws of jurisdictions other than the Cayman Islands, PRC and the United States. To the extent that the discussion relates to matters of Cayman Islands tax law, it represents the opinion of Maples and Calder (Hong Kong) LLP, our counsel as to Cayman Islands law, and to the extent it relates to summary or description of PRC tax law, it represents the opinion of Zhong Lun Law Firm, our counsel as to PRC law. </w:t>
      </w:r>
    </w:p>
    <w:p>
      <w:pPr>
        <w:pStyle w:val="TextBody"/>
        <w:bidi w:val="0"/>
        <w:spacing w:before="360" w:after="0"/>
        <w:jc w:val="left"/>
        <w:rPr>
          <w:rFonts w:ascii="Times New Roman" w:hAnsi="Times New Roman"/>
          <w:b/>
          <w:sz w:val="20"/>
        </w:rPr>
      </w:pPr>
      <w:r>
        <w:rPr>
          <w:rFonts w:ascii="Times New Roman" w:hAnsi="Times New Roman"/>
          <w:b/>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be subject to Cayman Islands income or corporation tax. </w:t>
      </w:r>
    </w:p>
    <w:p>
      <w:pPr>
        <w:pStyle w:val="TextBody"/>
        <w:bidi w:val="0"/>
        <w:spacing w:before="360" w:after="0"/>
        <w:jc w:val="left"/>
        <w:rPr>
          <w:rFonts w:ascii="Times New Roman" w:hAnsi="Times New Roman"/>
          <w:b/>
          <w:sz w:val="20"/>
        </w:rPr>
      </w:pPr>
      <w:r>
        <w:rPr>
          <w:rFonts w:ascii="Times New Roman" w:hAnsi="Times New Roman"/>
          <w:b/>
          <w:sz w:val="20"/>
        </w:rPr>
        <w:t xml:space="preserve">PRC Taxation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EHang is not a PRC resident enterprise for PRC tax purposes. EHang is not controlled by a PRC enterprise or PRC enterprise group and we do not believe that EHang meets all of the conditions above. EHang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w:t>
      </w:r>
    </w:p>
    <w:p>
      <w:pPr>
        <w:pStyle w:val="TextBody"/>
        <w:bidi w:val="0"/>
        <w:spacing w:before="240" w:after="0"/>
        <w:jc w:val="left"/>
        <w:rPr>
          <w:rFonts w:ascii="Times New Roman" w:hAnsi="Times New Roman"/>
          <w:sz w:val="20"/>
        </w:rPr>
      </w:pPr>
      <w:r>
        <w:rPr>
          <w:rFonts w:ascii="Times New Roman" w:hAnsi="Times New Roman"/>
          <w:sz w:val="20"/>
        </w:rPr>
        <w:t xml:space="preserve">If the PRC tax authorities determine that EHang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EHang would be able to claim the benefits of any tax treaties between their country of tax residence and the PRC in the event that EHang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subsidiary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Provided that our Cayman Islands holding company, Ehang Holdings, is not deemed to be a PRC resident enterprise, holders of the ADSs and ordinary shares who are not PRC residents will not be subject to PRC income tax on dividends distributed by us or gains realized from the sale or other disposition of our shares or ADSs. SAT Public Notice 7 further clarifies that, if a non-resident enterprise derives income by acquiring and selling shares in an offshore listed enterprise in the public market, such income will not be subject to PRC tax. However, there is uncertainty as to the application of SAT Bulletin 37 and SAT Public Notice 7, we and our non-PRC resident investors may be at risk of being required to file a return and being taxed under SAT Bulletin 37 and SAT Public Notice 7 and we may be required to expend valuable resources to comply with SAT Bulletin 37 and SAT Public Notice 7 or to establish that we should not be taxed under SAT Bulletin 37 and SAT Public Notice 7. See “Item 3. Key Information—D. Risk Factors—Risks Relating to Doing Business in China—We face uncertainty with respect to indirect transfers of equity interests in PRC resident enterprises by their non-PRC holding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 Federal Income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certain material U.S. federal income tax considerations generally applicable to the ownership and disposition of the ADSs or ordinary shares by a U.S. Holder (as defined below) that holds the ADSs or ordinary shares as “capital assets” (generally, property held for investment) under the U.S. Internal Revenue Code of 1986, as amended, or the Code. This discussion is based upon existing U.S. federal income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and alternative minimum tax considerations, any election to apply Section 1400Z-2 of the Code to gains recognized with respect to sales or other dispositions of the ADSs or ordinary shares, special accounting rules under Section 451(b) of the Code, or any state, local or non-U.S. tax considerations, relating to the ownership or disposition of the ADSs or ordinary shares. The following summary also does not address all aspects of U.S. federal income taxation that may be important to particular investors in light of their individual circumstances or to persons in special tax situations such as: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banks and other financial institutions;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110"/>
        <w:gridCol w:w="60"/>
        <w:gridCol w:w="1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pension plans; </w:t>
            </w:r>
          </w:p>
        </w:tc>
      </w:tr>
    </w:tbl>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75"/>
        <w:gridCol w:w="110"/>
        <w:gridCol w:w="60"/>
        <w:gridCol w:w="1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cooperatives; </w:t>
            </w:r>
          </w:p>
        </w:tc>
      </w:tr>
    </w:tbl>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110"/>
        <w:gridCol w:w="6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w:t>
            </w:r>
          </w:p>
        </w:tc>
      </w:tr>
    </w:tbl>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75"/>
        <w:gridCol w:w="110"/>
        <w:gridCol w:w="60"/>
        <w:gridCol w:w="1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broker-dealers;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that elect to use a mark-to-market method of accounting; </w:t>
            </w:r>
          </w:p>
        </w:tc>
      </w:tr>
    </w:tbl>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75"/>
        <w:gridCol w:w="110"/>
        <w:gridCol w:w="60"/>
        <w:gridCol w:w="4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U.S. citizens or long-term residents;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(including private foundations);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governmental organizations;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who acquire their ADSs or ordinary shares pursuant to any employee share option or otherwise as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that will hold their ADSs or ordinary shares as part of a straddle, hedge, conversion, constructive sale or other integrated transaction for U.S. federal income tax purposes;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that have a functional currency other than the U.S. dollar;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that actually or constructively own 10% or more of our stock (by vote or value);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taxable as partnerships for U.S. federal income tax purposes, or persons holding ADSs or ordinary shares through such entities,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whom may be subject to tax rules that differ significantly from those discussed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U.S. Holder is urged to consult its tax advisor regarding the U.S. federal, state and local and non-U.S. tax considerations of owning and disposing of the ADSs or ordinary shares in its particular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 beneficial owner of the ADSs or ordinary shares that is, for U.S. federal income tax purposes: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in or organized under the law of the United States or any state thereof or the District of Columbia;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U.S. federal income tax purposes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partnership for U.S. federal income tax purposes) is a beneficial owner of ADSs or ordinary shares, the tax treatment of a partner in the partnership will generally depend upon the status of the partner and the activities of the partnership. Partnerships holding the ADSs or ordinary shares and their partners are urged to consult their tax advisors regarding an investment in the ADSs or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 The U.S. Treasury has expressed concerns that intermediaries in the chain of ownership between a U.S. Holder of an ADS and the issuer of the underlying share may be taking actions inconsistent with the beneficial ownership of the underlying share. Accordingly, the creditability of foreign taxes, if any, could be affected by actions taken by such intermediaries if, as a result of such actions, the U.S. Holder of the ADS is not properly treated as the beneficial owner of the underlying share.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distributions paid on the ADSs or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 received deduction allowed to corporations in respect of dividends received from U.S. corporations.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Subject to applicable limitations, dividends paid to certain non-corporate U.S. Holders may be taxable at reduced rates. Non-corporate U.S. Holders should consult their tax advisers regarding the availability of these reduced tax rates in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Dividends will generally be treated as income from foreign sources for United States foreign tax credit purposes and will generally constitute passive category income. In the event that we are deemed to be a PRC resident enterprise under the PRC Enterprise Income Tax Law, a U.S. Holder may be subject to PRC withholding taxes on dividends paid on the ADSs or ordinary shares (see “Item 10. Additional Information—E. Taxation—PRC Taxation”). For U.S. federal income tax purposes, the amount of the dividend income will include amounts withheld in respect of PRC withholding tax,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the ADSs or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under “—Passive Foreign Investment Company Rules,” a U.S. Holder will generally recognize gain or loss upon the sale or other disposition of the ADSs or ordinary shares in an amount equal to the difference between the amount realized upon the disposition and such holder’s adjusted tax basis in such ADSs or ordinary shares. The gain or loss will generally be capital gain or loss. Any capital gain or loss will be long-term if the ADSs or ordinary shares have been held for more than one year. The deductibility of a capital loss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Any such gain or loss that the U.S. Holder recognizes will generally be treated as U.S.-source income or loss for foreign tax credit limitation purposes, which will generally limit the availability of foreign tax credits. However, in the event we are deemed to be a PRC resident enterprise under the PRC Enterprise Income Tax Law, we may be eligible for the benefits of the United States-PRC income tax treaty. In such event, if PRC tax were to be imposed on any gain from the disposition of the ADSs or ordinary shares, a U.S. Holder that is eligible for the benefits of the United States-PRC income tax treaty may elect to treat such gain as PRC source income. If a U.S. Holder is not eligible for the benefits of the United States-PRC income tax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Each U.S. Holder is advised to consult its tax advisors regarding the tax consequences if a foreign tax is imposed on a disposition of the ADSs or ordinary shares, including the availability of the foreign tax credit under its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A non-U.S. corporation, such as our company, will be classified as a PFIC if, in the case of any particular taxable year,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generally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For purposes of these rules, we will be treated as owning a proportionate share of the assets and earning a proportionate share of the income of any other corporation in which we own, directly or indirectly, more than 25% (by value) of the stock. Although the law in this regard is unclear, we intend to treat the VIE and the VIE’s subsidiaries as being owned by us for U.S. federal income tax purposes, not only because we have the power to direct the significant activities of such entities but also because we are entitled to substantially all of their economic benefits and, as a result, we consolidate their results of operations in our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Based on our analysis of our activities as well as the composition of our income and valuation of our assets, including goodwill, we do not believe we were a PFIC for U.S. federal income tax purposes for the taxable year ended December 31, 2024. However, our PFIC status for any taxable year is a factual determination that can be made only after the end of such year, and will depend on the composition of our income and assets and the value of our assets for such year. Moreover, because we hold, and may continue to hold, a significant amount of cash, our PFIC status for any taxable year may depend on the value of our goodwill which may be determined, in part, by reference to the market price of the ADSs, which may change from time to time. In addition, it is not entirely clear how the contractual arrangements between us and the VIE will be treated for purposes of the PFIC rules. If it were determined that we are not the owner of the stock of the VIE for U.S. federal income tax purposes, we could be treated as a PFIC. In light of the foregoing, there can be no assurance that we were not, or will not be, a PFIC for any taxable year. Our U.S. counsel expresses no opinion with respect to our PFIC status for any taxable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are a PFIC for any taxable year during which a U.S. Holder holds the ADSs or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the ADSs or ordinary shares. Under the PFIC rules: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excess distribution or gain will be allocated ratably over the U.S. Holder’s holding period for the ADSs or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the current taxable year and any taxable years in the U.S. Holder’s holding period prior to the first taxable year in which we are classified as a PFIC (each, a “pre-PFIC year”) will be taxable as ordinary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allocated to each prior taxable year, other than a pre-PFIC year, will be subject to tax at the highest tax rate in effect for individuals or corporations, as appropriate, for that year;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interest charge generally applicable to underpayments of tax will be imposed on the tax attributable to each prior taxable year, other than a pre-PFIC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holds the ADSs or ordinary shares and any of our subsidiaries, the VIE or any of the subsidiaries of the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 or any of the subsidiaries of the VIE. </w:t>
      </w:r>
    </w:p>
    <w:p>
      <w:pPr>
        <w:pStyle w:val="TextBody"/>
        <w:bidi w:val="0"/>
        <w:spacing w:before="240" w:after="0"/>
        <w:jc w:val="left"/>
        <w:rPr>
          <w:rFonts w:ascii="Times New Roman" w:hAnsi="Times New Roman"/>
          <w:sz w:val="20"/>
        </w:rPr>
      </w:pPr>
      <w:r>
        <w:rPr>
          <w:rFonts w:ascii="Times New Roman" w:hAnsi="Times New Roman"/>
          <w:sz w:val="20"/>
        </w:rPr>
        <w:t xml:space="preserve">As an alternative to the foregoing rules, a U.S. Holder of “marketable stock” (as defined below) in a PFIC may make a mark-to-market election with respect to such stock. If we are a PFIC and a U.S. Holder makes this election with respect to the ADSs, the holder will generally (i) include as ordinary income for each taxable year that we are a PFIC the excess, if any, of the fair market value of the ADSs held at the end of the taxable year over the adjusted tax basis of such ADSs and (ii) deduct as an ordinary loss in each such taxable year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which is stock that is regularly traded on a qualified exchange or other market as defined in applicable U.S. Treasury Regulations. The ADSs will be treated as “regularly traded” for any calendar year in which more than a </w:t>
      </w:r>
      <w:r>
        <w:rPr>
          <w:rFonts w:ascii="Times New Roman" w:hAnsi="Times New Roman"/>
          <w:i/>
          <w:sz w:val="20"/>
        </w:rPr>
        <w:t xml:space="preserve">de minimis </w:t>
      </w:r>
      <w:r>
        <w:rPr>
          <w:rFonts w:ascii="Times New Roman" w:hAnsi="Times New Roman"/>
          <w:sz w:val="20"/>
        </w:rPr>
        <w:t xml:space="preserve">quantity of the ADSs are traded on a qualified exchange for at least 15 days during each calendar quarter. The Nasdaq Global Market, where the ADSs are listed, is a qualified exchange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intend to provide information necessary for U.S. Holders to make qualified electing fund elections which, if available, would result in tax treatment different from (and generally less adverse than) the general tax treatment for PFICs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owns the ADSs or ordinary shares during any taxable year that we are a PFIC, the holder must generally file an annual IRS Form 8621 or such other form as is required by the U.S. Treasury Department. Each U.S. Holder is advised to consult its tax advisor regarding the potential tax consequences to such holder if we were, are or become a PFIC, including the possibility of making a mark-to-market election.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sales proceeds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The amount of any backup withholding from a payment to a U.S. Holder will be allowed as a credit against the U.S. Holder’s U.S. federal income tax liability and may entitle it to a refund, provided that the required information is timely furnished to the IRS. Certain U.S. Holders who are individuals (or certain specified entities) may be required to report information relating to their ownership of the ADSs or ordinary shares, unless the ADSs or ordinary shares are held in accounts at financial institutions (in which case the accounts may be reportable if maintained by non-U.S. financial institutions). U.S. Holders should consult their tax advisers regarding their reporting obligations with respect to the ADSs or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F. Dividends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G. Statement by Experts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H. Documents on Display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and our executive officers, directors and principal shareholders are not subject to the insider short-swing profit disclosure and recovery provisions of Section 16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All information that we have filed with the SEC can be accessed through the SEC’s website at www.sec.gov. This information can also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The Bank of New York Mellon, the depositary of the ADSs,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Nasdaq Stock Market Rule 5250(d), we will post this annual report on Form 20-F on our website at </w:t>
      </w:r>
      <w:r>
        <w:rPr>
          <w:rFonts w:ascii="Times New Roman" w:hAnsi="Times New Roman"/>
          <w:i/>
          <w:sz w:val="20"/>
        </w:rPr>
        <w:t>ir.ehang.com</w:t>
      </w:r>
      <w:r>
        <w:rPr>
          <w:rFonts w:ascii="Times New Roman" w:hAnsi="Times New Roman"/>
          <w:sz w:val="20"/>
        </w:rPr>
        <w:t xml:space="preserve">. In addition, we will provide hard copies of our annual report free of charge to shareholders and ADS holders upon request. </w:t>
      </w:r>
    </w:p>
    <w:p>
      <w:pPr>
        <w:pStyle w:val="TextBody"/>
        <w:bidi w:val="0"/>
        <w:spacing w:before="360" w:after="0"/>
        <w:jc w:val="left"/>
        <w:rPr>
          <w:rFonts w:ascii="Times New Roman" w:hAnsi="Times New Roman"/>
          <w:b/>
          <w:sz w:val="20"/>
        </w:rPr>
      </w:pPr>
      <w:r>
        <w:rPr>
          <w:rFonts w:ascii="Times New Roman" w:hAnsi="Times New Roman"/>
          <w:b/>
          <w:sz w:val="20"/>
        </w:rPr>
        <w:t xml:space="preserve">I. Subsidiary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845"/>
        <w:gridCol w:w="5135"/>
      </w:tblGrid>
      <w:tr>
        <w:trPr/>
        <w:tc>
          <w:tcPr>
            <w:tcW w:w="845" w:type="dxa"/>
            <w:tcBorders/>
            <w:vAlign w:val="center"/>
          </w:tcPr>
          <w:p>
            <w:pPr>
              <w:pStyle w:val="TableContents"/>
              <w:bidi w:val="0"/>
              <w:spacing w:before="0" w:after="283"/>
              <w:jc w:val="left"/>
              <w:rPr>
                <w:b/>
              </w:rPr>
            </w:pPr>
            <w:bookmarkStart w:id="18" w:name="txa39307_16"/>
            <w:bookmarkEnd w:id="18"/>
            <w:r>
              <w:rPr>
                <w:b/>
              </w:rPr>
              <w:t>Item 11.</w:t>
            </w:r>
          </w:p>
        </w:tc>
        <w:tc>
          <w:tcPr>
            <w:tcW w:w="5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Foreign Currency Exchange Rate Risk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a majority of our revenues and expenses were denominated in RMB. We expect that in the future a substantial portion of our revenues will be denominated in foreign currencies as our business and operations expand in overseas markets. As a result, we are exposed to increased foreign exchange risks for U.S. dollar and other currencies. Any significant revaluation of Renminbi against U.S. dollar may adversely affect our cash flow, earnings, and financial position, and the value of, and any dividends payable on, our ordinary shares and the ADSs. As of December 31, 2025, a 1% strengthening or weakening of Renminbi against U.S. dollars would have increased or decreased our net loss by 0.13%. See “Item 3. Key Information—D. Risk Factors—Risks Relating to Doing Business in China—Future movements in exchange rates between U.S. dollars and Renminbi may adversely affect the value of our ordinary shares or the ADSs.”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 or for other business purposes, appreciation of the U.S. dollar against the Renminbi would reduce the U.S. dollar amounts available to us.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We have not been exposed to material risks due to changes in interest rates, and we have not used any derivative financial instruments to manage our interest risk exposure. </w:t>
      </w:r>
    </w:p>
    <w:p>
      <w:pPr>
        <w:pStyle w:val="TextBody"/>
        <w:bidi w:val="0"/>
        <w:spacing w:before="240" w:after="0"/>
        <w:jc w:val="left"/>
        <w:rPr>
          <w:rFonts w:ascii="Times New Roman" w:hAnsi="Times New Roman"/>
          <w:sz w:val="20"/>
        </w:rPr>
      </w:pPr>
      <w:r>
        <w:rPr>
          <w:rFonts w:ascii="Times New Roman" w:hAnsi="Times New Roman"/>
          <w:sz w:val="20"/>
        </w:rPr>
        <w:t xml:space="preserve">Our exposure to interest rate risk primarily relates to excess cash invested in short-term investments.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 </w:t>
      </w:r>
    </w:p>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845"/>
        <w:gridCol w:w="4580"/>
      </w:tblGrid>
      <w:tr>
        <w:trPr/>
        <w:tc>
          <w:tcPr>
            <w:tcW w:w="845" w:type="dxa"/>
            <w:tcBorders/>
            <w:vAlign w:val="center"/>
          </w:tcPr>
          <w:p>
            <w:pPr>
              <w:pStyle w:val="TableContents"/>
              <w:bidi w:val="0"/>
              <w:spacing w:before="0" w:after="283"/>
              <w:jc w:val="left"/>
              <w:rPr>
                <w:b/>
              </w:rPr>
            </w:pPr>
            <w:bookmarkStart w:id="19" w:name="txa39307_17"/>
            <w:bookmarkEnd w:id="19"/>
            <w:r>
              <w:rPr>
                <w:b/>
              </w:rPr>
              <w:t>Item 12.</w:t>
            </w:r>
          </w:p>
        </w:tc>
        <w:tc>
          <w:tcPr>
            <w:tcW w:w="4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Other than Equity Securities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B. Warrants and Rights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C. Other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 American Depositary Shares </w:t>
      </w:r>
    </w:p>
    <w:p>
      <w:pPr>
        <w:pStyle w:val="TextBody"/>
        <w:bidi w:val="0"/>
        <w:spacing w:before="120" w:after="0"/>
        <w:jc w:val="left"/>
        <w:rPr>
          <w:rFonts w:ascii="Times New Roman" w:hAnsi="Times New Roman"/>
          <w:b/>
          <w:i/>
          <w:sz w:val="20"/>
        </w:rPr>
      </w:pPr>
      <w:r>
        <w:rPr>
          <w:rFonts w:ascii="Times New Roman" w:hAnsi="Times New Roman"/>
          <w:b/>
          <w:i/>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Bank of New York Mellon, as depositary, is responsible for registering and delivering American Depositary Shares, also referred to as ADSs. Each ADS represents two Class A ordinary shares (or a right to receive two Class A ordinary shares) deposited with The Hongkong and Shanghai Banking Corporation Limited, as custodian for the depositary in Hong Kong.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being administered and its principal executive office are each located at 240 Greenwich Street, New York, New York 10286. </w:t>
      </w:r>
    </w:p>
    <w:p>
      <w:pPr>
        <w:pStyle w:val="TextBody"/>
        <w:bidi w:val="0"/>
        <w:spacing w:before="240" w:after="0"/>
        <w:jc w:val="left"/>
        <w:rPr>
          <w:rFonts w:ascii="Times New Roman" w:hAnsi="Times New Roman"/>
          <w:sz w:val="20"/>
        </w:rPr>
      </w:pPr>
      <w:r>
        <w:rPr>
          <w:rFonts w:ascii="Times New Roman" w:hAnsi="Times New Roman"/>
          <w:sz w:val="20"/>
        </w:rPr>
        <w:t xml:space="preserve">An ADS holder will be required to pay the following fees under the terms of the deposit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76"/>
        <w:gridCol w:w="120"/>
        <w:gridCol w:w="4509"/>
      </w:tblGrid>
      <w:tr>
        <w:trPr/>
        <w:tc>
          <w:tcPr>
            <w:tcW w:w="55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09" w:type="dxa"/>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Persons depositing or withdrawing shares or ADS holders must pay</w:t>
            </w:r>
          </w:p>
        </w:tc>
        <w:tc>
          <w:tcPr>
            <w:tcW w:w="120" w:type="dxa"/>
            <w:tcBorders/>
            <w:vAlign w:val="center"/>
          </w:tcPr>
          <w:p>
            <w:pPr>
              <w:pStyle w:val="TableContents"/>
              <w:bidi w:val="0"/>
              <w:spacing w:before="0" w:after="283"/>
              <w:jc w:val="left"/>
              <w:rPr/>
            </w:pPr>
            <w:r>
              <w:rPr/>
              <w:t>  </w:t>
            </w:r>
          </w:p>
        </w:tc>
        <w:tc>
          <w:tcPr>
            <w:tcW w:w="450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16"/>
              </w:rPr>
            </w:pPr>
            <w:r>
              <w:rPr>
                <w:rFonts w:ascii="Times New Roman" w:hAnsi="Times New Roman"/>
                <w:sz w:val="16"/>
              </w:rPr>
              <w:t>For</w:t>
            </w:r>
          </w:p>
        </w:tc>
      </w:tr>
      <w:tr>
        <w:trPr/>
        <w:tc>
          <w:tcPr>
            <w:tcW w:w="5576" w:type="dxa"/>
            <w:tcBorders/>
            <w:vAlign w:val="center"/>
          </w:tcPr>
          <w:p>
            <w:pPr>
              <w:pStyle w:val="TableContents"/>
              <w:bidi w:val="0"/>
              <w:spacing w:before="0" w:after="283"/>
              <w:jc w:val="left"/>
              <w:rPr/>
            </w:pPr>
            <w:r>
              <w:rPr/>
              <w:t>$5.00 (or less) per 100 ADSs (or portion of 100 ADSs)</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Issuance of ADSs, including issuances resulting from a distribution of shares or rights or other property</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Cancellation of ADSs for the purpose of withdrawal, including if the deposit agreement terminates</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$0.05 (or less) per ADS</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Any cash distribution to ADS holders</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A fee equivalent to the fee that would be payable if securities distributed to you had been shares and the shares had been deposited for issuance of ADSs</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Distribution of securities distributed to holders of deposited securities (including rights) that are distributed by the depositary to ADS holders</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$.05 (or less) per ADS per calendar year</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Depositary services</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Registration or transfer fees</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Transfer and registration of shares on our share register to or from the name of the depositary or its agent when you deposit or withdraw shares</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Expenses of the depositary</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Cable (including SWIFT) and facsimile transmissions (when expressly provided in the deposit agreement)</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Converting foreign currency to U.S. dollars</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Taxes and other governmental charges the depositary or the custodian has to pay on any ADSs or shares underlying ADSs, such as stock transfer taxes, stamp duty or withholding taxes</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As necessary</w:t>
            </w:r>
          </w:p>
        </w:tc>
      </w:tr>
      <w:tr>
        <w:trPr/>
        <w:tc>
          <w:tcPr>
            <w:tcW w:w="5576" w:type="dxa"/>
            <w:tcBorders/>
            <w:vAlign w:val="center"/>
          </w:tcPr>
          <w:p>
            <w:pPr>
              <w:pStyle w:val="TableContents"/>
              <w:bidi w:val="0"/>
              <w:spacing w:before="0" w:after="283"/>
              <w:jc w:val="left"/>
              <w:rPr>
                <w:sz w:val="4"/>
                <w:szCs w:val="4"/>
              </w:rPr>
            </w:pPr>
            <w:r>
              <w:rPr>
                <w:sz w:val="4"/>
                <w:szCs w:val="4"/>
              </w:rPr>
            </w:r>
          </w:p>
        </w:tc>
        <w:tc>
          <w:tcPr>
            <w:tcW w:w="4629" w:type="dxa"/>
            <w:gridSpan w:val="2"/>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283"/>
              <w:jc w:val="left"/>
              <w:rPr/>
            </w:pPr>
            <w:r>
              <w:rPr/>
              <w:t>Any charges incurred by the depositary or its agents for servicing the deposited securities</w:t>
            </w:r>
          </w:p>
        </w:tc>
        <w:tc>
          <w:tcPr>
            <w:tcW w:w="120" w:type="dxa"/>
            <w:tcBorders/>
            <w:vAlign w:val="center"/>
          </w:tcPr>
          <w:p>
            <w:pPr>
              <w:pStyle w:val="TableContents"/>
              <w:bidi w:val="0"/>
              <w:spacing w:before="0" w:after="283"/>
              <w:jc w:val="left"/>
              <w:rPr/>
            </w:pPr>
            <w:r>
              <w:rPr/>
              <w:t>  </w:t>
            </w:r>
          </w:p>
        </w:tc>
        <w:tc>
          <w:tcPr>
            <w:tcW w:w="4509" w:type="dxa"/>
            <w:tcBorders/>
            <w:vAlign w:val="center"/>
          </w:tcPr>
          <w:p>
            <w:pPr>
              <w:pStyle w:val="TableContents"/>
              <w:bidi w:val="0"/>
              <w:spacing w:before="0" w:after="0"/>
              <w:jc w:val="left"/>
              <w:rPr/>
            </w:pPr>
            <w:r>
              <w:rPr/>
              <w:t>•</w:t>
            </w:r>
          </w:p>
          <w:p>
            <w:pPr>
              <w:pStyle w:val="TableContents"/>
              <w:bidi w:val="0"/>
              <w:spacing w:before="0" w:after="0"/>
              <w:jc w:val="left"/>
              <w:rPr>
                <w:rFonts w:ascii="Times New Roman" w:hAnsi="Times New Roman"/>
              </w:rPr>
            </w:pPr>
            <w:r>
              <w:rPr>
                <w:rFonts w:ascii="Times New Roman" w:hAnsi="Times New Roman"/>
              </w:rPr>
              <w:t>As necessary</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Fees and Other Payments Made by the Depositary to us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For the year ended December 31, 2025, we received US$0.2 million in reimbursement from the depositary for our expenses incurred in connection with the establishment and maintenance of the ADS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ADS holders will be responsible for any taxes or other governmental charges payable on the ADSs or on the deposited securities represented by any of the ADSs. The depositary may refuse to register any transfer of ADSs or allow holders thereof to withdraw the deposited securities represented by the ADSs until those taxes or other charges are paid. It may apply payments owed to ADS holders or sell deposited securities represented by the ADSs to pay any taxes owed and the ADS holders will remain liable for any deficiency. If the depositary sells deposited securities, it will, if appropriate, reduce the number of ADSs to reflect the sale and pay to ADS holders any proceeds, or send to ADS holders any property, remaining after it has paid the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0" w:name="txa39307_18"/>
      <w:bookmarkEnd w:id="20"/>
      <w:r>
        <w:rPr>
          <w:rFonts w:ascii="Times New Roman" w:hAnsi="Times New Roman"/>
          <w:b/>
          <w:sz w:val="20"/>
        </w:rPr>
        <w:t xml:space="preserve">PART II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845"/>
        <w:gridCol w:w="4220"/>
      </w:tblGrid>
      <w:tr>
        <w:trPr/>
        <w:tc>
          <w:tcPr>
            <w:tcW w:w="845" w:type="dxa"/>
            <w:tcBorders/>
            <w:vAlign w:val="center"/>
          </w:tcPr>
          <w:p>
            <w:pPr>
              <w:pStyle w:val="TableContents"/>
              <w:bidi w:val="0"/>
              <w:spacing w:before="0" w:after="283"/>
              <w:jc w:val="left"/>
              <w:rPr>
                <w:b/>
              </w:rPr>
            </w:pPr>
            <w:bookmarkStart w:id="21" w:name="txa39307_19"/>
            <w:bookmarkEnd w:id="21"/>
            <w:r>
              <w:rPr>
                <w:b/>
              </w:rPr>
              <w:t>Item 13.</w:t>
            </w:r>
          </w:p>
        </w:tc>
        <w:tc>
          <w:tcPr>
            <w:tcW w:w="42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Dividend Arrearages and Delinquencies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845"/>
        <w:gridCol w:w="6545"/>
      </w:tblGrid>
      <w:tr>
        <w:trPr/>
        <w:tc>
          <w:tcPr>
            <w:tcW w:w="845" w:type="dxa"/>
            <w:tcBorders/>
            <w:vAlign w:val="center"/>
          </w:tcPr>
          <w:p>
            <w:pPr>
              <w:pStyle w:val="TableContents"/>
              <w:bidi w:val="0"/>
              <w:spacing w:before="0" w:after="283"/>
              <w:jc w:val="left"/>
              <w:rPr>
                <w:b/>
              </w:rPr>
            </w:pPr>
            <w:bookmarkStart w:id="22" w:name="txa39307_20"/>
            <w:bookmarkEnd w:id="22"/>
            <w:r>
              <w:rPr>
                <w:b/>
              </w:rPr>
              <w:t>Item 14.</w:t>
            </w:r>
          </w:p>
        </w:tc>
        <w:tc>
          <w:tcPr>
            <w:tcW w:w="65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Modifications to the Rights of Security Holders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10. Additional Information—B. Memorandum and Articles of Association—Ordinary Shares” for a description of the rights of securities holders, which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845"/>
        <w:gridCol w:w="2180"/>
      </w:tblGrid>
      <w:tr>
        <w:trPr/>
        <w:tc>
          <w:tcPr>
            <w:tcW w:w="845" w:type="dxa"/>
            <w:tcBorders/>
            <w:vAlign w:val="center"/>
          </w:tcPr>
          <w:p>
            <w:pPr>
              <w:pStyle w:val="TableContents"/>
              <w:bidi w:val="0"/>
              <w:spacing w:before="0" w:after="283"/>
              <w:jc w:val="left"/>
              <w:rPr>
                <w:b/>
              </w:rPr>
            </w:pPr>
            <w:bookmarkStart w:id="23" w:name="txa39307_21"/>
            <w:bookmarkEnd w:id="23"/>
            <w:r>
              <w:rPr>
                <w:b/>
              </w:rPr>
              <w:t>Item 15.</w:t>
            </w:r>
          </w:p>
        </w:tc>
        <w:tc>
          <w:tcPr>
            <w:tcW w:w="2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Based upon that evaluation, our chief executive officer and chief financial officer have concluded that, as of December 31, 2025, our disclosure controls and procedures were ineffective because of the material weakness in our internal control over financial reporting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material weakness in our internal control over financial reporting, we believe that our consolidated financial statements included in this annual report fairly present, in all material respects, our financial position, results of operations and cash flows for the fiscal years covered thereby in accordance with U.S. GAAP.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Exchange Act Rules 13a-15(f) and 15d-15(f)). Our management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ineffective as of December 31, 2025, due to the material weakness in our internal control over financial reporting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We identified a material weakness in our internal control over financial reporting, as we lacked effective controls over revenue from air mobility solutions. Specifically, we did not effectively assess the probability to collect substantially all of the consideration from the customers prior to recognizing revenue. This material weakness, resulted in material errors in our previously announced unaudited financial information for the three and six months ended June 30, 2025, the three and nine months ended September 30, 2025, and the three months and year ended December 31, 2025. Corrections to the 2025 interim and annual periods have been made to the revenue and accounts receivable, net, and the corresponding financial statement line items, including contract liabilities, accrued expenses and other liabilities, cost of revenues and prepayments and other current assets, the expected credit losses on accounts receivable, warranty costs and related balance, and relevant accounts for value-added tax and income tax. Additionally, until we remediate the material weakness identified, it could result in material misstatements to our annual consolidated financial statements that would not be prevented or detected on a timely basis. </w:t>
      </w:r>
    </w:p>
    <w:p>
      <w:pPr>
        <w:pStyle w:val="TextBody"/>
        <w:bidi w:val="0"/>
        <w:spacing w:before="240" w:after="0"/>
        <w:jc w:val="left"/>
        <w:rPr>
          <w:rFonts w:ascii="Times New Roman" w:hAnsi="Times New Roman"/>
          <w:sz w:val="20"/>
        </w:rPr>
      </w:pPr>
      <w:r>
        <w:rPr>
          <w:rFonts w:ascii="Times New Roman" w:hAnsi="Times New Roman"/>
          <w:sz w:val="20"/>
        </w:rPr>
        <w:t xml:space="preserve">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Attestation Report of the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Our independent registered public accounting firm, PricewaterhouseCoopers Zhong Tian LLP, has audited the effectiveness of our internal control over financial reporting as of December 31, 2025 as stated in its report, which is included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Remediation Activities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undergone a comprehensive review of the material weakness and is actively engaged in the planning for and designing of controls to remediate the material weakness. Additional time is required to complete the design and test the operating effectiveness of the applicable controls to demonstrate the effectiveness of the remediation efforts. The material weakness cannot be considered remediated until applicable remedial controls operate for a sufficient period of time and management has concluded, through testing, that these controls are operating effectively.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Other than as described above, there were no changes in our internal control over financial reporting that occurred during the year ended December 31, 2025 that have materially affected, or are reasonably likely to materially affect, our internal control over financial reporting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bookmarkStart w:id="24" w:name="txa39307_22"/>
            <w:bookmarkEnd w:id="24"/>
            <w:r>
              <w:rPr>
                <w:b/>
              </w:rPr>
              <w:t>Item 16A.</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Audit Committee Financial Expert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determined that Mr. Wing Kee Lau, an independent director (under the standards set forth in Nasdaq Stock Market Rule 5605(a)(2) and Rule 10A-3 under the Exchange Act) and member of our audit committee, is an audit committee financial expert.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1010"/>
        <w:gridCol w:w="1295"/>
      </w:tblGrid>
      <w:tr>
        <w:trPr/>
        <w:tc>
          <w:tcPr>
            <w:tcW w:w="1010" w:type="dxa"/>
            <w:tcBorders/>
            <w:vAlign w:val="center"/>
          </w:tcPr>
          <w:p>
            <w:pPr>
              <w:pStyle w:val="TableContents"/>
              <w:bidi w:val="0"/>
              <w:spacing w:before="0" w:after="283"/>
              <w:jc w:val="left"/>
              <w:rPr>
                <w:b/>
              </w:rPr>
            </w:pPr>
            <w:bookmarkStart w:id="25" w:name="txa39307_23"/>
            <w:bookmarkEnd w:id="25"/>
            <w:r>
              <w:rPr>
                <w:b/>
              </w:rPr>
              <w:t>Item 16B.</w:t>
            </w:r>
          </w:p>
        </w:tc>
        <w:tc>
          <w:tcPr>
            <w:tcW w:w="1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Code of Ethics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w:t>
      </w:r>
      <w:r>
        <w:rPr>
          <w:rFonts w:ascii="Times New Roman" w:hAnsi="Times New Roman"/>
          <w:i/>
          <w:sz w:val="20"/>
        </w:rPr>
        <w:t>ir.ehang.com</w:t>
      </w:r>
      <w:r>
        <w:rPr>
          <w:rFonts w:ascii="Times New Roman" w:hAnsi="Times New Roman"/>
          <w:sz w:val="20"/>
        </w:rPr>
        <w:t xml:space="preserve">. </w:t>
      </w:r>
    </w:p>
    <w:p>
      <w:pPr>
        <w:pStyle w:val="TextBody"/>
        <w:bidi w:val="0"/>
        <w:spacing w:before="0" w:after="0"/>
        <w:jc w:val="left"/>
        <w:rPr/>
      </w:pPr>
      <w:r>
        <w:rPr/>
        <w:t> </w:t>
      </w:r>
    </w:p>
    <w:tbl>
      <w:tblPr>
        <w:tblW w:w="4435" w:type="dxa"/>
        <w:jc w:val="left"/>
        <w:tblInd w:w="0" w:type="dxa"/>
        <w:tblLayout w:type="fixed"/>
        <w:tblCellMar>
          <w:top w:w="0" w:type="dxa"/>
          <w:left w:w="0" w:type="dxa"/>
          <w:bottom w:w="0" w:type="dxa"/>
          <w:right w:w="0" w:type="dxa"/>
        </w:tblCellMar>
      </w:tblPr>
      <w:tblGrid>
        <w:gridCol w:w="1025"/>
        <w:gridCol w:w="3410"/>
      </w:tblGrid>
      <w:tr>
        <w:trPr/>
        <w:tc>
          <w:tcPr>
            <w:tcW w:w="1025" w:type="dxa"/>
            <w:tcBorders/>
            <w:vAlign w:val="center"/>
          </w:tcPr>
          <w:p>
            <w:pPr>
              <w:pStyle w:val="TableContents"/>
              <w:bidi w:val="0"/>
              <w:spacing w:before="0" w:after="283"/>
              <w:jc w:val="left"/>
              <w:rPr>
                <w:b/>
              </w:rPr>
            </w:pPr>
            <w:bookmarkStart w:id="26" w:name="txa39307_24"/>
            <w:bookmarkEnd w:id="26"/>
            <w:r>
              <w:rPr>
                <w:b/>
              </w:rPr>
              <w:t>Item 16C.</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Principal Accountant Fees and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aggregate fees by categories specified below in connection with certain professional services rendered by PricewaterhouseCoopers Zhong Tian LLP (“PwC”), our principal external auditors, for the periods indicated. </w:t>
      </w:r>
    </w:p>
    <w:p>
      <w:pPr>
        <w:pStyle w:val="TextBody"/>
        <w:bidi w:val="0"/>
        <w:spacing w:before="0" w:after="0"/>
        <w:jc w:val="left"/>
        <w:rPr/>
      </w:pPr>
      <w:r>
        <w:rPr/>
        <w:t> </w:t>
      </w:r>
    </w:p>
    <w:tbl>
      <w:tblPr>
        <w:tblW w:w="5423" w:type="dxa"/>
        <w:jc w:val="left"/>
        <w:tblInd w:w="0" w:type="dxa"/>
        <w:tblLayout w:type="fixed"/>
        <w:tblCellMar>
          <w:top w:w="0" w:type="dxa"/>
          <w:left w:w="0" w:type="dxa"/>
          <w:bottom w:w="0" w:type="dxa"/>
          <w:right w:w="0" w:type="dxa"/>
        </w:tblCellMar>
      </w:tblPr>
      <w:tblGrid>
        <w:gridCol w:w="1700"/>
        <w:gridCol w:w="120"/>
        <w:gridCol w:w="127"/>
        <w:gridCol w:w="1445"/>
        <w:gridCol w:w="127"/>
        <w:gridCol w:w="254"/>
        <w:gridCol w:w="127"/>
        <w:gridCol w:w="1448"/>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7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27"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8" w:type="dxa"/>
            <w:gridSpan w:val="6"/>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12,748</w:t>
            </w:r>
          </w:p>
        </w:tc>
        <w:tc>
          <w:tcPr>
            <w:tcW w:w="127"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12,921</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w:t>
            </w:r>
          </w:p>
        </w:tc>
        <w:tc>
          <w:tcPr>
            <w:tcW w:w="127"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48" w:type="dxa"/>
            <w:tcBorders/>
            <w:vAlign w:val="center"/>
          </w:tcPr>
          <w:p>
            <w:pPr>
              <w:pStyle w:val="TableContents"/>
              <w:bidi w:val="0"/>
              <w:spacing w:before="0" w:after="283"/>
              <w:jc w:val="right"/>
              <w:rPr/>
            </w:pPr>
            <w:r>
              <w:rPr/>
              <w:t>270</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b/>
              </w:rPr>
            </w:pPr>
            <w:r>
              <w:rPr>
                <w:b/>
              </w:rPr>
              <w:t>12,748</w:t>
            </w:r>
          </w:p>
        </w:tc>
        <w:tc>
          <w:tcPr>
            <w:tcW w:w="127"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b/>
              </w:rPr>
            </w:pPr>
            <w:r>
              <w:rPr>
                <w:b/>
              </w:rPr>
              <w:t>13,191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Note: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left"/>
              <w:rPr/>
            </w:pPr>
            <w:r>
              <w:rPr/>
              <w:t>“</w:t>
            </w:r>
            <w:r>
              <w:rPr>
                <w:rFonts w:ascii="Times New Roman" w:hAnsi="Times New Roman"/>
                <w:sz w:val="20"/>
              </w:rPr>
              <w:t xml:space="preserve">Audit fees” means the aggregate fees billed in each of the fiscal years for professional services rendered by our principal external auditors for the audit of our annual consolidated financial statements, assistance with review of documents filed with the SEC and other statutory and regulatory filings, and services related to our follow-on public offering and other financing transactions.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Audit-related fees include the progress fees billed for permissible internal control consultation service rendered by our principal external auditors in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policy of our audit committee is to pre-approve all auditing and non-auditing services permitted to be performed by our independent registered public accounting firm. </w:t>
      </w:r>
    </w:p>
    <w:p>
      <w:pPr>
        <w:pStyle w:val="TextBody"/>
        <w:bidi w:val="0"/>
        <w:spacing w:before="0" w:after="0"/>
        <w:jc w:val="left"/>
        <w:rPr/>
      </w:pPr>
      <w:r>
        <w:rPr/>
        <w:t> </w:t>
      </w:r>
    </w:p>
    <w:tbl>
      <w:tblPr>
        <w:tblW w:w="6280" w:type="dxa"/>
        <w:jc w:val="left"/>
        <w:tblInd w:w="0" w:type="dxa"/>
        <w:tblLayout w:type="fixed"/>
        <w:tblCellMar>
          <w:top w:w="0" w:type="dxa"/>
          <w:left w:w="0" w:type="dxa"/>
          <w:bottom w:w="0" w:type="dxa"/>
          <w:right w:w="0" w:type="dxa"/>
        </w:tblCellMar>
      </w:tblPr>
      <w:tblGrid>
        <w:gridCol w:w="1025"/>
        <w:gridCol w:w="5255"/>
      </w:tblGrid>
      <w:tr>
        <w:trPr/>
        <w:tc>
          <w:tcPr>
            <w:tcW w:w="1025" w:type="dxa"/>
            <w:tcBorders/>
            <w:vAlign w:val="center"/>
          </w:tcPr>
          <w:p>
            <w:pPr>
              <w:pStyle w:val="TableContents"/>
              <w:bidi w:val="0"/>
              <w:spacing w:before="0" w:after="283"/>
              <w:jc w:val="left"/>
              <w:rPr>
                <w:b/>
              </w:rPr>
            </w:pPr>
            <w:bookmarkStart w:id="27" w:name="txa39307_25"/>
            <w:bookmarkEnd w:id="27"/>
            <w:r>
              <w:rPr>
                <w:b/>
              </w:rPr>
              <w:t>Item 16D.</w:t>
            </w:r>
          </w:p>
        </w:tc>
        <w:tc>
          <w:tcPr>
            <w:tcW w:w="5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Exemptions from the Listing Standards for Audit 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940" w:type="dxa"/>
        <w:jc w:val="left"/>
        <w:tblInd w:w="0" w:type="dxa"/>
        <w:tblLayout w:type="fixed"/>
        <w:tblCellMar>
          <w:top w:w="0" w:type="dxa"/>
          <w:left w:w="0" w:type="dxa"/>
          <w:bottom w:w="0" w:type="dxa"/>
          <w:right w:w="0" w:type="dxa"/>
        </w:tblCellMar>
      </w:tblPr>
      <w:tblGrid>
        <w:gridCol w:w="1010"/>
        <w:gridCol w:w="5930"/>
      </w:tblGrid>
      <w:tr>
        <w:trPr/>
        <w:tc>
          <w:tcPr>
            <w:tcW w:w="1010" w:type="dxa"/>
            <w:tcBorders/>
            <w:vAlign w:val="center"/>
          </w:tcPr>
          <w:p>
            <w:pPr>
              <w:pStyle w:val="TableContents"/>
              <w:bidi w:val="0"/>
              <w:spacing w:before="0" w:after="283"/>
              <w:jc w:val="left"/>
              <w:rPr>
                <w:b/>
              </w:rPr>
            </w:pPr>
            <w:bookmarkStart w:id="28" w:name="txa39307_26"/>
            <w:bookmarkEnd w:id="28"/>
            <w:r>
              <w:rPr>
                <w:b/>
              </w:rPr>
              <w:t>Item 16E.</w:t>
            </w:r>
          </w:p>
        </w:tc>
        <w:tc>
          <w:tcPr>
            <w:tcW w:w="59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Purchases of Equity Securities by the Issuer and Affiliated Purchasers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November 2024, our board of directors adopted a share repurchase program (the “2024 Share Repurchase Program”), under which we are authorized to repurchase through one or more transactions up to US$30 million worth of our ADSs representing our Class A ordinary shares over the next 12 months. The 2024 Share Repurchase Program was announced on November 22, 2024.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 summary of the ADSs repurchased by us in 2024 pursuant to the 2024 Share Repurchase Program: </w:t>
      </w:r>
    </w:p>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845"/>
        <w:gridCol w:w="120"/>
        <w:gridCol w:w="102"/>
        <w:gridCol w:w="1373"/>
        <w:gridCol w:w="60"/>
        <w:gridCol w:w="120"/>
        <w:gridCol w:w="141"/>
        <w:gridCol w:w="1319"/>
        <w:gridCol w:w="60"/>
        <w:gridCol w:w="120"/>
        <w:gridCol w:w="120"/>
        <w:gridCol w:w="1610"/>
        <w:gridCol w:w="60"/>
        <w:gridCol w:w="120"/>
        <w:gridCol w:w="95"/>
        <w:gridCol w:w="1755"/>
        <w:gridCol w:w="7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ADSs</w:t>
              <w:br/>
              <w:t>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Price</w:t>
              <w:br/>
              <w:t>Paid Per ADS</w:t>
              <w:br/>
              <w:t>(US$)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ADSs</w:t>
              <w:br/>
              <w:t>Purchased as</w:t>
              <w:br/>
              <w:t>Part of Publicly</w:t>
              <w:br/>
              <w:t>Announced Plan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w:t>
              <w:br/>
              <w:t>Dollar Value of</w:t>
              <w:br/>
              <w:t>ADSs that May</w:t>
              <w:br/>
              <w:t>Yet Be Purchased</w:t>
              <w:br/>
              <w:t>Under the Plan</w:t>
              <w:br/>
              <w:t>(US$)</w:t>
            </w:r>
          </w:p>
        </w:tc>
        <w:tc>
          <w:tcPr>
            <w:tcW w:w="75"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December</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3"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19" w:type="dxa"/>
            <w:tcBorders/>
            <w:shd w:fill="CCEEFF" w:val="clear"/>
            <w:vAlign w:val="center"/>
          </w:tcPr>
          <w:p>
            <w:pPr>
              <w:pStyle w:val="TableContents"/>
              <w:bidi w:val="0"/>
              <w:spacing w:before="0" w:after="283"/>
              <w:jc w:val="right"/>
              <w:rPr/>
            </w:pPr>
            <w:r>
              <w:rPr/>
              <w:t>13.99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755" w:type="dxa"/>
            <w:tcBorders/>
            <w:shd w:fill="CCEEFF" w:val="clear"/>
            <w:vAlign w:val="center"/>
          </w:tcPr>
          <w:p>
            <w:pPr>
              <w:pStyle w:val="TableContents"/>
              <w:bidi w:val="0"/>
              <w:spacing w:before="0" w:after="283"/>
              <w:jc w:val="right"/>
              <w:rPr/>
            </w:pPr>
            <w:r>
              <w:rPr/>
              <w:t>28,601,122</w:t>
            </w:r>
          </w:p>
        </w:tc>
        <w:tc>
          <w:tcPr>
            <w:tcW w:w="75"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right"/>
              <w:rPr/>
            </w:pPr>
            <w:r>
              <w:rPr/>
              <w:t>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19" w:type="dxa"/>
            <w:tcBorders/>
            <w:vAlign w:val="center"/>
          </w:tcPr>
          <w:p>
            <w:pPr>
              <w:pStyle w:val="TableContents"/>
              <w:bidi w:val="0"/>
              <w:spacing w:before="0" w:after="283"/>
              <w:jc w:val="right"/>
              <w:rPr/>
            </w:pPr>
            <w:r>
              <w:rPr/>
              <w:t>13.99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28,601,122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915" w:type="dxa"/>
        <w:jc w:val="left"/>
        <w:tblInd w:w="0" w:type="dxa"/>
        <w:tblLayout w:type="fixed"/>
        <w:tblCellMar>
          <w:top w:w="0" w:type="dxa"/>
          <w:left w:w="0" w:type="dxa"/>
          <w:bottom w:w="0" w:type="dxa"/>
          <w:right w:w="0" w:type="dxa"/>
        </w:tblCellMar>
      </w:tblPr>
      <w:tblGrid>
        <w:gridCol w:w="995"/>
        <w:gridCol w:w="3920"/>
      </w:tblGrid>
      <w:tr>
        <w:trPr/>
        <w:tc>
          <w:tcPr>
            <w:tcW w:w="995" w:type="dxa"/>
            <w:tcBorders/>
            <w:vAlign w:val="center"/>
          </w:tcPr>
          <w:p>
            <w:pPr>
              <w:pStyle w:val="TableContents"/>
              <w:bidi w:val="0"/>
              <w:spacing w:before="0" w:after="283"/>
              <w:jc w:val="left"/>
              <w:rPr>
                <w:b/>
              </w:rPr>
            </w:pPr>
            <w:bookmarkStart w:id="29" w:name="txa39307_27"/>
            <w:bookmarkEnd w:id="29"/>
            <w:r>
              <w:rPr>
                <w:b/>
              </w:rPr>
              <w:t>Item 16F.</w:t>
            </w:r>
          </w:p>
        </w:tc>
        <w:tc>
          <w:tcPr>
            <w:tcW w:w="39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Registrant’s Certifying Accountant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1025"/>
        <w:gridCol w:w="2045"/>
      </w:tblGrid>
      <w:tr>
        <w:trPr/>
        <w:tc>
          <w:tcPr>
            <w:tcW w:w="1025" w:type="dxa"/>
            <w:tcBorders/>
            <w:vAlign w:val="center"/>
          </w:tcPr>
          <w:p>
            <w:pPr>
              <w:pStyle w:val="TableContents"/>
              <w:bidi w:val="0"/>
              <w:spacing w:before="0" w:after="283"/>
              <w:jc w:val="left"/>
              <w:rPr>
                <w:b/>
              </w:rPr>
            </w:pPr>
            <w:bookmarkStart w:id="30" w:name="txa39307_28"/>
            <w:bookmarkEnd w:id="30"/>
            <w:r>
              <w:rPr>
                <w:b/>
              </w:rPr>
              <w:t>Item 16G.</w:t>
            </w:r>
          </w:p>
        </w:tc>
        <w:tc>
          <w:tcPr>
            <w:tcW w:w="2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Governance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a Cayman Islands company listed on the Nasdaq Global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While we voluntarily follow most Nasdaq corporate governance rules, we may choose to take advantage of the following exemptions afforded to foreign private issuers: </w:t>
      </w:r>
    </w:p>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a majority of our board of directors consists of independent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each member of the compensation committee must be an independent director set forth in Nasdaq Rule 5605(d)(2)(A);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director nomination should be made by a vote in which only independent directors participate or by a nominations committee comprised solely of independent directors as set forth in Nasdaq Rule 5605(e)(1);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stock option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our board of directors shall have regularly scheduled meetings at which only independent directors are present as set forth in Nasdaq Rule 5605(b)(2);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an annual shareholders meeting must be held no later than one year after the end of the company’s fiscal year-end as set forth in Nasdaq Rule 5620(a).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intend to follow our home country practices in lieu of the foregoing requirements, although (i) a majority of our board of directors consists of independent directors and (ii) each member of our compensation committee satisfies the independence requirements set forth in Nasdaq Rule 5605(d)(2)(A). We may also opt to rely on additional home country practice exemptions in the future. Although we may rely on home country corporate governance practices in lieu of certain of the rules in the Nasdaq Rule 5600 Series and Rule 5250(d), we must comply with Nasdaq’s Notification of Noncompliance requirement (Rule 5625), the Voting Rights requirement (Rule 5640) and have an audit committee that satisfies Rule 5605(c)(3), consisting of committee members that meet the independence requirements of Rule 5605(c)(2)(A)(ii). Although we currently intend to comply with the Nasdaq corporate governance rules applicable other than as noted above, we may in the future decide to use the foreign private issuer exemption with respect to some or all the other Nasdaq corporate governance rules. As a result, our shareholders may be afforded less protection than they otherwise would under the Nasdaq corporate governance listing standards applicable to U.S. domestic issuers. We may utilize these exemptions for as long as we continue to qualify as a foreign private issuer. </w:t>
      </w:r>
    </w:p>
    <w:p>
      <w:pPr>
        <w:pStyle w:val="TextBody"/>
        <w:bidi w:val="0"/>
        <w:spacing w:before="240" w:after="0"/>
        <w:jc w:val="left"/>
        <w:rPr>
          <w:rFonts w:ascii="Times New Roman" w:hAnsi="Times New Roman"/>
          <w:sz w:val="20"/>
        </w:rPr>
      </w:pPr>
      <w:r>
        <w:rPr>
          <w:rFonts w:ascii="Times New Roman" w:hAnsi="Times New Roman"/>
          <w:sz w:val="20"/>
        </w:rPr>
        <w:t xml:space="preserve">We are also eligible to rely on exemptions afforded to controlled companies. A company of which more than 50% of the voting power is held by a single entity is considered a “controlled company” under the Nasdaq Stock Market Rules. A controlled company is not required to comply with the Nasdaq corporate governance rules requiring a board of directors to have a majority of independent directors, to have an independent compensation committee, and to have an independent nominations/corporate governance committee. We are a “controlled company” as defined under the Nasdaq Stock Market Rules, but we have no current intention to rely on the controlled company exemption.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1025"/>
        <w:gridCol w:w="2015"/>
      </w:tblGrid>
      <w:tr>
        <w:trPr/>
        <w:tc>
          <w:tcPr>
            <w:tcW w:w="1025" w:type="dxa"/>
            <w:tcBorders/>
            <w:vAlign w:val="center"/>
          </w:tcPr>
          <w:p>
            <w:pPr>
              <w:pStyle w:val="TableContents"/>
              <w:bidi w:val="0"/>
              <w:spacing w:before="0" w:after="283"/>
              <w:jc w:val="left"/>
              <w:rPr>
                <w:b/>
              </w:rPr>
            </w:pPr>
            <w:bookmarkStart w:id="31" w:name="txa39307_29"/>
            <w:bookmarkEnd w:id="31"/>
            <w:r>
              <w:rPr>
                <w:b/>
              </w:rPr>
              <w:t>Item 16H.</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935"/>
        <w:gridCol w:w="5840"/>
      </w:tblGrid>
      <w:tr>
        <w:trPr/>
        <w:tc>
          <w:tcPr>
            <w:tcW w:w="935" w:type="dxa"/>
            <w:tcBorders/>
            <w:vAlign w:val="center"/>
          </w:tcPr>
          <w:p>
            <w:pPr>
              <w:pStyle w:val="TableContents"/>
              <w:bidi w:val="0"/>
              <w:spacing w:before="0" w:after="283"/>
              <w:jc w:val="left"/>
              <w:rPr>
                <w:b/>
              </w:rPr>
            </w:pPr>
            <w:bookmarkStart w:id="32" w:name="txa39307_30"/>
            <w:bookmarkEnd w:id="32"/>
            <w:r>
              <w:rPr>
                <w:b/>
              </w:rPr>
              <w:t>Item 16I.</w:t>
            </w:r>
          </w:p>
        </w:tc>
        <w:tc>
          <w:tcPr>
            <w:tcW w:w="58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Disclosure Regarding Foreign Jurisdictions that Prevent Inspections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100" w:type="dxa"/>
        <w:jc w:val="left"/>
        <w:tblInd w:w="0" w:type="dxa"/>
        <w:tblLayout w:type="fixed"/>
        <w:tblCellMar>
          <w:top w:w="0" w:type="dxa"/>
          <w:left w:w="0" w:type="dxa"/>
          <w:bottom w:w="0" w:type="dxa"/>
          <w:right w:w="0" w:type="dxa"/>
        </w:tblCellMar>
      </w:tblPr>
      <w:tblGrid>
        <w:gridCol w:w="965"/>
        <w:gridCol w:w="2135"/>
      </w:tblGrid>
      <w:tr>
        <w:trPr/>
        <w:tc>
          <w:tcPr>
            <w:tcW w:w="965" w:type="dxa"/>
            <w:tcBorders/>
            <w:vAlign w:val="center"/>
          </w:tcPr>
          <w:p>
            <w:pPr>
              <w:pStyle w:val="TableContents"/>
              <w:bidi w:val="0"/>
              <w:spacing w:before="0" w:after="0"/>
              <w:jc w:val="left"/>
              <w:rPr>
                <w:b/>
                <w:spacing w:val="0"/>
              </w:rPr>
            </w:pPr>
            <w:bookmarkStart w:id="33" w:name="txa39307_31"/>
            <w:bookmarkEnd w:id="33"/>
            <w:r>
              <w:rPr>
                <w:b/>
                <w:spacing w:val="0"/>
              </w:rPr>
              <w:t>Item 16J.</w:t>
            </w:r>
          </w:p>
        </w:tc>
        <w:tc>
          <w:tcPr>
            <w:tcW w:w="2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Insider Trading Policies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adopted an Insider Trading Policy (the “Insider Trading Policy”), which, among other things, governs the purchase, sale and other dispositions of our securities by our directors, executive officers and employees. Our Insider Trading Policy aims to promote compliance with applicable insider trading laws, rules and regulations, and the Nasdaq listing standards. A copy of our Insider Trading Policy is filed as Exhibit 11.2 to this annual report. In addition, it is the Company’s intent to comply with applicable laws and regulations relating to insider trading. </w:t>
      </w:r>
    </w:p>
    <w:p>
      <w:pPr>
        <w:pStyle w:val="TextBody"/>
        <w:bidi w:val="0"/>
        <w:spacing w:before="0" w:after="0"/>
        <w:jc w:val="left"/>
        <w:rPr>
          <w:spacing w:val="0"/>
        </w:rPr>
      </w:pPr>
      <w:r>
        <w:rPr>
          <w:spacing w:val="0"/>
        </w:rPr>
        <w:t> </w:t>
      </w:r>
    </w:p>
    <w:tbl>
      <w:tblPr>
        <w:tblW w:w="2305" w:type="dxa"/>
        <w:jc w:val="left"/>
        <w:tblInd w:w="0" w:type="dxa"/>
        <w:tblLayout w:type="fixed"/>
        <w:tblCellMar>
          <w:top w:w="0" w:type="dxa"/>
          <w:left w:w="0" w:type="dxa"/>
          <w:bottom w:w="0" w:type="dxa"/>
          <w:right w:w="0" w:type="dxa"/>
        </w:tblCellMar>
      </w:tblPr>
      <w:tblGrid>
        <w:gridCol w:w="1025"/>
        <w:gridCol w:w="1280"/>
      </w:tblGrid>
      <w:tr>
        <w:trPr/>
        <w:tc>
          <w:tcPr>
            <w:tcW w:w="1025" w:type="dxa"/>
            <w:tcBorders/>
            <w:vAlign w:val="center"/>
          </w:tcPr>
          <w:p>
            <w:pPr>
              <w:pStyle w:val="TableContents"/>
              <w:bidi w:val="0"/>
              <w:spacing w:before="0" w:after="0"/>
              <w:jc w:val="left"/>
              <w:rPr>
                <w:b/>
                <w:spacing w:val="0"/>
              </w:rPr>
            </w:pPr>
            <w:bookmarkStart w:id="34" w:name="txa39307_32"/>
            <w:bookmarkEnd w:id="34"/>
            <w:r>
              <w:rPr>
                <w:b/>
                <w:spacing w:val="0"/>
              </w:rPr>
              <w:t>Item 16K.</w:t>
            </w:r>
          </w:p>
        </w:tc>
        <w:tc>
          <w:tcPr>
            <w:tcW w:w="1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Cybersecurity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Risk Management and Strategy </w:t>
      </w:r>
    </w:p>
    <w:p>
      <w:pPr>
        <w:pStyle w:val="TextBody"/>
        <w:bidi w:val="0"/>
        <w:spacing w:before="240" w:after="0"/>
        <w:jc w:val="left"/>
        <w:rPr>
          <w:rFonts w:ascii="Times New Roman" w:hAnsi="Times New Roman"/>
          <w:sz w:val="20"/>
        </w:rPr>
      </w:pPr>
      <w:r>
        <w:rPr>
          <w:rFonts w:ascii="Times New Roman" w:hAnsi="Times New Roman"/>
          <w:sz w:val="20"/>
        </w:rPr>
        <w:t xml:space="preserve">We have implemented and maintained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(“Information Systems and Data”).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IT department helps identify, assess and manage our cybersecurity threats and risks. Our IT department identifies and assesses risks from cybersecurity threats by monitoring and evaluating our threat environment using various methods including, for example, manual tools, automated tools, analyzing reports of threats and actors, conducting scans of the threat environment, evaluating our and our industry’s risk profile, evaluating threats reported to us, conducting threat assessments for internal and external threats, engaging third party threat assessments, etc.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Depending on the environment, we implement and maintain various technical, physical, and organizational measures, processes, standards and policies designed to manage and mitigate material risks from cybersecurity threats to our Information Systems and Data, including, for example, cybersecurity incident response policy, incident detection and response, vulnerability management policy, disaster recovery/business continuity plans, security standards, encryption of data, network security controls, data segregation, access controls, physical security, asset management, tracking and disposal, systems monitoring and employee training.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156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assessment and management of material risks from cybersecurity threats are integrated into our overall risk management processes. For example, (i) our IT department works with our management to prioritize our risk management processes and mitigate cybersecurity threats that are more likely to lead to a material impact to our business, and (ii) our senior management evaluates material risks from cybersecurity threats against our overall business objectives and reports to the audit committee of the board of directors, which evaluates our overall enterprise risk.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use third-party service providers to assist us from time to time to identify, assess, and manage material risks from cybersecurity threats, including, for example, professional services firms including legal counsel, cybersecurity software providers and managed cybersecurity service providers. We have a vendor management program to manage cybersecurity risks associated with our use of these providers. The program includes review of security assessment and imposition of information contractual obligations on the vendor.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the risks from cybersecurity threats that may materially affect our company and how they may do so, see our risk factors under “Part I. Item 3D. Risk Factors in this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20-F,</w:t>
      </w:r>
    </w:p>
    <w:p>
      <w:pPr>
        <w:pStyle w:val="TextBody"/>
        <w:bidi w:val="0"/>
        <w:spacing w:before="240" w:after="0"/>
        <w:jc w:val="left"/>
        <w:rPr>
          <w:rFonts w:ascii="Times New Roman" w:hAnsi="Times New Roman"/>
          <w:sz w:val="20"/>
        </w:rPr>
      </w:pPr>
      <w:r>
        <w:rPr>
          <w:rFonts w:ascii="Times New Roman" w:hAnsi="Times New Roman"/>
          <w:sz w:val="20"/>
        </w:rPr>
        <w:t xml:space="preserve">including the risk factors headed “Any significant cybersecurity incident or disruption to our operating systems,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240" w:after="0"/>
        <w:jc w:val="left"/>
        <w:rPr>
          <w:rFonts w:ascii="Times New Roman" w:hAnsi="Times New Roman"/>
          <w:sz w:val="20"/>
        </w:rPr>
      </w:pPr>
      <w:r>
        <w:rPr>
          <w:rFonts w:ascii="Times New Roman" w:hAnsi="Times New Roman"/>
          <w:sz w:val="20"/>
        </w:rPr>
        <w:t xml:space="preserve">centers, or information systems and infrastructure could subject us to significant reputational, financial, legal and operational consequences,” and “Failure to safeguard personal information could subject us to penalties, damage our reputation and brand, and harm our business and results of operations.”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Governance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board of directors addresses our company’s cybersecurity risk management as part of its general oversight function. The audit committee of the board of directors is responsible for overseeing our cybersecurity risk management processes, including oversight and mitigation of risks from cybersecurity threats.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Our cybersecurity risk assessment and management processes are implemented and maintained by certain of our management, including our chief executive officer, our chief financial officer, our vice president of software department and our senior network engineer. With the experience of setting up servers and firewalls, our senior network engineer is responsible for hiring appropriate personnel, helping to integrate cybersecurity risk considerations into our overall risk management strategy, communicating key priorities to relevant personnel, and overseeing the operation of our cybersecurity risks and cloud services. With the experience of software programming, our vice president of software department is mainly responsible for supervising our IT and software departments, including helping prepare for cybersecurity incidents, approving cybersecurity processes, and reviewing security assessments and other security-related reports. Our vice president of software department reports to our chief executive officer and our chief executive officer is responsible for approving budgets. </w:t>
      </w:r>
    </w:p>
    <w:p>
      <w:pPr>
        <w:pStyle w:val="TextBody"/>
        <w:bidi w:val="0"/>
        <w:spacing w:before="240" w:after="0"/>
        <w:jc w:val="left"/>
        <w:rPr>
          <w:rFonts w:ascii="Times New Roman" w:hAnsi="Times New Roman"/>
          <w:sz w:val="20"/>
        </w:rPr>
      </w:pPr>
      <w:r>
        <w:rPr>
          <w:rFonts w:ascii="Times New Roman" w:hAnsi="Times New Roman"/>
          <w:sz w:val="20"/>
        </w:rPr>
        <w:t xml:space="preserve">Our cybersecurity incident response and vulnerability management policies are designed to escalate certain cybersecurity incidents to cybersecurity incident management team (the “CSI management team”) depending on the circumstances, including our chief operating officers, chief financial officer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in-house</w:t>
      </w:r>
    </w:p>
    <w:p>
      <w:pPr>
        <w:pStyle w:val="TextBody"/>
        <w:bidi w:val="0"/>
        <w:spacing w:before="240" w:after="0"/>
        <w:jc w:val="left"/>
        <w:rPr>
          <w:rFonts w:ascii="Times New Roman" w:hAnsi="Times New Roman"/>
          <w:sz w:val="20"/>
        </w:rPr>
      </w:pPr>
      <w:r>
        <w:rPr>
          <w:rFonts w:ascii="Times New Roman" w:hAnsi="Times New Roman"/>
          <w:sz w:val="20"/>
        </w:rPr>
        <w:t xml:space="preserve">general counsel. The CSI management team works with our company’s senior management team to help our company mitigate and remediate cybersecurity incidents of which they are notified. In addition, our company’s cybersecurity incident response and vulnerability management policies include reporting to the audit committee of the board of directors for certain cybersecurity incidents. The audit committee receives periodic reports from our CSI management team concerning our company’s significant cybersecurity threats and risk and the processes our company has implemented to address them. The audit committee also has access to various reports, summaries or presentations related to cybersecurity threats, risk and mitigation. </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1</w:t>
      </w:r>
    </w:p>
    <w:p>
      <w:pPr>
        <w:pStyle w:val="TextBody"/>
        <w:bidi w:val="0"/>
        <w:jc w:val="center"/>
        <w:rPr>
          <w:rFonts w:ascii="Times New Roman" w:hAnsi="Times New Roman"/>
          <w:spacing w:val="0"/>
          <w:sz w:val="20"/>
        </w:rPr>
      </w:pPr>
      <w:r>
        <w:rPr>
          <w:rFonts w:ascii="Times New Roman" w:hAnsi="Times New Roman"/>
          <w:spacing w:val="0"/>
          <w:sz w:val="20"/>
        </w:rPr>
        <w:t>57</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xa39307_33"/>
      <w:bookmarkEnd w:id="35"/>
      <w:r>
        <w:rPr>
          <w:rFonts w:ascii="Times New Roman" w:hAnsi="Times New Roman"/>
          <w:b/>
          <w:sz w:val="20"/>
        </w:rPr>
        <w:t xml:space="preserve">PART III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845"/>
        <w:gridCol w:w="1850"/>
      </w:tblGrid>
      <w:tr>
        <w:trPr/>
        <w:tc>
          <w:tcPr>
            <w:tcW w:w="845" w:type="dxa"/>
            <w:tcBorders/>
            <w:vAlign w:val="center"/>
          </w:tcPr>
          <w:p>
            <w:pPr>
              <w:pStyle w:val="TableContents"/>
              <w:bidi w:val="0"/>
              <w:spacing w:before="0" w:after="283"/>
              <w:jc w:val="left"/>
              <w:rPr>
                <w:b/>
              </w:rPr>
            </w:pPr>
            <w:bookmarkStart w:id="36" w:name="txa39307_34"/>
            <w:bookmarkEnd w:id="36"/>
            <w:r>
              <w:rPr>
                <w:b/>
              </w:rPr>
              <w:t>Item 17.</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elected to provide financial statements pursuant to Item 18.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845"/>
        <w:gridCol w:w="1850"/>
      </w:tblGrid>
      <w:tr>
        <w:trPr/>
        <w:tc>
          <w:tcPr>
            <w:tcW w:w="845" w:type="dxa"/>
            <w:tcBorders/>
            <w:vAlign w:val="center"/>
          </w:tcPr>
          <w:p>
            <w:pPr>
              <w:pStyle w:val="TableContents"/>
              <w:bidi w:val="0"/>
              <w:spacing w:before="0" w:after="283"/>
              <w:jc w:val="left"/>
              <w:rPr>
                <w:b/>
              </w:rPr>
            </w:pPr>
            <w:bookmarkStart w:id="37" w:name="txa39307_35"/>
            <w:bookmarkEnd w:id="37"/>
            <w:r>
              <w:rPr>
                <w:b/>
              </w:rPr>
              <w:t>Item 18.</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are included at the end of this annual report. </w:t>
      </w:r>
    </w:p>
    <w:p>
      <w:pPr>
        <w:pStyle w:val="TextBody"/>
        <w:bidi w:val="0"/>
        <w:spacing w:before="0" w:after="0"/>
        <w:jc w:val="left"/>
        <w:rPr/>
      </w:pPr>
      <w:r>
        <w:rPr/>
        <w:t> </w:t>
      </w:r>
    </w:p>
    <w:tbl>
      <w:tblPr>
        <w:tblW w:w="1630" w:type="dxa"/>
        <w:jc w:val="left"/>
        <w:tblInd w:w="0" w:type="dxa"/>
        <w:tblLayout w:type="fixed"/>
        <w:tblCellMar>
          <w:top w:w="0" w:type="dxa"/>
          <w:left w:w="0" w:type="dxa"/>
          <w:bottom w:w="0" w:type="dxa"/>
          <w:right w:w="0" w:type="dxa"/>
        </w:tblCellMar>
      </w:tblPr>
      <w:tblGrid>
        <w:gridCol w:w="845"/>
        <w:gridCol w:w="785"/>
      </w:tblGrid>
      <w:tr>
        <w:trPr/>
        <w:tc>
          <w:tcPr>
            <w:tcW w:w="845" w:type="dxa"/>
            <w:tcBorders/>
            <w:vAlign w:val="center"/>
          </w:tcPr>
          <w:p>
            <w:pPr>
              <w:pStyle w:val="TableContents"/>
              <w:bidi w:val="0"/>
              <w:spacing w:before="0" w:after="283"/>
              <w:jc w:val="left"/>
              <w:rPr>
                <w:b/>
              </w:rPr>
            </w:pPr>
            <w:bookmarkStart w:id="38" w:name="txa39307_36"/>
            <w:bookmarkEnd w:id="38"/>
            <w:r>
              <w:rPr>
                <w:b/>
              </w:rPr>
              <w:t>Item 19.</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3">
              <w:r>
                <w:rPr>
                  <w:rStyle w:val="InternetLink"/>
                </w:rPr>
                <w:t xml:space="preserve">Fifth Amended and Restated Memorandum and Articles of Association of the Registrant (incorporated herein by reference to Exhibit 3.2 to our registration statement on Form F-1 (File No. 333-234411) filed with the SEC on October 31, 2019)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4">
              <w:r>
                <w:rPr>
                  <w:rStyle w:val="InternetLink"/>
                </w:rPr>
                <w:t xml:space="preserve">Registrant’s Specimen American Depositary Receipt (incorporated herein by reference to Exhibit 4.3 to the registration statement on Form S-8 (File No. 333-237769) filed with the SEC on April 21, 2020)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2.2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5">
              <w:r>
                <w:rPr>
                  <w:rStyle w:val="InternetLink"/>
                </w:rPr>
                <w:t xml:space="preserve">Registrant’s Specimen Certificate for Class A ordinary shares (incorporated herein by reference to Exhibit 4.2 to the registration statement on Form F-1 (File No. 333-234411) filed with the SEC on October 31, 2019)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2.3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6">
              <w:r>
                <w:rPr>
                  <w:rStyle w:val="InternetLink"/>
                </w:rPr>
                <w:t xml:space="preserve">Deposit Agreement among the Registrant, the depositary and the owners and holders of American Depositary Shares, dated as of December 11, 2019 (incorporated herein by reference to Exhibit 4.3 to the registration statement on Form S-8 (File No. 333-237769) filed with the SEC on April 21, 2020)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2.4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7">
              <w:r>
                <w:rPr>
                  <w:rStyle w:val="InternetLink"/>
                </w:rPr>
                <w:t xml:space="preserve">Second Amended and Restated Shareholders’ Agreement, dated as of December 27, 2016, by and among the Registrant and other parties thereto (incorporated herein by reference to Exhibit 4.4 to the registration statement on Form F-1 (File No. 333-234411) filed with the SEC on October 31, 2019)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2.5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8">
              <w:r>
                <w:rPr>
                  <w:rStyle w:val="InternetLink"/>
                </w:rPr>
                <w:t xml:space="preserve">Description of Securities (incorporated herein by reference to Exhibit 2.5 of our Annual Report on Form 20-F for the year ended December 31, 2019 (File No. 001-39151) filed with the SEC on April 20, 2020)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9">
              <w:r>
                <w:rPr>
                  <w:rStyle w:val="InternetLink"/>
                </w:rPr>
                <w:t xml:space="preserve">2015 Share Incentive Plan (incorporated herein by reference to Exhibit 10.1 to the registration statement on Form F-1 (File No. 333-234411) filed with the SEC on October 31, 2019)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0">
              <w:r>
                <w:rPr>
                  <w:rStyle w:val="InternetLink"/>
                </w:rPr>
                <w:t xml:space="preserve">2019 Share Incentive Plan (incorporated herein by reference to Exhibit 10.2 to the registration statement on Form F-1 (File No. 333-234411) filed with the SEC on October 31, 2019)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1">
              <w:r>
                <w:rPr>
                  <w:rStyle w:val="InternetLink"/>
                </w:rPr>
                <w:t xml:space="preserve">2023 Share Incentive Plan (incorporated herein by reference to Exhibit 4.1 to the current report on Form 6-K (File No. 001-39151) filed with the SEC on December 22, 2023)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pPr>
            <w:r>
              <w:rPr/>
              <w:t>  </w:t>
            </w:r>
            <w:r>
              <w:rPr>
                <w:rFonts w:ascii="Times New Roman" w:hAnsi="Times New Roman"/>
                <w:sz w:val="20"/>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2">
              <w:r>
                <w:rPr>
                  <w:rStyle w:val="InternetLink"/>
                </w:rPr>
                <w:t xml:space="preserve">Form of Indemnification Agreement between the Registrant and its director and executive officers (incorporated herein by reference to Exhibit 10.3 to the registration statement on Form F-1 (File No. 333-234411) filed with the SEC on October 31, 2019)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23"/>
        <w:gridCol w:w="120"/>
        <w:gridCol w:w="9462"/>
      </w:tblGrid>
      <w:tr>
        <w:trPr/>
        <w:tc>
          <w:tcPr>
            <w:tcW w:w="6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2" w:type="dxa"/>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Document</w:t>
            </w:r>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4.5</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3">
              <w:r>
                <w:rPr>
                  <w:rStyle w:val="InternetLink"/>
                </w:rPr>
                <w:t xml:space="preserve">Form of Employment Agreement between the Registrant and its executive officers (incorporated herein by reference to Exhibit 10.4 to the registration statement on Form F-1 (File No. 333-234411) filed with the SEC on October 31, 2019)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4.6</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4">
              <w:r>
                <w:rPr>
                  <w:rStyle w:val="InternetLink"/>
                </w:rPr>
                <w:t xml:space="preserve">English translation of the Shareholders Voting Proxy Agreement and Power of Attorney among the WFOE, the VIE and shareholders of the VIE dated October 21, 2020 (incorporated herein by reference to Exhibit 4.5 of our Annual Report on Form 20-F for the year ended December 31, 2020 (File No. 001-39151) filed with the SEC on June 15, 2021)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4.7</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5">
              <w:r>
                <w:rPr>
                  <w:rStyle w:val="InternetLink"/>
                </w:rPr>
                <w:t xml:space="preserve">English translation of the Share Pledge Agreements among the WFOE and shareholders of the VIE dated October 21, 2020 (incorporated herein by reference to Exhibit 4.6 of our Annual Report on Form 20-F for the year ended December 31, 2020 (File No. 001-39151) filed with the SEC on June 15, 2021)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4.8</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6">
              <w:r>
                <w:rPr>
                  <w:rStyle w:val="InternetLink"/>
                </w:rPr>
                <w:t xml:space="preserve">English translation of the Exclusive Consulting and Service Agreement and the Exclusive Services Agreement between the WFOE and the VIE dated January 29, 2016 (incorporated herein by reference to Exhibit 10.9 to the registration statement on Form F-1 (File No. 333-234411) filed with the SEC on October 31, 2019)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4.9</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7">
              <w:r>
                <w:rPr>
                  <w:rStyle w:val="InternetLink"/>
                </w:rPr>
                <w:t xml:space="preserve">English translation of the Amendment to Exclusive Consulting and Service Agreement between the WFOE and the VIE dated November 30, 2018 (incorporated herein by reference to Exhibit 10.10 to the registration statement on Form F-1 (File No. 333-234411) filed with the SEC on October 31, 2019)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4.10</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8">
              <w:r>
                <w:rPr>
                  <w:rStyle w:val="InternetLink"/>
                </w:rPr>
                <w:t xml:space="preserve">English translation of the Exclusive Option Agreement among the WFOE, the VIE and shareholders of the VIE dated October 21, 2020 (incorporated herein by reference to Exhibit 4.9 of our Annual Report on Form 20-F for the year ended December 31, 2020 (File No. 001-39151) filed with the SEC on June 15, 2021)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4.11</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19">
              <w:r>
                <w:rPr>
                  <w:rStyle w:val="InternetLink"/>
                </w:rPr>
                <w:t xml:space="preserve">English translation of the Special Agreement on the Capital Increase of the VIE among the WFOE, the VIE and shareholders of the VIE dated February 22, 2019 (incorporated herein by reference to Exhibit 10.14 to the registration statement on Form F-1 (File No. 333-234411) filed with the SEC on October 31, 2019)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4.12</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20">
              <w:r>
                <w:rPr>
                  <w:rStyle w:val="InternetLink"/>
                </w:rPr>
                <w:t xml:space="preserve">English translation of the Amendments to the Special Agreement on the Capital Increase of the VIE among the WFOE, the VIE, Huazhi Hu, Yifang Xiong and shareholders of the VIE dated September 7, 2020 and October 21, 2020, respectively (incorporated herein by reference to Exhibit 4.11 of our Annual Report on Form 20-F for the year ended December 31, 2020 (File No. 001-39151) filed with the SEC on June 15, 2021)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4.14</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21">
              <w:r>
                <w:rPr>
                  <w:rStyle w:val="InternetLink"/>
                </w:rPr>
                <w:t xml:space="preserve">English Translation of the Subscription Agreement, dated as of December 21, 2022, between the Registrant and Qingdao Ocean Investment Group Co., Ltd. (incorporated herein by reference to Exhibit 4.13 of our Annual Report on Form 20-F for the year ended December 31, 2022 (File No. 001- 39151) filed with the SEC on April 27, 2023)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4.15</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22">
              <w:r>
                <w:rPr>
                  <w:rStyle w:val="InternetLink"/>
                </w:rPr>
                <w:t xml:space="preserve">Subscription Agreement, dated as of July 11, 2023, between the Registrant and Rich Ning Inc. (incorporated herein by reference to Exhibit 4.15 of our Annual Report on Form 20-F for the year ended December 31, 2023 (File No. 001- 39151) filed with the SEC on April 15, 2024) </w:t>
              </w:r>
            </w:hyperlink>
          </w:p>
        </w:tc>
      </w:tr>
      <w:tr>
        <w:trPr/>
        <w:tc>
          <w:tcPr>
            <w:tcW w:w="623" w:type="dxa"/>
            <w:tcBorders/>
            <w:vAlign w:val="center"/>
          </w:tcPr>
          <w:p>
            <w:pPr>
              <w:pStyle w:val="TableContents"/>
              <w:bidi w:val="0"/>
              <w:spacing w:before="0" w:after="283"/>
              <w:jc w:val="left"/>
              <w:rPr>
                <w:sz w:val="4"/>
                <w:szCs w:val="4"/>
              </w:rPr>
            </w:pPr>
            <w:r>
              <w:rPr>
                <w:sz w:val="4"/>
                <w:szCs w:val="4"/>
              </w:rPr>
            </w:r>
          </w:p>
        </w:tc>
        <w:tc>
          <w:tcPr>
            <w:tcW w:w="9582" w:type="dxa"/>
            <w:gridSpan w:val="2"/>
            <w:tcBorders/>
            <w:vAlign w:val="center"/>
          </w:tcPr>
          <w:p>
            <w:pPr>
              <w:pStyle w:val="TableContents"/>
              <w:bidi w:val="0"/>
              <w:spacing w:before="0" w:after="283"/>
              <w:jc w:val="left"/>
              <w:rPr>
                <w:sz w:val="4"/>
                <w:szCs w:val="4"/>
              </w:rPr>
            </w:pPr>
            <w:r>
              <w:rPr>
                <w:sz w:val="4"/>
                <w:szCs w:val="4"/>
              </w:rPr>
            </w:r>
          </w:p>
        </w:tc>
      </w:tr>
      <w:tr>
        <w:trPr/>
        <w:tc>
          <w:tcPr>
            <w:tcW w:w="623" w:type="dxa"/>
            <w:tcBorders/>
            <w:vAlign w:val="center"/>
          </w:tcPr>
          <w:p>
            <w:pPr>
              <w:pStyle w:val="TableContents"/>
              <w:bidi w:val="0"/>
              <w:spacing w:before="0" w:after="0"/>
              <w:jc w:val="left"/>
              <w:rPr/>
            </w:pPr>
            <w:r>
              <w:rPr/>
              <w:t>  </w:t>
            </w:r>
            <w:r>
              <w:rPr>
                <w:rFonts w:ascii="Times New Roman" w:hAnsi="Times New Roman"/>
                <w:sz w:val="20"/>
              </w:rPr>
              <w:t>4.16</w:t>
            </w:r>
          </w:p>
        </w:tc>
        <w:tc>
          <w:tcPr>
            <w:tcW w:w="120" w:type="dxa"/>
            <w:tcBorders/>
            <w:vAlign w:val="center"/>
          </w:tcPr>
          <w:p>
            <w:pPr>
              <w:pStyle w:val="TableContents"/>
              <w:bidi w:val="0"/>
              <w:spacing w:before="0" w:after="283"/>
              <w:jc w:val="left"/>
              <w:rPr/>
            </w:pPr>
            <w:r>
              <w:rPr/>
              <w:t>  </w:t>
            </w:r>
          </w:p>
        </w:tc>
        <w:tc>
          <w:tcPr>
            <w:tcW w:w="9462" w:type="dxa"/>
            <w:tcBorders/>
            <w:vAlign w:val="center"/>
          </w:tcPr>
          <w:p>
            <w:pPr>
              <w:pStyle w:val="TableContents"/>
              <w:bidi w:val="0"/>
              <w:spacing w:before="0" w:after="283"/>
              <w:jc w:val="left"/>
              <w:rPr/>
            </w:pPr>
            <w:hyperlink r:id="rId23">
              <w:r>
                <w:rPr>
                  <w:rStyle w:val="InternetLink"/>
                </w:rPr>
                <w:t xml:space="preserve">Subscription Agreement, dated as of July 11, 2023, between the Registrant and Gamma Financial Solutions Limited (incorporated herein by reference to Exhibit 4.16 of our Annual Report on Form 20-F for the year ended December 31, 2023 (File No. 001- 39151) filed with the SEC on April 15,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50"/>
        <w:gridCol w:w="120"/>
        <w:gridCol w:w="9435"/>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35"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Document</w:t>
            </w:r>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4.17</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24">
              <w:r>
                <w:rPr>
                  <w:rStyle w:val="InternetLink"/>
                </w:rPr>
                <w:t xml:space="preserve">Subscription Agreement, dated as of July 11, 2023, between the Registrant and Lee Soo Man (incorporated herein by reference to Exhibit 4.17 of our Annual Report on Form 20-F for the year ended December 31, 2023 (File No. 001- 39151) filed with the SEC on April 15, 2024)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4.18</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25">
              <w:r>
                <w:rPr>
                  <w:rStyle w:val="InternetLink"/>
                </w:rPr>
                <w:t xml:space="preserve">At Market Issuance Sales Agreement, dated as of April 19, 2024, between EHang Holdings Limited and China Renaissance Securities (Hong Kong) Limited (incorporated herein by reference to Exhibit 1.2 to the registration statement on Form F—3 (File No. 333-278830) filed with the SEC on April 19, 2024)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4.19#</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26">
              <w:r>
                <w:rPr>
                  <w:rStyle w:val="InternetLink"/>
                </w:rPr>
                <w:t>English Translation of the Subscription Agreement, dated as of November 14, 2024, between the Registrant and Enpower Electric Co., Ltd. (incorporated herein by reference to Exhibit 4.19 of our Annual Report on Form 20-F for the year ended December 31, 2024 (File: 001-39151) filed with the SEC on April 15, 2025)</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4.20#</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27">
              <w:r>
                <w:rPr>
                  <w:rStyle w:val="InternetLink"/>
                </w:rPr>
                <w:t>Form of Subscription Agreement, dated as of November 7, 2024, between the Registrant and an investor (incorporated herein by reference to Exhibit 4.20 of our Annual Report on Form 20-F for the year ended December 31, 2024 (File: 001-39151) filed with the SEC on April 15, 2025)</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8.1*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81.htm">
              <w:r>
                <w:rPr>
                  <w:rStyle w:val="InternetLink"/>
                </w:rPr>
                <w:t xml:space="preserve">List of Principal Subsidiaries and Consolidated Affiliated Entities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11.1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28">
              <w:r>
                <w:rPr>
                  <w:rStyle w:val="InternetLink"/>
                </w:rPr>
                <w:t xml:space="preserve">Code of Business Conduct and Ethics of the Registrant (incorporated herein by reference to Exhibit 99.1 to the registration statement on Form F-1 (File No. 333-234411) filed with the SEC on October 31, 2019)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11.2</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29">
              <w:r>
                <w:rPr>
                  <w:rStyle w:val="InternetLink"/>
                </w:rPr>
                <w:t>Insider Trading Policy (incorporated herein by reference to Exhibit 11.2 of our Annual Report on Form 20-F for the year ended December 31, 2024 (File: 001-39151) filed with the SEC on April 15, 2025)</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12.1*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21.htm">
              <w:r>
                <w:rPr>
                  <w:rStyle w:val="InternetLink"/>
                </w:rPr>
                <w:t xml:space="preserve">Certification of Chief Executive Officer pursuant to Exchange Act Rules 13a-14(a) and 15d-14(a), as adopted pursuant to Section 302 of the Sarbanes-Oxley Act of 2002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12.2*</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22.htm">
              <w:r>
                <w:rPr>
                  <w:rStyle w:val="InternetLink"/>
                </w:rPr>
                <w:t xml:space="preserve">Certification of Chief Financial Officer pursuant to Exchange Act Rules 13a-14(a) and 15d-14(a), as adopted pursuant to Section 302 of the Sarbanes-Oxley Act of 2002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13.1**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31.htm">
              <w:r>
                <w:rPr>
                  <w:rStyle w:val="InternetLink"/>
                </w:rPr>
                <w:t xml:space="preserve">Certification of Chief Executive Officer pursuant to 18 U.S.C. Section 1350, as adopted pursuant to Section 906 of the Sarbanes-Oxley Act of 2002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13.2**</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32.htm">
              <w:r>
                <w:rPr>
                  <w:rStyle w:val="InternetLink"/>
                </w:rPr>
                <w:t xml:space="preserve">Certification of Chief Financial Officer pursuant to 18 U.S.C. Section 1350, as adopted pursuant to Section 906 of the Sarbanes-Oxley Act of 2002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15.1*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51.htm">
              <w:r>
                <w:rPr>
                  <w:rStyle w:val="InternetLink"/>
                </w:rPr>
                <w:t xml:space="preserve">Consent of PricewaterhouseCoopers Zhong Tian LLP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15.2*</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52.htm">
              <w:r>
                <w:rPr>
                  <w:rStyle w:val="InternetLink"/>
                </w:rPr>
                <w:t xml:space="preserve">Consent of Zhong Lun Law Firm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15.3*</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39307dex153.htm">
              <w:r>
                <w:rPr>
                  <w:rStyle w:val="InternetLink"/>
                </w:rPr>
                <w:t xml:space="preserve">Consent of Maples and Calder (Hong Kong) LLP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0"/>
              <w:jc w:val="left"/>
              <w:rPr/>
            </w:pPr>
            <w:r>
              <w:rPr/>
              <w:t> </w:t>
            </w:r>
            <w:r>
              <w:rPr>
                <w:rFonts w:ascii="Times New Roman" w:hAnsi="Times New Roman"/>
                <w:sz w:val="20"/>
              </w:rPr>
              <w:t>97.1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30">
              <w:r>
                <w:rPr>
                  <w:rStyle w:val="InternetLink"/>
                </w:rPr>
                <w:t xml:space="preserve">Incentive Compensation Recoupment Policy (incorporated herein by reference to Exhibit 97.1 of our Annual Report on Form 20-F for the year ended December 31, 2023 (File No. 001- 39151) filed with the SEC on April 15,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92"/>
        <w:gridCol w:w="120"/>
        <w:gridCol w:w="9293"/>
      </w:tblGrid>
      <w:tr>
        <w:trPr/>
        <w:tc>
          <w:tcPr>
            <w:tcW w:w="79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9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 xml:space="preserve">Exhibit </w:t>
              <w:br/>
              <w:t>Number</w:t>
            </w:r>
          </w:p>
        </w:tc>
        <w:tc>
          <w:tcPr>
            <w:tcW w:w="120" w:type="dxa"/>
            <w:tcBorders/>
            <w:vAlign w:val="center"/>
          </w:tcPr>
          <w:p>
            <w:pPr>
              <w:pStyle w:val="TableContents"/>
              <w:bidi w:val="0"/>
              <w:spacing w:before="0" w:after="283"/>
              <w:jc w:val="left"/>
              <w:rPr/>
            </w:pPr>
            <w:r>
              <w:rPr/>
              <w:t>  </w:t>
            </w:r>
          </w:p>
        </w:tc>
        <w:tc>
          <w:tcPr>
            <w:tcW w:w="9293"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 of Document</w:t>
            </w:r>
          </w:p>
        </w:tc>
      </w:tr>
      <w:tr>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Inline XBRL Instance Document-the instance document does not appear in the Interactive Data File as its XBRL tags are embedded within the Inline XBRL document</w:t>
            </w:r>
          </w:p>
        </w:tc>
      </w:tr>
      <w:tr>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Inline XBRL Taxonomy Extension Schema With Embedded Linkbase Documents</w:t>
            </w:r>
          </w:p>
        </w:tc>
      </w:tr>
      <w:tr>
        <w:trPr/>
        <w:tc>
          <w:tcPr>
            <w:tcW w:w="792" w:type="dxa"/>
            <w:tcBorders/>
            <w:vAlign w:val="center"/>
          </w:tcPr>
          <w:p>
            <w:pPr>
              <w:pStyle w:val="TableContents"/>
              <w:bidi w:val="0"/>
              <w:spacing w:before="0" w:after="283"/>
              <w:jc w:val="left"/>
              <w:rPr>
                <w:sz w:val="4"/>
                <w:szCs w:val="4"/>
              </w:rPr>
            </w:pPr>
            <w:r>
              <w:rPr>
                <w:sz w:val="4"/>
                <w:szCs w:val="4"/>
              </w:rPr>
            </w:r>
          </w:p>
        </w:tc>
        <w:tc>
          <w:tcPr>
            <w:tcW w:w="9413" w:type="dxa"/>
            <w:gridSpan w:val="2"/>
            <w:tcBorders/>
            <w:vAlign w:val="center"/>
          </w:tcPr>
          <w:p>
            <w:pPr>
              <w:pStyle w:val="TableContents"/>
              <w:bidi w:val="0"/>
              <w:spacing w:before="0" w:after="283"/>
              <w:jc w:val="left"/>
              <w:rPr>
                <w:sz w:val="4"/>
                <w:szCs w:val="4"/>
              </w:rPr>
            </w:pPr>
            <w:r>
              <w:rPr>
                <w:sz w:val="4"/>
                <w:szCs w:val="4"/>
              </w:rPr>
            </w:r>
          </w:p>
        </w:tc>
      </w:tr>
      <w:tr>
        <w:trPr/>
        <w:tc>
          <w:tcPr>
            <w:tcW w:w="792"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93" w:type="dxa"/>
            <w:tcBorders/>
            <w:vAlign w:val="center"/>
          </w:tcPr>
          <w:p>
            <w:pPr>
              <w:pStyle w:val="TableContents"/>
              <w:bidi w:val="0"/>
              <w:spacing w:before="0" w:after="283"/>
              <w:jc w:val="left"/>
              <w:rPr/>
            </w:pPr>
            <w:r>
              <w:rPr/>
              <w:t>Cover page formatted as Inline XBRL and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1915" w:type="dxa"/>
        <w:jc w:val="left"/>
        <w:tblInd w:w="0" w:type="dxa"/>
        <w:tblLayout w:type="fixed"/>
        <w:tblCellMar>
          <w:top w:w="0" w:type="dxa"/>
          <w:left w:w="0" w:type="dxa"/>
          <w:bottom w:w="0" w:type="dxa"/>
          <w:right w:w="0" w:type="dxa"/>
        </w:tblCellMar>
      </w:tblPr>
      <w:tblGrid>
        <w:gridCol w:w="275"/>
        <w:gridCol w:w="1640"/>
      </w:tblGrid>
      <w:tr>
        <w:trPr/>
        <w:tc>
          <w:tcPr>
            <w:tcW w:w="27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herewith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personally identifiable information in this exhibit has been omitted pursuant to Item 601(a)(6) of Regulation S-K, and certain information has been omitted on the basis that the Company customarily and actually treats that information as private or confidential and the omitted information is not material, pursuant to Item 601(b)(10) of Regulation S-K.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a39307_37"/>
      <w:bookmarkEnd w:id="39"/>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665"/>
        <w:gridCol w:w="60"/>
        <w:gridCol w:w="61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25" w:type="dxa"/>
            <w:tcBorders/>
            <w:vAlign w:val="center"/>
          </w:tcPr>
          <w:p>
            <w:pPr>
              <w:pStyle w:val="TableContents"/>
              <w:bidi w:val="0"/>
              <w:spacing w:before="0" w:after="283"/>
              <w:jc w:val="left"/>
              <w:rPr>
                <w:sz w:val="4"/>
                <w:szCs w:val="4"/>
              </w:rPr>
            </w:pPr>
            <w:r>
              <w:rPr>
                <w:sz w:val="4"/>
                <w:szCs w:val="4"/>
              </w:rPr>
            </w:r>
          </w:p>
        </w:tc>
      </w:tr>
      <w:tr>
        <w:trPr/>
        <w:tc>
          <w:tcPr>
            <w:tcW w:w="6850" w:type="dxa"/>
            <w:gridSpan w:val="3"/>
            <w:tcBorders/>
            <w:vAlign w:val="center"/>
          </w:tcPr>
          <w:p>
            <w:pPr>
              <w:pStyle w:val="TableContents"/>
              <w:bidi w:val="0"/>
              <w:spacing w:before="0" w:after="283"/>
              <w:jc w:val="left"/>
              <w:rPr>
                <w:b/>
              </w:rPr>
            </w:pPr>
            <w:r>
              <w:rPr>
                <w:b/>
              </w:rPr>
              <w:t>EHang Holdings Limited</w:t>
            </w:r>
          </w:p>
        </w:tc>
      </w:tr>
      <w:tr>
        <w:trPr/>
        <w:tc>
          <w:tcPr>
            <w:tcW w:w="665" w:type="dxa"/>
            <w:tcBorders/>
            <w:vAlign w:val="center"/>
          </w:tcPr>
          <w:p>
            <w:pPr>
              <w:pStyle w:val="TableContents"/>
              <w:bidi w:val="0"/>
              <w:spacing w:before="0" w:after="283"/>
              <w:jc w:val="left"/>
              <w:rPr>
                <w:sz w:val="4"/>
                <w:szCs w:val="4"/>
              </w:rPr>
            </w:pPr>
            <w:r>
              <w:rPr>
                <w:sz w:val="4"/>
                <w:szCs w:val="4"/>
              </w:rPr>
            </w:r>
          </w:p>
        </w:tc>
        <w:tc>
          <w:tcPr>
            <w:tcW w:w="61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Huazhi Hu</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Huazhi Hu</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Chairman of the Board of Directors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INDEX TO CONSOLIDATED FINANCIAL STATEMENTS </w:t>
      </w:r>
    </w:p>
    <w:p>
      <w:pPr>
        <w:pStyle w:val="TextBody"/>
        <w:bidi w:val="0"/>
        <w:spacing w:before="0" w:after="0"/>
        <w:ind w:left="0" w:right="0" w:hanging="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8979"/>
        <w:gridCol w:w="120"/>
        <w:gridCol w:w="1106"/>
      </w:tblGrid>
      <w:tr>
        <w:trPr/>
        <w:tc>
          <w:tcPr>
            <w:tcW w:w="89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897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b/>
                <w:spacing w:val="0"/>
              </w:rPr>
            </w:pPr>
            <w:r>
              <w:rPr>
                <w:b/>
                <w:spacing w:val="0"/>
              </w:rPr>
              <w:t>PAGE(S)</w:t>
            </w:r>
          </w:p>
        </w:tc>
      </w:tr>
      <w:tr>
        <w:trPr/>
        <w:tc>
          <w:tcPr>
            <w:tcW w:w="8979" w:type="dxa"/>
            <w:tcBorders/>
            <w:vAlign w:val="center"/>
          </w:tcPr>
          <w:p>
            <w:pPr>
              <w:pStyle w:val="TableContents"/>
              <w:bidi w:val="0"/>
              <w:spacing w:before="0" w:after="0"/>
              <w:jc w:val="left"/>
              <w:rPr/>
            </w:pPr>
            <w:hyperlink w:anchor="fin39307_1">
              <w:r>
                <w:rPr>
                  <w:rStyle w:val="InternetLink"/>
                  <w:rFonts w:ascii="Times New Roman" w:hAnsi="Times New Roman"/>
                  <w:sz w:val="20"/>
                </w:rPr>
                <w:t>Report of Independent Registered Public Accounting Firm (PCAOB ID 1424)</w:t>
              </w:r>
            </w:hyperlink>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spacing w:val="0"/>
              </w:rPr>
            </w:pPr>
            <w:r>
              <w:rPr>
                <w:spacing w:val="0"/>
              </w:rPr>
              <w:t>F-2</w:t>
            </w:r>
          </w:p>
        </w:tc>
      </w:tr>
      <w:tr>
        <w:trPr/>
        <w:tc>
          <w:tcPr>
            <w:tcW w:w="8979" w:type="dxa"/>
            <w:tcBorders/>
            <w:vAlign w:val="center"/>
          </w:tcPr>
          <w:p>
            <w:pPr>
              <w:pStyle w:val="TableContents"/>
              <w:bidi w:val="0"/>
              <w:spacing w:before="0" w:after="0"/>
              <w:jc w:val="left"/>
              <w:rPr/>
            </w:pPr>
            <w:hyperlink w:anchor="fin39307_2">
              <w:r>
                <w:rPr>
                  <w:rStyle w:val="InternetLink"/>
                  <w:rFonts w:ascii="Times New Roman" w:hAnsi="Times New Roman"/>
                  <w:sz w:val="20"/>
                </w:rPr>
                <w:t>Consolidated Balance Sheets as of December 31, 2024 and 2025</w:t>
              </w:r>
            </w:hyperlink>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spacing w:val="0"/>
              </w:rPr>
            </w:pPr>
            <w:r>
              <w:rPr>
                <w:spacing w:val="0"/>
              </w:rPr>
              <w:t>F-5 - F-7</w:t>
            </w:r>
          </w:p>
        </w:tc>
      </w:tr>
      <w:tr>
        <w:trPr/>
        <w:tc>
          <w:tcPr>
            <w:tcW w:w="8979" w:type="dxa"/>
            <w:tcBorders/>
            <w:vAlign w:val="center"/>
          </w:tcPr>
          <w:p>
            <w:pPr>
              <w:pStyle w:val="TableContents"/>
              <w:bidi w:val="0"/>
              <w:spacing w:before="0" w:after="0"/>
              <w:jc w:val="left"/>
              <w:rPr/>
            </w:pPr>
            <w:hyperlink w:anchor="fin39307_3">
              <w:r>
                <w:rPr>
                  <w:rStyle w:val="InternetLink"/>
                  <w:rFonts w:ascii="Times New Roman" w:hAnsi="Times New Roman"/>
                  <w:sz w:val="20"/>
                </w:rPr>
                <w:t>Consolidated Statements of Comprehensive Loss for the Years Ended December 31, 2023, 2024 and 2025</w:t>
              </w:r>
            </w:hyperlink>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spacing w:val="0"/>
              </w:rPr>
            </w:pPr>
            <w:r>
              <w:rPr>
                <w:spacing w:val="0"/>
              </w:rPr>
              <w:t>F-8 - F-9</w:t>
            </w:r>
          </w:p>
        </w:tc>
      </w:tr>
      <w:tr>
        <w:trPr/>
        <w:tc>
          <w:tcPr>
            <w:tcW w:w="8979" w:type="dxa"/>
            <w:tcBorders/>
            <w:vAlign w:val="center"/>
          </w:tcPr>
          <w:p>
            <w:pPr>
              <w:pStyle w:val="TableContents"/>
              <w:bidi w:val="0"/>
              <w:spacing w:before="0" w:after="0"/>
              <w:jc w:val="left"/>
              <w:rPr/>
            </w:pPr>
            <w:hyperlink w:anchor="fin39307_4">
              <w:r>
                <w:rPr>
                  <w:rStyle w:val="InternetLink"/>
                  <w:rFonts w:ascii="Times New Roman" w:hAnsi="Times New Roman"/>
                  <w:sz w:val="20"/>
                </w:rPr>
                <w:t>Consolidated Statements of Changes in Shareholders’ Equity for the Years Ended December 31, 2023, 2024 and 2025</w:t>
              </w:r>
            </w:hyperlink>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spacing w:val="0"/>
              </w:rPr>
            </w:pPr>
            <w:r>
              <w:rPr>
                <w:spacing w:val="0"/>
              </w:rPr>
              <w:t>F-10 - F-12</w:t>
            </w:r>
          </w:p>
        </w:tc>
      </w:tr>
      <w:tr>
        <w:trPr/>
        <w:tc>
          <w:tcPr>
            <w:tcW w:w="8979" w:type="dxa"/>
            <w:tcBorders/>
            <w:vAlign w:val="center"/>
          </w:tcPr>
          <w:p>
            <w:pPr>
              <w:pStyle w:val="TableContents"/>
              <w:bidi w:val="0"/>
              <w:spacing w:before="0" w:after="0"/>
              <w:jc w:val="left"/>
              <w:rPr/>
            </w:pPr>
            <w:hyperlink w:anchor="fin39307_5">
              <w:r>
                <w:rPr>
                  <w:rStyle w:val="InternetLink"/>
                  <w:rFonts w:ascii="Times New Roman" w:hAnsi="Times New Roman"/>
                  <w:sz w:val="20"/>
                </w:rPr>
                <w:t>Consolidated Statements of Cash Flows for the Years Ended December 31, 2023, 2024 and 2025</w:t>
              </w:r>
            </w:hyperlink>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spacing w:val="0"/>
              </w:rPr>
            </w:pPr>
            <w:r>
              <w:rPr>
                <w:spacing w:val="0"/>
              </w:rPr>
              <w:t>F-13 - F-15</w:t>
            </w:r>
          </w:p>
        </w:tc>
      </w:tr>
      <w:tr>
        <w:trPr/>
        <w:tc>
          <w:tcPr>
            <w:tcW w:w="8979" w:type="dxa"/>
            <w:tcBorders/>
            <w:vAlign w:val="center"/>
          </w:tcPr>
          <w:p>
            <w:pPr>
              <w:pStyle w:val="TableContents"/>
              <w:bidi w:val="0"/>
              <w:spacing w:before="0" w:after="0"/>
              <w:jc w:val="left"/>
              <w:rPr/>
            </w:pPr>
            <w:hyperlink w:anchor="fin39307_6">
              <w:r>
                <w:rPr>
                  <w:rStyle w:val="InternetLink"/>
                  <w:rFonts w:ascii="Times New Roman" w:hAnsi="Times New Roman"/>
                  <w:sz w:val="20"/>
                </w:rPr>
                <w:t>Notes to the Consolidated Financial Statements</w:t>
              </w:r>
            </w:hyperlink>
          </w:p>
        </w:tc>
        <w:tc>
          <w:tcPr>
            <w:tcW w:w="12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0"/>
              <w:jc w:val="center"/>
              <w:rPr>
                <w:spacing w:val="0"/>
              </w:rPr>
            </w:pPr>
            <w:r>
              <w:rPr>
                <w:spacing w:val="0"/>
              </w:rPr>
              <w:t>F-16 - F-65</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F- 1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Board of Directors and Shareholders of EHang Holdings Limited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Opinions on the Financial Statements and Internal Control over Financial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We have audited the accompanying consolidated balance sheets of EHang Holdings Limited and its subsidiaries</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as of December 31, 2025 and 2024,</w:t>
      </w:r>
    </w:p>
    <w:p>
      <w:pPr>
        <w:pStyle w:val="TextBody"/>
        <w:bidi w:val="0"/>
        <w:spacing w:before="120" w:after="0"/>
        <w:jc w:val="left"/>
        <w:rPr>
          <w:rFonts w:ascii="Times New Roman" w:hAnsi="Times New Roman"/>
          <w:spacing w:val="0"/>
          <w:sz w:val="20"/>
        </w:rPr>
      </w:pPr>
      <w:r>
        <w:rPr>
          <w:rFonts w:ascii="Times New Roman" w:hAnsi="Times New Roman"/>
          <w:spacing w:val="0"/>
          <w:sz w:val="20"/>
        </w:rPr>
        <w:t>and the related consolidated statements of comprehensive loss, of changes in shareholders’ equity and of cash flows for each of the three years in the period ended December 31, 2025, including the related notes (collectively referred to as the “consolidated financial statements”).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also have audited the Company’s internal control over financial reporting as of December 31, 2025, based on criteria established in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(2013) issued by the Committee of Sponsoring Organizations of the Treadway Commission (COSO).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(2013) issued by the COSO because a material weakness in internal control over financial reporting existed as of that date related to the Company’s lack of effective controls over revenue from air mobility solutions. Specifically, the Company did not effectively assess the probability to collect substantially all of the consideration from the customers prior to recognizing revenue.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Annual Report on Internal Control over Financial Reporting appearing under Item 15. We considered this material weakness in determining the nature, timing, and extent of audit tests applied in our audit of the 2025 consolidated financial statements, and our opinion regarding the effectiveness of the Company’s internal control over financial reporting does not affect our opinion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those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consolidated financial statements.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 in Accounting Principle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discussed in Note 2 to the consolidated financial statements, the Company changed the manner in which it accounts for current expected credit loss in 2023.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F- 2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for Opinions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Definition and Limitations of Internal Control over Financial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F- 3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Revenue recognition - air mobility solutions related to products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Notes 2(s) and 14 to the consolidated financial statements, the Company’s air mobility solutions revenue related to products was RMB390.5 million. Revenues from air mobility solutions related to products are primarily from the sales of passenger-grade UAVs and its software. As the UAVs and software are highly interdependent, the entire bundle of promised goods is considered one performance obligation within the context of the contract. The Company recognizes revenue for this single performance obligation at a point in time when control to the bundle of goods transfers to the customer and other conditions as set out in ASC 606 are met. When the Company contracts with a customer and management determines that the collection of substantially all of the consideration from a customer is not probable at contract inception, no contract is established, and the Company recognizes the consideration received from the customer as revenue only when the Company has transferred control of the corresponding goods, has no obligation under the contract to transfer additional goods, and the consideration received is nonrefundable.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considerations for our determination that performing procedures relating to revenue recognition from air mobility solutions related to products is a critical audit matter are (i) the significant judgment made by management in determining whether collection of substantially all of the consideration from customers is probable to support the establishment of contracts with customers prior to revenue recognition; and (ii) a high degree of auditor judgement, subjectivity and effort in performing procedures related to the revenue recognition from air mobility solutions related to products. As described in the “Opinions on the Financial Statements and Internal Control over Financial Reporting” section, a material weakness was identified related to this matter.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recognition of air mobility solutions related to products revenues. These procedures also included, among others (i) evaluating management’s assessment and supporting documents for determining whether the collection of substantially all of the consideration from customers is probable to support the establishment of contracts; (ii) determining whether the revenue recognition criteria were fulfilled upon receipt of partial consideration from the customers before a contract is established; (iii) testing revenue recognized for a sample of revenue transactions by obtaining and inspecting source documents, such as sales contracts, goods delivery notes, acknowledgement receipts from customers, and proof of delivery documentation; (iv) obtaining and inspecting a sample of cash receipts; (v) confirming a sample of outstanding accounts receivable as of December 31, 2025; (vi) performing site visits and interviews with certain selected customers to corroborate with the Company’s records of products delivered. </w:t>
      </w:r>
    </w:p>
    <w:p>
      <w:pPr>
        <w:pStyle w:val="TextBody"/>
        <w:bidi w:val="0"/>
        <w:spacing w:before="360" w:after="0"/>
        <w:jc w:val="left"/>
        <w:rPr>
          <w:rFonts w:ascii="Times New Roman" w:hAnsi="Times New Roman"/>
          <w:spacing w:val="0"/>
          <w:sz w:val="20"/>
        </w:rPr>
      </w:pPr>
      <w:r>
        <w:rPr>
          <w:rFonts w:ascii="Times New Roman" w:hAnsi="Times New Roman"/>
          <w:spacing w:val="0"/>
          <w:sz w:val="20"/>
        </w:rPr>
        <w:t xml:space="preserve">/s/ PricewaterhouseCoopers Zhong Tian LLP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Shenzhen, the People’s Republic of China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May 15, 2026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F- 4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b/>
          <w:sz w:val="20"/>
        </w:rPr>
      </w:pPr>
      <w:r>
        <w:rPr>
          <w:b/>
          <w:sz w:val="20"/>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918"/>
        <w:gridCol w:w="120"/>
        <w:gridCol w:w="60"/>
        <w:gridCol w:w="530"/>
        <w:gridCol w:w="60"/>
        <w:gridCol w:w="120"/>
        <w:gridCol w:w="60"/>
        <w:gridCol w:w="980"/>
        <w:gridCol w:w="60"/>
        <w:gridCol w:w="120"/>
        <w:gridCol w:w="60"/>
        <w:gridCol w:w="980"/>
        <w:gridCol w:w="60"/>
        <w:gridCol w:w="120"/>
        <w:gridCol w:w="61"/>
        <w:gridCol w:w="818"/>
        <w:gridCol w:w="78"/>
      </w:tblGrid>
      <w:tr>
        <w:trPr/>
        <w:tc>
          <w:tcPr>
            <w:tcW w:w="5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59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9"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9" w:type="dxa"/>
            <w:gridSpan w:val="2"/>
            <w:tcBorders/>
            <w:vAlign w:val="center"/>
          </w:tcPr>
          <w:p>
            <w:pPr>
              <w:pStyle w:val="TableContents"/>
              <w:bidi w:val="0"/>
              <w:spacing w:before="0" w:after="0"/>
              <w:jc w:val="center"/>
              <w:rPr>
                <w:b/>
                <w:spacing w:val="0"/>
              </w:rPr>
            </w:pPr>
            <w:r>
              <w:rPr>
                <w:b/>
                <w:spacing w:val="0"/>
              </w:rPr>
              <w:t>US$</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9" w:type="dxa"/>
            <w:gridSpan w:val="2"/>
            <w:tcBorders/>
            <w:vAlign w:val="center"/>
          </w:tcPr>
          <w:p>
            <w:pPr>
              <w:pStyle w:val="TableContents"/>
              <w:bidi w:val="0"/>
              <w:spacing w:before="0" w:after="283"/>
              <w:jc w:val="center"/>
              <w:rPr/>
            </w:pPr>
            <w:r>
              <w:rPr/>
              <w:t>Note 2(e)</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18" w:type="dxa"/>
            <w:tcBorders/>
            <w:shd w:fill="CCEEFF" w:val="clear"/>
            <w:vAlign w:val="center"/>
          </w:tcPr>
          <w:p>
            <w:pPr>
              <w:pStyle w:val="TableContents"/>
              <w:bidi w:val="0"/>
              <w:spacing w:before="0" w:after="283"/>
              <w:jc w:val="left"/>
              <w:rPr>
                <w:sz w:val="4"/>
                <w:szCs w:val="4"/>
              </w:rPr>
            </w:pPr>
            <w:r>
              <w:rPr>
                <w:sz w:val="4"/>
                <w:szCs w:val="4"/>
              </w:rPr>
            </w:r>
          </w:p>
        </w:tc>
        <w:tc>
          <w:tcPr>
            <w:tcW w:w="78" w:type="dxa"/>
            <w:tcBorders/>
            <w:shd w:fill="CCEEFF" w:val="clear"/>
            <w:vAlign w:val="center"/>
          </w:tcPr>
          <w:p>
            <w:pPr>
              <w:pStyle w:val="TableContents"/>
              <w:bidi w:val="0"/>
              <w:spacing w:before="0" w:after="283"/>
              <w:jc w:val="left"/>
              <w:rPr>
                <w:sz w:val="4"/>
                <w:szCs w:val="4"/>
              </w:rPr>
            </w:pPr>
            <w:r>
              <w:rPr>
                <w:sz w:val="4"/>
                <w:szCs w:val="4"/>
              </w:rPr>
            </w:r>
          </w:p>
        </w:tc>
      </w:tr>
      <w:tr>
        <w:trPr/>
        <w:tc>
          <w:tcPr>
            <w:tcW w:w="59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2(f)</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610,877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36,665</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2(i), 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513,683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843,232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120,581</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short-term 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2(g)</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30,295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29,655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4,241</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 of expected credit losses of RMB103,340 and RMB111,259</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(US$15,910) as of December 31, 2024 and 2025, respectively (including amounts due from related parties, net, of RMB458 and RMB5,188 (US$741) as of December 31, 2024 and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5, 18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58,180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111,670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15,969</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101,634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14,533</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 (including amounts due from a related party, net, of nil and RMB2,070 (US$296) as of December 31, 2024 and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140,922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20,151</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8"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1,357,020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1,483,513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818" w:type="dxa"/>
            <w:tcBorders/>
            <w:shd w:fill="CCEEFF" w:val="clear"/>
            <w:vAlign w:val="center"/>
          </w:tcPr>
          <w:p>
            <w:pPr>
              <w:pStyle w:val="TableContents"/>
              <w:bidi w:val="0"/>
              <w:spacing w:before="0" w:after="0"/>
              <w:jc w:val="right"/>
              <w:rPr>
                <w:b/>
                <w:spacing w:val="0"/>
              </w:rPr>
            </w:pPr>
            <w:r>
              <w:rPr>
                <w:b/>
                <w:spacing w:val="0"/>
              </w:rPr>
              <w:t>212,140</w:t>
            </w:r>
          </w:p>
        </w:tc>
        <w:tc>
          <w:tcPr>
            <w:tcW w:w="78" w:type="dxa"/>
            <w:tcBorders/>
            <w:shd w:fill="CCEEFF" w:val="clear"/>
            <w:vAlign w:val="center"/>
          </w:tcPr>
          <w:p>
            <w:pPr>
              <w:pStyle w:val="TableContents"/>
              <w:bidi w:val="0"/>
              <w:spacing w:before="0" w:after="0"/>
              <w:jc w:val="left"/>
              <w:rPr>
                <w:spacing w:val="0"/>
              </w:rPr>
            </w:pPr>
            <w:r>
              <w:rPr>
                <w:spacing w:val="0"/>
              </w:rPr>
              <w:t> </w:t>
            </w:r>
          </w:p>
        </w:tc>
      </w:tr>
      <w:tr>
        <w:trPr/>
        <w:tc>
          <w:tcPr>
            <w:tcW w:w="5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8"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36,901</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2(y)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128,433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116,468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16,655</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2(m)</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1,623</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2(n)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388</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equity method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23,897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4,125</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45,330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6,482</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997</w:t>
            </w:r>
          </w:p>
        </w:tc>
        <w:tc>
          <w:tcPr>
            <w:tcW w:w="78" w:type="dxa"/>
            <w:tcBorders/>
            <w:shd w:fill="CCEEFF" w:val="clear"/>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38,294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right"/>
              <w:rPr/>
            </w:pPr>
            <w:r>
              <w:rPr/>
              <w:t>5,476</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8"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5918"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227,478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508,020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818" w:type="dxa"/>
            <w:tcBorders/>
            <w:shd w:fill="CCEEFF" w:val="clear"/>
            <w:vAlign w:val="center"/>
          </w:tcPr>
          <w:p>
            <w:pPr>
              <w:pStyle w:val="TableContents"/>
              <w:bidi w:val="0"/>
              <w:spacing w:before="0" w:after="0"/>
              <w:jc w:val="right"/>
              <w:rPr>
                <w:b/>
                <w:spacing w:val="0"/>
              </w:rPr>
            </w:pPr>
            <w:r>
              <w:rPr>
                <w:b/>
                <w:spacing w:val="0"/>
              </w:rPr>
              <w:t>72,647</w:t>
            </w:r>
          </w:p>
        </w:tc>
        <w:tc>
          <w:tcPr>
            <w:tcW w:w="78" w:type="dxa"/>
            <w:tcBorders/>
            <w:shd w:fill="CCEEFF" w:val="clear"/>
            <w:vAlign w:val="center"/>
          </w:tcPr>
          <w:p>
            <w:pPr>
              <w:pStyle w:val="TableContents"/>
              <w:bidi w:val="0"/>
              <w:spacing w:before="0" w:after="0"/>
              <w:jc w:val="left"/>
              <w:rPr>
                <w:spacing w:val="0"/>
              </w:rPr>
            </w:pPr>
            <w:r>
              <w:rPr>
                <w:spacing w:val="0"/>
              </w:rPr>
              <w:t> </w:t>
            </w:r>
          </w:p>
        </w:tc>
      </w:tr>
      <w:tr>
        <w:trPr/>
        <w:tc>
          <w:tcPr>
            <w:tcW w:w="5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18"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283"/>
              <w:jc w:val="left"/>
              <w:rPr/>
            </w:pPr>
            <w:r>
              <w:rPr/>
              <w:t> </w:t>
            </w:r>
          </w:p>
        </w:tc>
      </w:tr>
      <w:tr>
        <w:trPr/>
        <w:tc>
          <w:tcPr>
            <w:tcW w:w="59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1,584,498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1,991,533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818" w:type="dxa"/>
            <w:tcBorders/>
            <w:vAlign w:val="center"/>
          </w:tcPr>
          <w:p>
            <w:pPr>
              <w:pStyle w:val="TableContents"/>
              <w:bidi w:val="0"/>
              <w:spacing w:before="0" w:after="0"/>
              <w:jc w:val="right"/>
              <w:rPr>
                <w:b/>
                <w:spacing w:val="0"/>
              </w:rPr>
            </w:pPr>
            <w:r>
              <w:rPr>
                <w:b/>
                <w:spacing w:val="0"/>
              </w:rPr>
              <w:t>284,787</w:t>
            </w:r>
          </w:p>
        </w:tc>
        <w:tc>
          <w:tcPr>
            <w:tcW w:w="78" w:type="dxa"/>
            <w:tcBorders/>
            <w:vAlign w:val="center"/>
          </w:tcPr>
          <w:p>
            <w:pPr>
              <w:pStyle w:val="TableContents"/>
              <w:bidi w:val="0"/>
              <w:spacing w:before="0" w:after="0"/>
              <w:jc w:val="left"/>
              <w:rPr>
                <w:spacing w:val="0"/>
              </w:rPr>
            </w:pPr>
            <w:r>
              <w:rPr>
                <w:spacing w:val="0"/>
              </w:rPr>
              <w:t> </w:t>
            </w:r>
          </w:p>
        </w:tc>
      </w:tr>
      <w:tr>
        <w:trPr/>
        <w:tc>
          <w:tcPr>
            <w:tcW w:w="5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18"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359"/>
        <w:gridCol w:w="120"/>
        <w:gridCol w:w="93"/>
        <w:gridCol w:w="408"/>
        <w:gridCol w:w="60"/>
        <w:gridCol w:w="120"/>
        <w:gridCol w:w="60"/>
        <w:gridCol w:w="800"/>
        <w:gridCol w:w="60"/>
        <w:gridCol w:w="120"/>
        <w:gridCol w:w="60"/>
        <w:gridCol w:w="800"/>
        <w:gridCol w:w="60"/>
        <w:gridCol w:w="120"/>
        <w:gridCol w:w="61"/>
        <w:gridCol w:w="827"/>
        <w:gridCol w:w="77"/>
      </w:tblGrid>
      <w:tr>
        <w:trPr/>
        <w:tc>
          <w:tcPr>
            <w:tcW w:w="6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68"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2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8" w:type="dxa"/>
            <w:gridSpan w:val="2"/>
            <w:tcBorders/>
            <w:vAlign w:val="center"/>
          </w:tcPr>
          <w:p>
            <w:pPr>
              <w:pStyle w:val="TableContents"/>
              <w:bidi w:val="0"/>
              <w:spacing w:before="0" w:after="0"/>
              <w:jc w:val="center"/>
              <w:rPr>
                <w:b/>
                <w:spacing w:val="0"/>
              </w:rPr>
            </w:pPr>
            <w:r>
              <w:rPr>
                <w:b/>
                <w:spacing w:val="0"/>
              </w:rPr>
              <w:t>US$</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8" w:type="dxa"/>
            <w:gridSpan w:val="2"/>
            <w:tcBorders/>
            <w:vAlign w:val="center"/>
          </w:tcPr>
          <w:p>
            <w:pPr>
              <w:pStyle w:val="TableContents"/>
              <w:bidi w:val="0"/>
              <w:spacing w:before="0" w:after="283"/>
              <w:jc w:val="center"/>
              <w:rPr/>
            </w:pPr>
            <w:r>
              <w:rPr/>
              <w:t>Note 2(e)</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6359"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Current liabilities </w:t>
            </w:r>
          </w:p>
          <w:p>
            <w:pPr>
              <w:pStyle w:val="TableContents"/>
              <w:bidi w:val="0"/>
              <w:spacing w:before="0" w:after="0"/>
              <w:jc w:val="left"/>
              <w:rPr>
                <w:rFonts w:ascii="Times New Roman" w:hAnsi="Times New Roman"/>
                <w:sz w:val="20"/>
              </w:rPr>
            </w:pPr>
            <w:r>
              <w:rPr>
                <w:rFonts w:ascii="Times New Roman" w:hAnsi="Times New Roman"/>
                <w:sz w:val="20"/>
              </w:rPr>
              <w:t xml:space="preserve">(including current liabilities of the consolidated variable interest entity and its subsidiaries </w:t>
              <w:br/>
              <w:t>(“VIEs”) without recourse to EHang Holdings Limited (the “Company”) of RMB38,837 and</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RMB45,285</w:t>
            </w:r>
          </w:p>
          <w:p>
            <w:pPr>
              <w:pStyle w:val="TableContents"/>
              <w:bidi w:val="0"/>
              <w:spacing w:before="0" w:after="0"/>
              <w:jc w:val="left"/>
              <w:rPr>
                <w:spacing w:val="0"/>
              </w:rPr>
            </w:pPr>
            <w:r>
              <w:rPr>
                <w:spacing w:val="0"/>
              </w:rPr>
            </w:r>
          </w:p>
          <w:p>
            <w:pPr>
              <w:pStyle w:val="TableContents"/>
              <w:bidi w:val="0"/>
              <w:spacing w:before="0" w:after="0"/>
              <w:jc w:val="left"/>
              <w:rPr>
                <w:rFonts w:ascii="Times New Roman" w:hAnsi="Times New Roman"/>
                <w:sz w:val="20"/>
              </w:rPr>
            </w:pPr>
            <w:r>
              <w:rPr>
                <w:rFonts w:ascii="Times New Roman" w:hAnsi="Times New Roman"/>
                <w:sz w:val="20"/>
              </w:rPr>
              <w:t>(US$6,475) as of December 31, 2024 and 2025, respectively)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bank loans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229,611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32,834</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127,446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132,509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18,949</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 liabilities (including amounts due to related parties of RMB2,000 and RMB2,307 (US$330) as of December 31, 2024 and 2025)</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62,561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60,839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8,700</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bank loans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1,401</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Mandatorily redeemable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150,196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263,439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37,671</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2(y)</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16,278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2,328</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117</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government subsidies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2(z)</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98</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260</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27"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470,343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715,797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827" w:type="dxa"/>
            <w:tcBorders/>
            <w:shd w:fill="CCEEFF" w:val="clear"/>
            <w:vAlign w:val="center"/>
          </w:tcPr>
          <w:p>
            <w:pPr>
              <w:pStyle w:val="TableContents"/>
              <w:bidi w:val="0"/>
              <w:spacing w:before="0" w:after="0"/>
              <w:jc w:val="right"/>
              <w:rPr>
                <w:b/>
                <w:spacing w:val="0"/>
              </w:rPr>
            </w:pPr>
            <w:r>
              <w:rPr>
                <w:b/>
                <w:spacing w:val="0"/>
              </w:rPr>
              <w:t>102,358</w:t>
            </w:r>
          </w:p>
        </w:tc>
        <w:tc>
          <w:tcPr>
            <w:tcW w:w="77" w:type="dxa"/>
            <w:tcBorders/>
            <w:shd w:fill="CCEEFF" w:val="clear"/>
            <w:vAlign w:val="center"/>
          </w:tcPr>
          <w:p>
            <w:pPr>
              <w:pStyle w:val="TableContents"/>
              <w:bidi w:val="0"/>
              <w:spacing w:before="0" w:after="0"/>
              <w:jc w:val="left"/>
              <w:rPr>
                <w:spacing w:val="0"/>
              </w:rPr>
            </w:pPr>
            <w:r>
              <w:rPr>
                <w:spacing w:val="0"/>
              </w:rPr>
              <w:t> </w:t>
            </w:r>
          </w:p>
        </w:tc>
      </w:tr>
      <w:tr>
        <w:trPr/>
        <w:tc>
          <w:tcPr>
            <w:tcW w:w="6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27"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p>
            <w:pPr>
              <w:pStyle w:val="TableContents"/>
              <w:bidi w:val="0"/>
              <w:spacing w:before="0" w:after="0"/>
              <w:jc w:val="left"/>
              <w:rPr>
                <w:rFonts w:ascii="Times New Roman" w:hAnsi="Times New Roman"/>
                <w:sz w:val="20"/>
              </w:rPr>
            </w:pPr>
            <w:r>
              <w:rPr>
                <w:rFonts w:ascii="Times New Roman" w:hAnsi="Times New Roman"/>
                <w:sz w:val="20"/>
              </w:rPr>
              <w:t xml:space="preserve">(including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 of the VIEs without recourse to the Company of RMB7,588 and RMB5,588</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(US$799) as of December 31, 2024 and 2025, respectively)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bank loans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82,700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11,826</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42</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784</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2(y)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114,246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16,337</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669</w:t>
            </w:r>
          </w:p>
        </w:tc>
        <w:tc>
          <w:tcPr>
            <w:tcW w:w="77" w:type="dxa"/>
            <w:tcBorders/>
            <w:shd w:fill="CCEEFF" w:val="clear"/>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27"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Total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158,341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207,394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spacing w:val="0"/>
              </w:rPr>
            </w:pPr>
            <w:r>
              <w:rPr>
                <w:spacing w:val="0"/>
              </w:rPr>
              <w:t> </w:t>
            </w:r>
          </w:p>
        </w:tc>
        <w:tc>
          <w:tcPr>
            <w:tcW w:w="827" w:type="dxa"/>
            <w:tcBorders/>
            <w:vAlign w:val="center"/>
          </w:tcPr>
          <w:p>
            <w:pPr>
              <w:pStyle w:val="TableContents"/>
              <w:bidi w:val="0"/>
              <w:spacing w:before="0" w:after="0"/>
              <w:jc w:val="right"/>
              <w:rPr>
                <w:b/>
                <w:spacing w:val="0"/>
              </w:rPr>
            </w:pPr>
            <w:r>
              <w:rPr>
                <w:b/>
                <w:spacing w:val="0"/>
              </w:rPr>
              <w:t>29,658</w:t>
            </w:r>
          </w:p>
        </w:tc>
        <w:tc>
          <w:tcPr>
            <w:tcW w:w="77" w:type="dxa"/>
            <w:tcBorders/>
            <w:vAlign w:val="center"/>
          </w:tcPr>
          <w:p>
            <w:pPr>
              <w:pStyle w:val="TableContents"/>
              <w:bidi w:val="0"/>
              <w:spacing w:before="0" w:after="0"/>
              <w:jc w:val="left"/>
              <w:rPr>
                <w:spacing w:val="0"/>
              </w:rPr>
            </w:pPr>
            <w:r>
              <w:rPr>
                <w:spacing w:val="0"/>
              </w:rPr>
              <w:t> </w:t>
            </w:r>
          </w:p>
        </w:tc>
      </w:tr>
      <w:tr>
        <w:trPr/>
        <w:tc>
          <w:tcPr>
            <w:tcW w:w="6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827"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635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628,684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923,191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0"/>
              <w:jc w:val="left"/>
              <w:rPr>
                <w:spacing w:val="0"/>
              </w:rPr>
            </w:pPr>
            <w:r>
              <w:rPr>
                <w:spacing w:val="0"/>
              </w:rPr>
              <w:t> </w:t>
            </w:r>
          </w:p>
        </w:tc>
        <w:tc>
          <w:tcPr>
            <w:tcW w:w="827" w:type="dxa"/>
            <w:tcBorders/>
            <w:shd w:fill="CCEEFF" w:val="clear"/>
            <w:vAlign w:val="center"/>
          </w:tcPr>
          <w:p>
            <w:pPr>
              <w:pStyle w:val="TableContents"/>
              <w:bidi w:val="0"/>
              <w:spacing w:before="0" w:after="0"/>
              <w:jc w:val="right"/>
              <w:rPr>
                <w:b/>
                <w:spacing w:val="0"/>
              </w:rPr>
            </w:pPr>
            <w:r>
              <w:rPr>
                <w:b/>
                <w:spacing w:val="0"/>
              </w:rPr>
              <w:t>132,016</w:t>
            </w:r>
          </w:p>
        </w:tc>
        <w:tc>
          <w:tcPr>
            <w:tcW w:w="77" w:type="dxa"/>
            <w:tcBorders/>
            <w:shd w:fill="CCEEFF" w:val="clear"/>
            <w:vAlign w:val="center"/>
          </w:tcPr>
          <w:p>
            <w:pPr>
              <w:pStyle w:val="TableContents"/>
              <w:bidi w:val="0"/>
              <w:spacing w:before="0" w:after="0"/>
              <w:jc w:val="left"/>
              <w:rPr>
                <w:spacing w:val="0"/>
              </w:rPr>
            </w:pPr>
            <w:r>
              <w:rPr>
                <w:spacing w:val="0"/>
              </w:rPr>
              <w:t> </w:t>
            </w:r>
          </w:p>
        </w:tc>
      </w:tr>
      <w:tr>
        <w:trPr/>
        <w:tc>
          <w:tcPr>
            <w:tcW w:w="6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827"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r>
        <w:trPr/>
        <w:tc>
          <w:tcPr>
            <w:tcW w:w="6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Commitments and Contingencies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40"/>
        <w:gridCol w:w="120"/>
        <w:gridCol w:w="93"/>
        <w:gridCol w:w="407"/>
        <w:gridCol w:w="60"/>
        <w:gridCol w:w="120"/>
        <w:gridCol w:w="60"/>
        <w:gridCol w:w="1055"/>
        <w:gridCol w:w="155"/>
        <w:gridCol w:w="60"/>
        <w:gridCol w:w="60"/>
        <w:gridCol w:w="1055"/>
        <w:gridCol w:w="155"/>
        <w:gridCol w:w="60"/>
        <w:gridCol w:w="60"/>
        <w:gridCol w:w="875"/>
        <w:gridCol w:w="170"/>
      </w:tblGrid>
      <w:tr>
        <w:trPr/>
        <w:tc>
          <w:tcPr>
            <w:tcW w:w="5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9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Note 2(e)</w:t>
            </w:r>
          </w:p>
        </w:tc>
        <w:tc>
          <w:tcPr>
            <w:tcW w:w="170" w:type="dxa"/>
            <w:tcBorders/>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 (US$0.0001 par value; 1,904,577,337 shares authorized, 106,532,825 shares issued and 104,828,035 shares outstanding as of December 31, 2024; 1,904,577,337 shares authorized, 111,736,100 shares issued and 111,215,614 shares outstanding as of December 31, 2025)</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B ordinary shares (US$0.0001 par value; 45,422,663 shares authorized, 39,026,560 shares issued and outstanding as of December 31, 2024 and 2025)</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2,923,178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3,335,371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476,952</w:t>
            </w:r>
          </w:p>
        </w:tc>
        <w:tc>
          <w:tcPr>
            <w:tcW w:w="170" w:type="dxa"/>
            <w:tcBorders/>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shares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(1,442</w:t>
            </w:r>
          </w:p>
        </w:tc>
        <w:tc>
          <w:tcPr>
            <w:tcW w:w="170" w:type="dxa"/>
            <w:tcBorders/>
            <w:shd w:fill="CCEEFF" w:val="clear"/>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Statutory reserves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472</w:t>
            </w:r>
          </w:p>
        </w:tc>
        <w:tc>
          <w:tcPr>
            <w:tcW w:w="170" w:type="dxa"/>
            <w:tcBorders/>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(1,984,851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(2,262,358</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(323,513</w:t>
            </w:r>
          </w:p>
        </w:tc>
        <w:tc>
          <w:tcPr>
            <w:tcW w:w="170" w:type="dxa"/>
            <w:tcBorders/>
            <w:shd w:fill="CCEEFF" w:val="clear"/>
            <w:vAlign w:val="center"/>
          </w:tcPr>
          <w:p>
            <w:pPr>
              <w:pStyle w:val="TableContents"/>
              <w:bidi w:val="0"/>
              <w:spacing w:before="0" w:after="283"/>
              <w:jc w:val="left"/>
              <w:rPr/>
            </w:pPr>
            <w:r>
              <w:rPr/>
              <w:t>)</w:t>
            </w:r>
          </w:p>
        </w:tc>
      </w:tr>
      <w:tr>
        <w:trPr/>
        <w:tc>
          <w:tcPr>
            <w:tcW w:w="5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25,539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373</w:t>
            </w:r>
          </w:p>
        </w:tc>
        <w:tc>
          <w:tcPr>
            <w:tcW w:w="170"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EHang Holdings Limited shareholders’ equity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955,643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1,068,927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152,855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w:t>
            </w:r>
          </w:p>
        </w:tc>
        <w:tc>
          <w:tcPr>
            <w:tcW w:w="170"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955,814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1,068,342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152,771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1,584,498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1,991,533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284,787</w:t>
            </w:r>
          </w:p>
        </w:tc>
        <w:tc>
          <w:tcPr>
            <w:tcW w:w="170" w:type="dxa"/>
            <w:tcBorders/>
            <w:vAlign w:val="center"/>
          </w:tcPr>
          <w:p>
            <w:pPr>
              <w:pStyle w:val="TableContents"/>
              <w:bidi w:val="0"/>
              <w:spacing w:before="0" w:after="0"/>
              <w:jc w:val="left"/>
              <w:rPr>
                <w:spacing w:val="0"/>
              </w:rPr>
            </w:pPr>
            <w:r>
              <w:rPr>
                <w:spacing w:val="0"/>
              </w:rPr>
              <w:t> </w:t>
            </w:r>
          </w:p>
        </w:tc>
      </w:tr>
      <w:tr>
        <w:trPr/>
        <w:tc>
          <w:tcPr>
            <w:tcW w:w="5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per share data and per ADS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57"/>
        <w:gridCol w:w="120"/>
        <w:gridCol w:w="60"/>
        <w:gridCol w:w="620"/>
        <w:gridCol w:w="60"/>
        <w:gridCol w:w="120"/>
        <w:gridCol w:w="60"/>
        <w:gridCol w:w="875"/>
        <w:gridCol w:w="155"/>
        <w:gridCol w:w="60"/>
        <w:gridCol w:w="60"/>
        <w:gridCol w:w="875"/>
        <w:gridCol w:w="155"/>
        <w:gridCol w:w="60"/>
        <w:gridCol w:w="60"/>
        <w:gridCol w:w="875"/>
        <w:gridCol w:w="155"/>
        <w:gridCol w:w="60"/>
        <w:gridCol w:w="62"/>
        <w:gridCol w:w="785"/>
        <w:gridCol w:w="171"/>
      </w:tblGrid>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97"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7" w:type="dxa"/>
            <w:gridSpan w:val="2"/>
            <w:tcBorders/>
            <w:vAlign w:val="center"/>
          </w:tcPr>
          <w:p>
            <w:pPr>
              <w:pStyle w:val="TableContents"/>
              <w:bidi w:val="0"/>
              <w:spacing w:before="0" w:after="0"/>
              <w:jc w:val="center"/>
              <w:rPr>
                <w:b/>
                <w:spacing w:val="0"/>
              </w:rPr>
            </w:pPr>
            <w:r>
              <w:rPr>
                <w:b/>
                <w:spacing w:val="0"/>
              </w:rPr>
              <w:t>US$</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7" w:type="dxa"/>
            <w:gridSpan w:val="2"/>
            <w:tcBorders/>
            <w:vAlign w:val="center"/>
          </w:tcPr>
          <w:p>
            <w:pPr>
              <w:pStyle w:val="TableContents"/>
              <w:bidi w:val="0"/>
              <w:spacing w:before="0" w:after="283"/>
              <w:jc w:val="center"/>
              <w:rPr/>
            </w:pPr>
            <w:r>
              <w:rPr/>
              <w:t>Note 2(e)</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Products (including related party revenues of RMB11,859, RMB133 and RMB13,316 (US$1,904) for the years ended December 31, 2023, 2024 and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14, 18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100,960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440,641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405,037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57,919</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 (including related party revenues of nil, RMB1,225 and RMB394 (US$56) for the years ended December 31, 2023, 2024 and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14, 18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16,466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15,511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1,851</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117,426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456,152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417,981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85" w:type="dxa"/>
            <w:tcBorders/>
            <w:vAlign w:val="center"/>
          </w:tcPr>
          <w:p>
            <w:pPr>
              <w:pStyle w:val="TableContents"/>
              <w:bidi w:val="0"/>
              <w:spacing w:before="0" w:after="0"/>
              <w:jc w:val="right"/>
              <w:rPr>
                <w:b/>
                <w:spacing w:val="0"/>
              </w:rPr>
            </w:pPr>
            <w:r>
              <w:rPr>
                <w:b/>
                <w:spacing w:val="0"/>
              </w:rPr>
              <w:t>59,770</w:t>
            </w:r>
          </w:p>
        </w:tc>
        <w:tc>
          <w:tcPr>
            <w:tcW w:w="171" w:type="dxa"/>
            <w:tcBorders/>
            <w:vAlign w:val="center"/>
          </w:tcPr>
          <w:p>
            <w:pPr>
              <w:pStyle w:val="TableContents"/>
              <w:bidi w:val="0"/>
              <w:spacing w:before="0" w:after="0"/>
              <w:jc w:val="left"/>
              <w:rPr>
                <w:spacing w:val="0"/>
              </w:rPr>
            </w:pPr>
            <w:r>
              <w:rPr>
                <w:spacing w:val="0"/>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(34,304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(171,035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(157,958</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(22,588</w:t>
            </w:r>
          </w:p>
        </w:tc>
        <w:tc>
          <w:tcPr>
            <w:tcW w:w="171" w:type="dxa"/>
            <w:tcBorders/>
            <w:vAlign w:val="center"/>
          </w:tcPr>
          <w:p>
            <w:pPr>
              <w:pStyle w:val="TableContents"/>
              <w:bidi w:val="0"/>
              <w:spacing w:before="0" w:after="283"/>
              <w:jc w:val="left"/>
              <w:rPr/>
            </w:pPr>
            <w:r>
              <w:rPr/>
              <w:t>)</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(410</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(42,115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(176,206</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(160,827</w:t>
            </w:r>
          </w:p>
        </w:tc>
        <w:tc>
          <w:tcPr>
            <w:tcW w:w="155" w:type="dxa"/>
            <w:tcBorders/>
            <w:vAlign w:val="center"/>
          </w:tcPr>
          <w:p>
            <w:pPr>
              <w:pStyle w:val="TableContents"/>
              <w:bidi w:val="0"/>
              <w:spacing w:before="0" w:after="0"/>
              <w:jc w:val="left"/>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85" w:type="dxa"/>
            <w:tcBorders/>
            <w:vAlign w:val="center"/>
          </w:tcPr>
          <w:p>
            <w:pPr>
              <w:pStyle w:val="TableContents"/>
              <w:bidi w:val="0"/>
              <w:spacing w:before="0" w:after="0"/>
              <w:jc w:val="right"/>
              <w:rPr>
                <w:b/>
                <w:spacing w:val="0"/>
              </w:rPr>
            </w:pPr>
            <w:r>
              <w:rPr>
                <w:b/>
                <w:spacing w:val="0"/>
              </w:rPr>
              <w:t>(22,998</w:t>
            </w:r>
          </w:p>
        </w:tc>
        <w:tc>
          <w:tcPr>
            <w:tcW w:w="171" w:type="dxa"/>
            <w:tcBorders/>
            <w:vAlign w:val="center"/>
          </w:tcPr>
          <w:p>
            <w:pPr>
              <w:pStyle w:val="TableContents"/>
              <w:bidi w:val="0"/>
              <w:spacing w:before="0" w:after="0"/>
              <w:jc w:val="left"/>
              <w:rPr>
                <w:b/>
                <w:spacing w:val="0"/>
              </w:rPr>
            </w:pPr>
            <w:r>
              <w:rPr>
                <w:b/>
                <w:spacing w:val="0"/>
              </w:rPr>
              <w:t>)</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75,311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279,946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257,154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785" w:type="dxa"/>
            <w:tcBorders/>
            <w:shd w:fill="CCEEFF" w:val="clear"/>
            <w:vAlign w:val="center"/>
          </w:tcPr>
          <w:p>
            <w:pPr>
              <w:pStyle w:val="TableContents"/>
              <w:bidi w:val="0"/>
              <w:spacing w:before="0" w:after="0"/>
              <w:jc w:val="right"/>
              <w:rPr>
                <w:b/>
                <w:spacing w:val="0"/>
              </w:rPr>
            </w:pPr>
            <w:r>
              <w:rPr>
                <w:b/>
                <w:spacing w:val="0"/>
              </w:rPr>
              <w:t>36,772</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7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(60,389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(17,449</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(150,092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(233,398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(269,648</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(38,559</w:t>
            </w:r>
          </w:p>
        </w:tc>
        <w:tc>
          <w:tcPr>
            <w:tcW w:w="171" w:type="dxa"/>
            <w:tcBorders/>
            <w:vAlign w:val="center"/>
          </w:tcPr>
          <w:p>
            <w:pPr>
              <w:pStyle w:val="TableContents"/>
              <w:bidi w:val="0"/>
              <w:spacing w:before="0" w:after="283"/>
              <w:jc w:val="left"/>
              <w:rPr/>
            </w:pPr>
            <w:r>
              <w:rPr/>
              <w:t>)</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(167,315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(199,465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(194,581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(27,825</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(377,796</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(563,890</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(586,249</w:t>
            </w:r>
          </w:p>
        </w:tc>
        <w:tc>
          <w:tcPr>
            <w:tcW w:w="155" w:type="dxa"/>
            <w:tcBorders/>
            <w:vAlign w:val="center"/>
          </w:tcPr>
          <w:p>
            <w:pPr>
              <w:pStyle w:val="TableContents"/>
              <w:bidi w:val="0"/>
              <w:spacing w:before="0" w:after="0"/>
              <w:jc w:val="left"/>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85" w:type="dxa"/>
            <w:tcBorders/>
            <w:vAlign w:val="center"/>
          </w:tcPr>
          <w:p>
            <w:pPr>
              <w:pStyle w:val="TableContents"/>
              <w:bidi w:val="0"/>
              <w:spacing w:before="0" w:after="0"/>
              <w:jc w:val="right"/>
              <w:rPr>
                <w:b/>
                <w:spacing w:val="0"/>
              </w:rPr>
            </w:pPr>
            <w:r>
              <w:rPr>
                <w:b/>
                <w:spacing w:val="0"/>
              </w:rPr>
              <w:t>(83,833</w:t>
            </w:r>
          </w:p>
        </w:tc>
        <w:tc>
          <w:tcPr>
            <w:tcW w:w="171" w:type="dxa"/>
            <w:tcBorders/>
            <w:vAlign w:val="center"/>
          </w:tcPr>
          <w:p>
            <w:pPr>
              <w:pStyle w:val="TableContents"/>
              <w:bidi w:val="0"/>
              <w:spacing w:before="0" w:after="0"/>
              <w:jc w:val="left"/>
              <w:rPr>
                <w:b/>
                <w:spacing w:val="0"/>
              </w:rPr>
            </w:pPr>
            <w:r>
              <w:rPr>
                <w:b/>
                <w:spacing w:val="0"/>
              </w:rPr>
              <w:t>)</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2(z)</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29,869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1,771</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(296,252</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(254,075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(316,712</w:t>
            </w:r>
          </w:p>
        </w:tc>
        <w:tc>
          <w:tcPr>
            <w:tcW w:w="155" w:type="dxa"/>
            <w:tcBorders/>
            <w:vAlign w:val="center"/>
          </w:tcPr>
          <w:p>
            <w:pPr>
              <w:pStyle w:val="TableContents"/>
              <w:bidi w:val="0"/>
              <w:spacing w:before="0" w:after="0"/>
              <w:jc w:val="left"/>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85" w:type="dxa"/>
            <w:tcBorders/>
            <w:vAlign w:val="center"/>
          </w:tcPr>
          <w:p>
            <w:pPr>
              <w:pStyle w:val="TableContents"/>
              <w:bidi w:val="0"/>
              <w:spacing w:before="0" w:after="0"/>
              <w:jc w:val="right"/>
              <w:rPr>
                <w:b/>
                <w:spacing w:val="0"/>
              </w:rPr>
            </w:pPr>
            <w:r>
              <w:rPr>
                <w:b/>
                <w:spacing w:val="0"/>
              </w:rPr>
              <w:t>(45,290</w:t>
            </w:r>
          </w:p>
        </w:tc>
        <w:tc>
          <w:tcPr>
            <w:tcW w:w="171" w:type="dxa"/>
            <w:tcBorders/>
            <w:vAlign w:val="center"/>
          </w:tcPr>
          <w:p>
            <w:pPr>
              <w:pStyle w:val="TableContents"/>
              <w:bidi w:val="0"/>
              <w:spacing w:before="0" w:after="0"/>
              <w:jc w:val="left"/>
              <w:rPr>
                <w:b/>
                <w:spacing w:val="0"/>
              </w:rPr>
            </w:pPr>
            <w:r>
              <w:rPr>
                <w:b/>
                <w:spacing w:val="0"/>
              </w:rPr>
              <w:t>)</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(expenses)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investment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8,484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30,599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58,588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8,378</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(855</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gains (losses),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168</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402</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non-operating</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0"/>
              <w:jc w:val="center"/>
              <w:rPr>
                <w:spacing w:val="0"/>
              </w:rPr>
            </w:pPr>
            <w:r>
              <w:rPr>
                <w:spacing w:val="0"/>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(15,456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(2,210</w:t>
            </w:r>
          </w:p>
        </w:tc>
        <w:tc>
          <w:tcPr>
            <w:tcW w:w="171" w:type="dxa"/>
            <w:tcBorders/>
            <w:shd w:fill="CCEEFF" w:val="clear"/>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(expenses)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(4,323</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28,782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41,140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spacing w:val="0"/>
              </w:rPr>
            </w:pPr>
            <w:r>
              <w:rPr>
                <w:spacing w:val="0"/>
              </w:rPr>
              <w:t> </w:t>
            </w:r>
          </w:p>
        </w:tc>
        <w:tc>
          <w:tcPr>
            <w:tcW w:w="785" w:type="dxa"/>
            <w:tcBorders/>
            <w:vAlign w:val="center"/>
          </w:tcPr>
          <w:p>
            <w:pPr>
              <w:pStyle w:val="TableContents"/>
              <w:bidi w:val="0"/>
              <w:spacing w:before="0" w:after="0"/>
              <w:jc w:val="right"/>
              <w:rPr>
                <w:b/>
                <w:spacing w:val="0"/>
              </w:rPr>
            </w:pPr>
            <w:r>
              <w:rPr>
                <w:b/>
                <w:spacing w:val="0"/>
              </w:rPr>
              <w:t>5,883</w:t>
            </w:r>
          </w:p>
        </w:tc>
        <w:tc>
          <w:tcPr>
            <w:tcW w:w="171" w:type="dxa"/>
            <w:tcBorders/>
            <w:vAlign w:val="center"/>
          </w:tcPr>
          <w:p>
            <w:pPr>
              <w:pStyle w:val="TableContents"/>
              <w:bidi w:val="0"/>
              <w:spacing w:before="0" w:after="0"/>
              <w:jc w:val="left"/>
              <w:rPr>
                <w:spacing w:val="0"/>
              </w:rPr>
            </w:pPr>
            <w:r>
              <w:rPr>
                <w:spacing w:val="0"/>
              </w:rPr>
              <w:t> </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income tax and loss from equity method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(300,575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(225,293</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(275,572</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785" w:type="dxa"/>
            <w:tcBorders/>
            <w:shd w:fill="CCEEFF" w:val="clear"/>
            <w:vAlign w:val="center"/>
          </w:tcPr>
          <w:p>
            <w:pPr>
              <w:pStyle w:val="TableContents"/>
              <w:bidi w:val="0"/>
              <w:spacing w:before="0" w:after="0"/>
              <w:jc w:val="right"/>
              <w:rPr>
                <w:b/>
                <w:spacing w:val="0"/>
              </w:rPr>
            </w:pPr>
            <w:r>
              <w:rPr>
                <w:b/>
                <w:spacing w:val="0"/>
              </w:rPr>
              <w:t>(39,407</w:t>
            </w:r>
          </w:p>
        </w:tc>
        <w:tc>
          <w:tcPr>
            <w:tcW w:w="171" w:type="dxa"/>
            <w:tcBorders/>
            <w:shd w:fill="CCEEFF" w:val="clear"/>
            <w:vAlign w:val="center"/>
          </w:tcPr>
          <w:p>
            <w:pPr>
              <w:pStyle w:val="TableContents"/>
              <w:bidi w:val="0"/>
              <w:spacing w:before="0" w:after="0"/>
              <w:jc w:val="left"/>
              <w:rPr>
                <w:b/>
                <w:spacing w:val="0"/>
              </w:rPr>
            </w:pPr>
            <w:r>
              <w:rPr>
                <w:b/>
                <w:spacing w:val="0"/>
              </w:rPr>
              <w:t>)</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630</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Loss before loss from equity method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(300,781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(225,679</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(271,163</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785" w:type="dxa"/>
            <w:tcBorders/>
            <w:shd w:fill="CCEEFF" w:val="clear"/>
            <w:vAlign w:val="center"/>
          </w:tcPr>
          <w:p>
            <w:pPr>
              <w:pStyle w:val="TableContents"/>
              <w:bidi w:val="0"/>
              <w:spacing w:before="0" w:after="0"/>
              <w:jc w:val="right"/>
              <w:rPr>
                <w:b/>
                <w:spacing w:val="0"/>
              </w:rPr>
            </w:pPr>
            <w:r>
              <w:rPr>
                <w:b/>
                <w:spacing w:val="0"/>
              </w:rPr>
              <w:t>(38,777</w:t>
            </w:r>
          </w:p>
        </w:tc>
        <w:tc>
          <w:tcPr>
            <w:tcW w:w="171" w:type="dxa"/>
            <w:tcBorders/>
            <w:shd w:fill="CCEEFF" w:val="clear"/>
            <w:vAlign w:val="center"/>
          </w:tcPr>
          <w:p>
            <w:pPr>
              <w:pStyle w:val="TableContents"/>
              <w:bidi w:val="0"/>
              <w:spacing w:before="0" w:after="0"/>
              <w:jc w:val="left"/>
              <w:rPr>
                <w:b/>
                <w:spacing w:val="0"/>
              </w:rPr>
            </w:pPr>
            <w:r>
              <w:rPr>
                <w:b/>
                <w:spacing w:val="0"/>
              </w:rPr>
              <w:t>)</w:t>
            </w:r>
          </w:p>
        </w:tc>
      </w:tr>
      <w:tr>
        <w:trPr/>
        <w:tc>
          <w:tcPr>
            <w:tcW w:w="47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(750</w:t>
            </w:r>
          </w:p>
        </w:tc>
        <w:tc>
          <w:tcPr>
            <w:tcW w:w="171" w:type="dxa"/>
            <w:tcBorders/>
            <w:vAlign w:val="center"/>
          </w:tcPr>
          <w:p>
            <w:pPr>
              <w:pStyle w:val="TableContents"/>
              <w:bidi w:val="0"/>
              <w:spacing w:before="0" w:after="283"/>
              <w:jc w:val="left"/>
              <w:rPr/>
            </w:pPr>
            <w:r>
              <w:rPr/>
              <w:t>) </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(302,341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(230,032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(276,411</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785" w:type="dxa"/>
            <w:tcBorders/>
            <w:shd w:fill="CCEEFF" w:val="clear"/>
            <w:vAlign w:val="center"/>
          </w:tcPr>
          <w:p>
            <w:pPr>
              <w:pStyle w:val="TableContents"/>
              <w:bidi w:val="0"/>
              <w:spacing w:before="0" w:after="0"/>
              <w:jc w:val="right"/>
              <w:rPr>
                <w:b/>
                <w:spacing w:val="0"/>
              </w:rPr>
            </w:pPr>
            <w:r>
              <w:rPr>
                <w:b/>
                <w:spacing w:val="0"/>
              </w:rPr>
              <w:t>(39,527</w:t>
            </w:r>
          </w:p>
        </w:tc>
        <w:tc>
          <w:tcPr>
            <w:tcW w:w="171" w:type="dxa"/>
            <w:tcBorders/>
            <w:shd w:fill="CCEEFF" w:val="clear"/>
            <w:vAlign w:val="center"/>
          </w:tcPr>
          <w:p>
            <w:pPr>
              <w:pStyle w:val="TableContents"/>
              <w:bidi w:val="0"/>
              <w:spacing w:before="0" w:after="0"/>
              <w:jc w:val="left"/>
              <w:rPr>
                <w:b/>
                <w:spacing w:val="0"/>
              </w:rPr>
            </w:pPr>
            <w:r>
              <w:rPr>
                <w:b/>
                <w:spacing w:val="0"/>
              </w:rPr>
              <w:t>)</w:t>
            </w:r>
          </w:p>
        </w:tc>
      </w:tr>
      <w:tr>
        <w:trPr/>
        <w:tc>
          <w:tcPr>
            <w:tcW w:w="4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LOSS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per share data and per ADS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85"/>
        <w:gridCol w:w="120"/>
        <w:gridCol w:w="93"/>
        <w:gridCol w:w="407"/>
        <w:gridCol w:w="60"/>
        <w:gridCol w:w="120"/>
        <w:gridCol w:w="60"/>
        <w:gridCol w:w="875"/>
        <w:gridCol w:w="155"/>
        <w:gridCol w:w="60"/>
        <w:gridCol w:w="60"/>
        <w:gridCol w:w="875"/>
        <w:gridCol w:w="155"/>
        <w:gridCol w:w="60"/>
        <w:gridCol w:w="60"/>
        <w:gridCol w:w="875"/>
        <w:gridCol w:w="155"/>
        <w:gridCol w:w="60"/>
        <w:gridCol w:w="62"/>
        <w:gridCol w:w="836"/>
        <w:gridCol w:w="172"/>
      </w:tblGrid>
      <w:tr>
        <w:trPr/>
        <w:tc>
          <w:tcPr>
            <w:tcW w:w="4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48"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gridSpan w:val="2"/>
            <w:tcBorders/>
            <w:vAlign w:val="center"/>
          </w:tcPr>
          <w:p>
            <w:pPr>
              <w:pStyle w:val="TableContents"/>
              <w:bidi w:val="0"/>
              <w:spacing w:before="0" w:after="0"/>
              <w:jc w:val="center"/>
              <w:rPr>
                <w:b/>
                <w:spacing w:val="0"/>
              </w:rPr>
            </w:pPr>
            <w:r>
              <w:rPr>
                <w:b/>
                <w:spacing w:val="0"/>
              </w:rPr>
              <w:t>US$</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8" w:type="dxa"/>
            <w:gridSpan w:val="2"/>
            <w:tcBorders/>
            <w:vAlign w:val="center"/>
          </w:tcPr>
          <w:p>
            <w:pPr>
              <w:pStyle w:val="TableContents"/>
              <w:bidi w:val="0"/>
              <w:spacing w:before="0" w:after="283"/>
              <w:jc w:val="center"/>
              <w:rPr/>
            </w:pPr>
            <w:r>
              <w:rPr/>
              <w:t>Note 2(e)</w:t>
            </w:r>
          </w:p>
        </w:tc>
        <w:tc>
          <w:tcPr>
            <w:tcW w:w="172" w:type="dxa"/>
            <w:tcBorders/>
            <w:vAlign w:val="center"/>
          </w:tcPr>
          <w:p>
            <w:pPr>
              <w:pStyle w:val="TableContents"/>
              <w:bidi w:val="0"/>
              <w:spacing w:before="0" w:after="283"/>
              <w:jc w:val="left"/>
              <w:rPr/>
            </w:pPr>
            <w:r>
              <w:rPr/>
              <w:t> </w:t>
            </w:r>
          </w:p>
        </w:tc>
      </w:tr>
      <w:tr>
        <w:trPr/>
        <w:tc>
          <w:tcPr>
            <w:tcW w:w="4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(302,341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(230,032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(276,411</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836" w:type="dxa"/>
            <w:tcBorders/>
            <w:shd w:fill="CCEEFF" w:val="clear"/>
            <w:vAlign w:val="center"/>
          </w:tcPr>
          <w:p>
            <w:pPr>
              <w:pStyle w:val="TableContents"/>
              <w:bidi w:val="0"/>
              <w:spacing w:before="0" w:after="0"/>
              <w:jc w:val="right"/>
              <w:rPr>
                <w:b/>
                <w:spacing w:val="0"/>
              </w:rPr>
            </w:pPr>
            <w:r>
              <w:rPr>
                <w:b/>
                <w:spacing w:val="0"/>
              </w:rPr>
              <w:t>(39,527</w:t>
            </w:r>
          </w:p>
        </w:tc>
        <w:tc>
          <w:tcPr>
            <w:tcW w:w="172" w:type="dxa"/>
            <w:tcBorders/>
            <w:shd w:fill="CCEEFF" w:val="clear"/>
            <w:vAlign w:val="center"/>
          </w:tcPr>
          <w:p>
            <w:pPr>
              <w:pStyle w:val="TableContents"/>
              <w:bidi w:val="0"/>
              <w:spacing w:before="0" w:after="0"/>
              <w:jc w:val="left"/>
              <w:rPr>
                <w:b/>
                <w:spacing w:val="0"/>
              </w:rPr>
            </w:pPr>
            <w:r>
              <w:rPr>
                <w:b/>
                <w:spacing w:val="0"/>
              </w:rPr>
              <w:t>)</w:t>
            </w:r>
          </w:p>
        </w:tc>
      </w:tr>
      <w:tr>
        <w:trPr/>
        <w:tc>
          <w:tcPr>
            <w:tcW w:w="4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loss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62</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8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4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EHang Holdings Limited’s ordinary shareholders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(301,700</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(229,776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(275,977</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836" w:type="dxa"/>
            <w:tcBorders/>
            <w:shd w:fill="CCEEFF" w:val="clear"/>
            <w:vAlign w:val="center"/>
          </w:tcPr>
          <w:p>
            <w:pPr>
              <w:pStyle w:val="TableContents"/>
              <w:bidi w:val="0"/>
              <w:spacing w:before="0" w:after="0"/>
              <w:jc w:val="right"/>
              <w:rPr>
                <w:b/>
                <w:spacing w:val="0"/>
              </w:rPr>
            </w:pPr>
            <w:r>
              <w:rPr>
                <w:b/>
                <w:spacing w:val="0"/>
              </w:rPr>
              <w:t>(39,465</w:t>
            </w:r>
          </w:p>
        </w:tc>
        <w:tc>
          <w:tcPr>
            <w:tcW w:w="172" w:type="dxa"/>
            <w:tcBorders/>
            <w:shd w:fill="CCEEFF" w:val="clear"/>
            <w:vAlign w:val="center"/>
          </w:tcPr>
          <w:p>
            <w:pPr>
              <w:pStyle w:val="TableContents"/>
              <w:bidi w:val="0"/>
              <w:spacing w:before="0" w:after="0"/>
              <w:jc w:val="left"/>
              <w:rPr>
                <w:b/>
                <w:spacing w:val="0"/>
              </w:rPr>
            </w:pPr>
            <w:r>
              <w:rPr>
                <w:b/>
                <w:spacing w:val="0"/>
              </w:rPr>
              <w:t>)</w:t>
            </w:r>
          </w:p>
        </w:tc>
      </w:tr>
      <w:tr>
        <w:trPr/>
        <w:tc>
          <w:tcPr>
            <w:tcW w:w="4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836"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per ordinary share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(0.27</w:t>
            </w:r>
          </w:p>
        </w:tc>
        <w:tc>
          <w:tcPr>
            <w:tcW w:w="172" w:type="dxa"/>
            <w:tcBorders/>
            <w:shd w:fill="CCEEFF" w:val="clear"/>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per ADS (2 ordinary shares equal to 1 ADS)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(0.54</w:t>
            </w:r>
          </w:p>
        </w:tc>
        <w:tc>
          <w:tcPr>
            <w:tcW w:w="172" w:type="dxa"/>
            <w:tcBorders/>
            <w:shd w:fill="CCEEFF" w:val="clear"/>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Shares used in net loss per ordinary share computation (in thousands of shares)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134,367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146,665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146,665</w:t>
            </w:r>
          </w:p>
        </w:tc>
        <w:tc>
          <w:tcPr>
            <w:tcW w:w="172" w:type="dxa"/>
            <w:tcBorders/>
            <w:shd w:fill="CCEEFF" w:val="clear"/>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nil tax</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(22,934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(3,280</w:t>
            </w:r>
          </w:p>
        </w:tc>
        <w:tc>
          <w:tcPr>
            <w:tcW w:w="172" w:type="dxa"/>
            <w:tcBorders/>
            <w:shd w:fill="CCEEFF" w:val="clear"/>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8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other comprehensive income (loss), net of tax</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(22,934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(3,280</w:t>
            </w:r>
          </w:p>
        </w:tc>
        <w:tc>
          <w:tcPr>
            <w:tcW w:w="172" w:type="dxa"/>
            <w:tcBorders/>
            <w:vAlign w:val="center"/>
          </w:tcPr>
          <w:p>
            <w:pPr>
              <w:pStyle w:val="TableContents"/>
              <w:bidi w:val="0"/>
              <w:spacing w:before="0" w:after="283"/>
              <w:jc w:val="left"/>
              <w:rPr/>
            </w:pPr>
            <w:r>
              <w:rPr/>
              <w:t>) </w:t>
            </w:r>
          </w:p>
        </w:tc>
      </w:tr>
      <w:tr>
        <w:trPr/>
        <w:tc>
          <w:tcPr>
            <w:tcW w:w="4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(302,272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(219,572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(299,345</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836" w:type="dxa"/>
            <w:tcBorders/>
            <w:shd w:fill="CCEEFF" w:val="clear"/>
            <w:vAlign w:val="center"/>
          </w:tcPr>
          <w:p>
            <w:pPr>
              <w:pStyle w:val="TableContents"/>
              <w:bidi w:val="0"/>
              <w:spacing w:before="0" w:after="0"/>
              <w:jc w:val="right"/>
              <w:rPr>
                <w:b/>
                <w:spacing w:val="0"/>
              </w:rPr>
            </w:pPr>
            <w:r>
              <w:rPr>
                <w:b/>
                <w:spacing w:val="0"/>
              </w:rPr>
              <w:t>(42,807</w:t>
            </w:r>
          </w:p>
        </w:tc>
        <w:tc>
          <w:tcPr>
            <w:tcW w:w="172" w:type="dxa"/>
            <w:tcBorders/>
            <w:shd w:fill="CCEEFF" w:val="clear"/>
            <w:vAlign w:val="center"/>
          </w:tcPr>
          <w:p>
            <w:pPr>
              <w:pStyle w:val="TableContents"/>
              <w:bidi w:val="0"/>
              <w:spacing w:before="0" w:after="0"/>
              <w:jc w:val="left"/>
              <w:rPr>
                <w:b/>
                <w:spacing w:val="0"/>
              </w:rPr>
            </w:pPr>
            <w:r>
              <w:rPr>
                <w:b/>
                <w:spacing w:val="0"/>
              </w:rPr>
              <w:t>)</w:t>
            </w:r>
          </w:p>
        </w:tc>
      </w:tr>
      <w:tr>
        <w:trPr/>
        <w:tc>
          <w:tcPr>
            <w:tcW w:w="4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Comprehensive loss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right"/>
              <w:rPr/>
            </w:pPr>
            <w:r>
              <w:rPr/>
              <w:t>62</w:t>
            </w:r>
          </w:p>
        </w:tc>
        <w:tc>
          <w:tcPr>
            <w:tcW w:w="172" w:type="dxa"/>
            <w:tcBorders/>
            <w:vAlign w:val="center"/>
          </w:tcPr>
          <w:p>
            <w:pPr>
              <w:pStyle w:val="TableContents"/>
              <w:bidi w:val="0"/>
              <w:spacing w:before="0" w:after="283"/>
              <w:jc w:val="left"/>
              <w:rPr/>
            </w:pPr>
            <w:r>
              <w:rPr/>
              <w:t> </w:t>
            </w:r>
          </w:p>
        </w:tc>
      </w:tr>
      <w:tr>
        <w:trPr/>
        <w:tc>
          <w:tcPr>
            <w:tcW w:w="4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836"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48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EHang Holdings Limited</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(301,631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(219,316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(298,911</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836" w:type="dxa"/>
            <w:tcBorders/>
            <w:shd w:fill="CCEEFF" w:val="clear"/>
            <w:vAlign w:val="center"/>
          </w:tcPr>
          <w:p>
            <w:pPr>
              <w:pStyle w:val="TableContents"/>
              <w:bidi w:val="0"/>
              <w:spacing w:before="0" w:after="0"/>
              <w:jc w:val="right"/>
              <w:rPr>
                <w:b/>
                <w:spacing w:val="0"/>
              </w:rPr>
            </w:pPr>
            <w:r>
              <w:rPr>
                <w:b/>
                <w:spacing w:val="0"/>
              </w:rPr>
              <w:t>(42,745</w:t>
            </w:r>
          </w:p>
        </w:tc>
        <w:tc>
          <w:tcPr>
            <w:tcW w:w="172" w:type="dxa"/>
            <w:tcBorders/>
            <w:shd w:fill="CCEEFF" w:val="clear"/>
            <w:vAlign w:val="center"/>
          </w:tcPr>
          <w:p>
            <w:pPr>
              <w:pStyle w:val="TableContents"/>
              <w:bidi w:val="0"/>
              <w:spacing w:before="0" w:after="0"/>
              <w:jc w:val="left"/>
              <w:rPr>
                <w:b/>
                <w:spacing w:val="0"/>
              </w:rPr>
            </w:pPr>
            <w:r>
              <w:rPr>
                <w:b/>
                <w:spacing w:val="0"/>
              </w:rPr>
              <w:t>)</w:t>
            </w:r>
          </w:p>
        </w:tc>
      </w:tr>
      <w:tr>
        <w:trPr/>
        <w:tc>
          <w:tcPr>
            <w:tcW w:w="4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836" w:type="dxa"/>
            <w:tcBorders/>
            <w:vAlign w:val="center"/>
          </w:tcPr>
          <w:p>
            <w:pPr>
              <w:pStyle w:val="TableContents"/>
              <w:bidi w:val="0"/>
              <w:spacing w:before="0" w:after="0"/>
              <w:jc w:val="left"/>
              <w:rPr>
                <w:bdr w:val="double" w:sz="6" w:space="1" w:color="000000"/>
              </w:rPr>
            </w:pPr>
            <w:r>
              <w:rPr>
                <w:bdr w:val="double" w:sz="6" w:space="1" w:color="000000"/>
              </w:rPr>
              <w:t> </w:t>
            </w:r>
          </w:p>
        </w:tc>
        <w:tc>
          <w:tcPr>
            <w:tcW w:w="172" w:type="dxa"/>
            <w:tcBorders/>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SHAREHOLDERS’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tbl>
      <w:tblPr>
        <w:tblW w:w="17355" w:type="dxa"/>
        <w:jc w:val="left"/>
        <w:tblInd w:w="0" w:type="dxa"/>
        <w:tblLayout w:type="fixed"/>
        <w:tblCellMar>
          <w:top w:w="0" w:type="dxa"/>
          <w:left w:w="0" w:type="dxa"/>
          <w:bottom w:w="0" w:type="dxa"/>
          <w:right w:w="0" w:type="dxa"/>
        </w:tblCellMar>
      </w:tblPr>
      <w:tblGrid>
        <w:gridCol w:w="1130"/>
        <w:gridCol w:w="60"/>
        <w:gridCol w:w="500"/>
        <w:gridCol w:w="60"/>
        <w:gridCol w:w="78"/>
        <w:gridCol w:w="1088"/>
        <w:gridCol w:w="78"/>
        <w:gridCol w:w="78"/>
        <w:gridCol w:w="158"/>
        <w:gridCol w:w="702"/>
        <w:gridCol w:w="60"/>
        <w:gridCol w:w="60"/>
        <w:gridCol w:w="78"/>
        <w:gridCol w:w="1079"/>
        <w:gridCol w:w="78"/>
        <w:gridCol w:w="78"/>
        <w:gridCol w:w="160"/>
        <w:gridCol w:w="700"/>
        <w:gridCol w:w="60"/>
        <w:gridCol w:w="60"/>
        <w:gridCol w:w="93"/>
        <w:gridCol w:w="1037"/>
        <w:gridCol w:w="125"/>
        <w:gridCol w:w="60"/>
        <w:gridCol w:w="180"/>
        <w:gridCol w:w="785"/>
        <w:gridCol w:w="60"/>
        <w:gridCol w:w="60"/>
        <w:gridCol w:w="60"/>
        <w:gridCol w:w="740"/>
        <w:gridCol w:w="125"/>
        <w:gridCol w:w="60"/>
        <w:gridCol w:w="113"/>
        <w:gridCol w:w="972"/>
        <w:gridCol w:w="60"/>
        <w:gridCol w:w="60"/>
        <w:gridCol w:w="89"/>
        <w:gridCol w:w="636"/>
        <w:gridCol w:w="60"/>
        <w:gridCol w:w="60"/>
        <w:gridCol w:w="95"/>
        <w:gridCol w:w="1275"/>
        <w:gridCol w:w="125"/>
        <w:gridCol w:w="60"/>
        <w:gridCol w:w="115"/>
        <w:gridCol w:w="1285"/>
        <w:gridCol w:w="125"/>
        <w:gridCol w:w="60"/>
        <w:gridCol w:w="171"/>
        <w:gridCol w:w="1004"/>
        <w:gridCol w:w="125"/>
        <w:gridCol w:w="60"/>
        <w:gridCol w:w="77"/>
        <w:gridCol w:w="858"/>
        <w:gridCol w:w="140"/>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113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50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2182" w:type="dxa"/>
            <w:gridSpan w:val="6"/>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Class A ordinary shares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2173" w:type="dxa"/>
            <w:gridSpan w:val="6"/>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Class B ordinary shares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3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6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80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72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7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40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17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3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tcM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6" w:type="dxa"/>
            <w:gridSpan w:val="2"/>
            <w:tcBorders/>
            <w:vAlign w:val="center"/>
          </w:tcPr>
          <w:p>
            <w:pPr>
              <w:pStyle w:val="TableContents"/>
              <w:bidi w:val="0"/>
              <w:spacing w:before="0" w:after="0"/>
              <w:jc w:val="center"/>
              <w:rPr>
                <w:b/>
                <w:spacing w:val="0"/>
              </w:rPr>
            </w:pPr>
            <w:r>
              <w:rPr>
                <w:b/>
                <w:spacing w:val="0"/>
              </w:rPr>
              <w:t>Number of</w:t>
              <w:br/>
              <w:t>ordinary</w:t>
              <w:b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0"/>
              <w:jc w:val="center"/>
              <w:rPr>
                <w:b/>
                <w:spacing w:val="0"/>
              </w:rPr>
            </w:pPr>
            <w:r>
              <w:rPr>
                <w:b/>
                <w:spacing w:val="0"/>
              </w:rPr>
              <w:t>Number of</w:t>
              <w:br/>
              <w:t>ordinary</w:t>
              <w:br/>
              <w:t>shares</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Number of</w:t>
              <w:br/>
              <w:t>treasury</w:t>
              <w:br/>
              <w:t>shares</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Treasury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paid-in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0"/>
              <w:jc w:val="center"/>
              <w:rPr>
                <w:rFonts w:ascii="Times New Roman" w:hAnsi="Times New Roman"/>
                <w:b/>
                <w:sz w:val="16"/>
              </w:rPr>
            </w:pPr>
            <w:r>
              <w:rPr>
                <w:rFonts w:ascii="Times New Roman" w:hAnsi="Times New Roman"/>
                <w:b/>
                <w:sz w:val="16"/>
              </w:rPr>
              <w:t>other</w:t>
            </w:r>
          </w:p>
          <w:p>
            <w:pPr>
              <w:pStyle w:val="TableContents"/>
              <w:bidi w:val="0"/>
              <w:spacing w:before="0" w:after="0"/>
              <w:jc w:val="center"/>
              <w:rPr>
                <w:rFonts w:ascii="Times New Roman" w:hAnsi="Times New Roman"/>
                <w:b/>
                <w:sz w:val="16"/>
              </w:rPr>
            </w:pPr>
            <w:r>
              <w:rPr>
                <w:rFonts w:ascii="Times New Roman" w:hAnsi="Times New Roman"/>
                <w:b/>
                <w:sz w:val="16"/>
              </w:rPr>
              <w:t>comprehensive</w:t>
            </w:r>
          </w:p>
          <w:p>
            <w:pPr>
              <w:pStyle w:val="TableContents"/>
              <w:bidi w:val="0"/>
              <w:spacing w:before="0" w:after="20"/>
              <w:jc w:val="center"/>
              <w:rPr>
                <w:rFonts w:ascii="Times New Roman" w:hAnsi="Times New Roman"/>
                <w:b/>
                <w:sz w:val="16"/>
              </w:rPr>
            </w:pPr>
            <w:r>
              <w:rPr>
                <w:rFonts w:ascii="Times New Roman" w:hAnsi="Times New Roman"/>
                <w:b/>
                <w:sz w:val="16"/>
              </w:rPr>
              <w:t>income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Statutory</w:t>
            </w:r>
          </w:p>
          <w:p>
            <w:pPr>
              <w:pStyle w:val="TableContents"/>
              <w:bidi w:val="0"/>
              <w:spacing w:before="0" w:after="20"/>
              <w:jc w:val="center"/>
              <w:rPr>
                <w:rFonts w:ascii="Times New Roman" w:hAnsi="Times New Roman"/>
                <w:b/>
                <w:sz w:val="16"/>
              </w:rPr>
            </w:pPr>
            <w:r>
              <w:rPr>
                <w:rFonts w:ascii="Times New Roman" w:hAnsi="Times New Roman"/>
                <w:b/>
                <w:sz w:val="16"/>
              </w:rPr>
              <w:t>reserves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br/>
              <w:t>deficit</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Total</w:t>
              <w:br/>
              <w:t>EHang</w:t>
              <w:br/>
              <w:t>Holdings</w:t>
              <w:br/>
              <w:t>Limited</w:t>
              <w:br/>
              <w:t>shareholders’</w:t>
              <w:br/>
              <w:t>equity</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20"/>
              <w:jc w:val="center"/>
              <w:rPr>
                <w:rFonts w:ascii="Times New Roman" w:hAnsi="Times New Roman"/>
                <w:b/>
                <w:sz w:val="16"/>
              </w:rPr>
            </w:pPr>
            <w:r>
              <w:rPr>
                <w:rFonts w:ascii="Times New Roman" w:hAnsi="Times New Roman"/>
                <w:b/>
                <w:sz w:val="16"/>
              </w:rPr>
              <w:t>interests</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shareholders’</w:t>
            </w:r>
          </w:p>
          <w:p>
            <w:pPr>
              <w:pStyle w:val="TableContents"/>
              <w:bidi w:val="0"/>
              <w:spacing w:before="0" w:after="20"/>
              <w:jc w:val="center"/>
              <w:rPr>
                <w:rFonts w:ascii="Times New Roman" w:hAnsi="Times New Roman"/>
                <w:b/>
                <w:sz w:val="16"/>
              </w:rPr>
            </w:pPr>
            <w:r>
              <w:rPr>
                <w:rFonts w:ascii="Times New Roman" w:hAnsi="Times New Roman"/>
                <w:b/>
                <w:sz w:val="16"/>
              </w:rPr>
              <w:t>equity</w:t>
            </w:r>
          </w:p>
        </w:tc>
        <w:tc>
          <w:tcPr>
            <w:tcW w:w="14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166"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4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2022</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0"/>
              <w:jc w:val="left"/>
              <w:rPr>
                <w:spacing w:val="0"/>
              </w:rPr>
            </w:pPr>
            <w:r>
              <w:rPr>
                <w:spacing w:val="0"/>
              </w:rPr>
              <w:t> </w:t>
            </w:r>
          </w:p>
        </w:tc>
        <w:tc>
          <w:tcPr>
            <w:tcW w:w="1088" w:type="dxa"/>
            <w:tcBorders/>
            <w:shd w:fill="CCEEFF" w:val="clear"/>
            <w:vAlign w:val="center"/>
          </w:tcPr>
          <w:p>
            <w:pPr>
              <w:pStyle w:val="TableContents"/>
              <w:bidi w:val="0"/>
              <w:spacing w:lineRule="atLeast" w:line="160" w:before="0" w:after="0"/>
              <w:jc w:val="right"/>
              <w:rPr>
                <w:b/>
                <w:sz w:val="16"/>
              </w:rPr>
            </w:pPr>
            <w:r>
              <w:rPr>
                <w:b/>
                <w:sz w:val="16"/>
              </w:rPr>
              <w:t>78,300,387</w:t>
            </w:r>
          </w:p>
        </w:tc>
        <w:tc>
          <w:tcPr>
            <w:tcW w:w="78" w:type="dxa"/>
            <w:tcBorders/>
            <w:shd w:fill="CCEEFF" w:val="clear"/>
            <w:vAlign w:val="center"/>
          </w:tcPr>
          <w:p>
            <w:pPr>
              <w:pStyle w:val="TableContents"/>
              <w:bidi w:val="0"/>
              <w:spacing w:lineRule="atLeast" w:line="160" w:before="0" w:after="0"/>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0"/>
              <w:jc w:val="left"/>
              <w:rPr/>
            </w:pPr>
            <w:r>
              <w:rPr/>
              <w:t> </w:t>
            </w:r>
          </w:p>
        </w:tc>
        <w:tc>
          <w:tcPr>
            <w:tcW w:w="702" w:type="dxa"/>
            <w:tcBorders/>
            <w:shd w:fill="CCEEFF" w:val="clear"/>
            <w:vAlign w:val="center"/>
          </w:tcPr>
          <w:p>
            <w:pPr>
              <w:pStyle w:val="TableContents"/>
              <w:bidi w:val="0"/>
              <w:spacing w:lineRule="atLeast" w:line="160" w:before="0" w:after="0"/>
              <w:jc w:val="right"/>
              <w:rPr>
                <w:b/>
                <w:sz w:val="16"/>
              </w:rPr>
            </w:pPr>
            <w:r>
              <w:rPr>
                <w:b/>
                <w:sz w:val="16"/>
              </w:rPr>
              <w:t>51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0"/>
              <w:jc w:val="left"/>
              <w:rPr/>
            </w:pPr>
            <w:r>
              <w:rPr/>
              <w:t> </w:t>
            </w:r>
          </w:p>
        </w:tc>
        <w:tc>
          <w:tcPr>
            <w:tcW w:w="1079" w:type="dxa"/>
            <w:tcBorders/>
            <w:shd w:fill="CCEEFF" w:val="clear"/>
            <w:vAlign w:val="center"/>
          </w:tcPr>
          <w:p>
            <w:pPr>
              <w:pStyle w:val="TableContents"/>
              <w:bidi w:val="0"/>
              <w:spacing w:lineRule="atLeast" w:line="160" w:before="0" w:after="0"/>
              <w:jc w:val="right"/>
              <w:rPr>
                <w:b/>
                <w:sz w:val="16"/>
              </w:rPr>
            </w:pPr>
            <w:r>
              <w:rPr>
                <w:b/>
                <w:sz w:val="16"/>
              </w:rPr>
              <w:t>39,026,560</w:t>
            </w:r>
          </w:p>
        </w:tc>
        <w:tc>
          <w:tcPr>
            <w:tcW w:w="78" w:type="dxa"/>
            <w:tcBorders/>
            <w:shd w:fill="CCEEFF" w:val="clear"/>
            <w:vAlign w:val="center"/>
          </w:tcPr>
          <w:p>
            <w:pPr>
              <w:pStyle w:val="TableContents"/>
              <w:bidi w:val="0"/>
              <w:spacing w:lineRule="atLeast" w:line="160" w:before="0" w:after="0"/>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0"/>
              <w:jc w:val="left"/>
              <w:rPr/>
            </w:pPr>
            <w:r>
              <w:rPr/>
              <w:t> </w:t>
            </w:r>
          </w:p>
        </w:tc>
        <w:tc>
          <w:tcPr>
            <w:tcW w:w="700" w:type="dxa"/>
            <w:tcBorders/>
            <w:shd w:fill="CCEEFF" w:val="clear"/>
            <w:vAlign w:val="center"/>
          </w:tcPr>
          <w:p>
            <w:pPr>
              <w:pStyle w:val="TableContents"/>
              <w:bidi w:val="0"/>
              <w:spacing w:lineRule="atLeast" w:line="160" w:before="0" w:after="0"/>
              <w:jc w:val="right"/>
              <w:rPr>
                <w:b/>
                <w:sz w:val="16"/>
              </w:rPr>
            </w:pPr>
            <w:r>
              <w:rPr>
                <w:b/>
                <w:sz w:val="16"/>
              </w:rPr>
              <w:t>24</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0"/>
              <w:jc w:val="left"/>
              <w:rPr/>
            </w:pPr>
            <w:r>
              <w:rPr/>
              <w:t> </w:t>
            </w:r>
          </w:p>
        </w:tc>
        <w:tc>
          <w:tcPr>
            <w:tcW w:w="1037" w:type="dxa"/>
            <w:tcBorders/>
            <w:shd w:fill="CCEEFF" w:val="clear"/>
            <w:vAlign w:val="center"/>
          </w:tcPr>
          <w:p>
            <w:pPr>
              <w:pStyle w:val="TableContents"/>
              <w:bidi w:val="0"/>
              <w:spacing w:lineRule="atLeast" w:line="160" w:before="0" w:after="0"/>
              <w:jc w:val="right"/>
              <w:rPr>
                <w:b/>
                <w:sz w:val="16"/>
              </w:rPr>
            </w:pPr>
            <w:r>
              <w:rPr>
                <w:b/>
                <w:sz w:val="16"/>
              </w:rPr>
              <w:t>(871,000</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0"/>
              <w:jc w:val="left"/>
              <w:rPr/>
            </w:pPr>
            <w:r>
              <w:rPr/>
              <w:t> </w:t>
            </w:r>
          </w:p>
        </w:tc>
        <w:tc>
          <w:tcPr>
            <w:tcW w:w="785" w:type="dxa"/>
            <w:tcBorders/>
            <w:shd w:fill="CCEEFF" w:val="clear"/>
            <w:vAlign w:val="center"/>
          </w:tcPr>
          <w:p>
            <w:pPr>
              <w:pStyle w:val="TableContents"/>
              <w:bidi w:val="0"/>
              <w:spacing w:lineRule="atLeast" w:line="160" w:before="0" w:after="0"/>
              <w:jc w:val="right"/>
              <w:rPr/>
            </w:pPr>
            <w:r>
              <w:rPr/>
              <w:t>— </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0"/>
              <w:jc w:val="left"/>
              <w:rPr/>
            </w:pPr>
            <w:r>
              <w:rPr/>
              <w:t> </w:t>
            </w:r>
          </w:p>
        </w:tc>
        <w:tc>
          <w:tcPr>
            <w:tcW w:w="740" w:type="dxa"/>
            <w:tcBorders/>
            <w:shd w:fill="CCEEFF" w:val="clear"/>
            <w:vAlign w:val="center"/>
          </w:tcPr>
          <w:p>
            <w:pPr>
              <w:pStyle w:val="TableContents"/>
              <w:bidi w:val="0"/>
              <w:spacing w:lineRule="atLeast" w:line="160" w:before="0" w:after="0"/>
              <w:jc w:val="right"/>
              <w:rPr>
                <w:b/>
                <w:sz w:val="16"/>
              </w:rPr>
            </w:pPr>
            <w:r>
              <w:rPr>
                <w:b/>
                <w:sz w:val="16"/>
              </w:rPr>
              <w:t>1,558,356</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0"/>
              <w:jc w:val="left"/>
              <w:rPr/>
            </w:pPr>
            <w:r>
              <w:rPr/>
              <w:t> </w:t>
            </w:r>
          </w:p>
        </w:tc>
        <w:tc>
          <w:tcPr>
            <w:tcW w:w="972" w:type="dxa"/>
            <w:tcBorders/>
            <w:shd w:fill="CCEEFF" w:val="clear"/>
            <w:vAlign w:val="center"/>
          </w:tcPr>
          <w:p>
            <w:pPr>
              <w:pStyle w:val="TableContents"/>
              <w:bidi w:val="0"/>
              <w:spacing w:lineRule="atLeast" w:line="160" w:before="0" w:after="0"/>
              <w:jc w:val="right"/>
              <w:rPr>
                <w:b/>
                <w:sz w:val="16"/>
              </w:rPr>
            </w:pPr>
            <w:r>
              <w:rPr>
                <w:b/>
                <w:sz w:val="16"/>
              </w:rPr>
              <w:t>15,010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0"/>
              <w:jc w:val="left"/>
              <w:rPr/>
            </w:pPr>
            <w:r>
              <w:rPr/>
              <w:t> </w:t>
            </w:r>
          </w:p>
        </w:tc>
        <w:tc>
          <w:tcPr>
            <w:tcW w:w="636" w:type="dxa"/>
            <w:tcBorders/>
            <w:shd w:fill="CCEEFF" w:val="clear"/>
            <w:vAlign w:val="center"/>
          </w:tcPr>
          <w:p>
            <w:pPr>
              <w:pStyle w:val="TableContents"/>
              <w:bidi w:val="0"/>
              <w:spacing w:lineRule="atLeast" w:line="160" w:before="0" w:after="0"/>
              <w:jc w:val="right"/>
              <w:rPr>
                <w:b/>
                <w:sz w:val="16"/>
              </w:rPr>
            </w:pPr>
            <w:r>
              <w:rPr>
                <w:b/>
                <w:sz w:val="16"/>
              </w:rPr>
              <w:t>1,191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0"/>
              <w:jc w:val="left"/>
              <w:rPr/>
            </w:pPr>
            <w:r>
              <w:rPr/>
              <w:t> </w:t>
            </w:r>
          </w:p>
        </w:tc>
        <w:tc>
          <w:tcPr>
            <w:tcW w:w="1275" w:type="dxa"/>
            <w:tcBorders/>
            <w:shd w:fill="CCEEFF" w:val="clear"/>
            <w:vAlign w:val="center"/>
          </w:tcPr>
          <w:p>
            <w:pPr>
              <w:pStyle w:val="TableContents"/>
              <w:bidi w:val="0"/>
              <w:spacing w:lineRule="atLeast" w:line="160" w:before="0" w:after="0"/>
              <w:jc w:val="right"/>
              <w:rPr>
                <w:b/>
                <w:sz w:val="16"/>
              </w:rPr>
            </w:pPr>
            <w:r>
              <w:rPr>
                <w:b/>
                <w:sz w:val="16"/>
              </w:rPr>
              <w:t>(1,450,374</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b/>
                <w:sz w:val="16"/>
              </w:rPr>
            </w:pPr>
            <w:r>
              <w:rPr>
                <w:b/>
                <w:sz w:val="16"/>
              </w:rPr>
              <w:t>124,258</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0"/>
              <w:jc w:val="left"/>
              <w:rPr/>
            </w:pPr>
            <w:r>
              <w:rPr/>
              <w:t> </w:t>
            </w:r>
          </w:p>
        </w:tc>
        <w:tc>
          <w:tcPr>
            <w:tcW w:w="1004" w:type="dxa"/>
            <w:tcBorders/>
            <w:shd w:fill="CCEEFF" w:val="clear"/>
            <w:vAlign w:val="center"/>
          </w:tcPr>
          <w:p>
            <w:pPr>
              <w:pStyle w:val="TableContents"/>
              <w:bidi w:val="0"/>
              <w:spacing w:lineRule="atLeast" w:line="160" w:before="0" w:after="0"/>
              <w:jc w:val="right"/>
              <w:rPr>
                <w:b/>
                <w:sz w:val="16"/>
              </w:rPr>
            </w:pPr>
            <w:r>
              <w:rPr>
                <w:b/>
                <w:sz w:val="16"/>
              </w:rPr>
              <w:t>420</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b/>
                <w:sz w:val="16"/>
              </w:rPr>
            </w:pPr>
            <w:r>
              <w:rPr>
                <w:b/>
                <w:sz w:val="16"/>
              </w:rPr>
              <w:t>124,678</w:t>
            </w:r>
          </w:p>
        </w:tc>
        <w:tc>
          <w:tcPr>
            <w:tcW w:w="140" w:type="dxa"/>
            <w:tcBorders/>
            <w:shd w:fill="CCEEFF" w:val="clear"/>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Adoption of ASC Topic 326</w:t>
            </w:r>
          </w:p>
        </w:tc>
        <w:tc>
          <w:tcPr>
            <w:tcW w:w="60" w:type="dxa"/>
            <w:tcBorders/>
            <w:vAlign w:val="center"/>
          </w:tcPr>
          <w:p>
            <w:pPr>
              <w:pStyle w:val="TableContents"/>
              <w:bidi w:val="0"/>
              <w:spacing w:lineRule="atLeast" w:line="160" w:before="0" w:after="283"/>
              <w:jc w:val="left"/>
              <w:rPr/>
            </w:pPr>
            <w:r>
              <w:rPr/>
              <w:t> </w:t>
            </w:r>
          </w:p>
        </w:tc>
        <w:tc>
          <w:tcPr>
            <w:tcW w:w="500" w:type="dxa"/>
            <w:tcBorders/>
            <w:vAlign w:val="center"/>
          </w:tcPr>
          <w:p>
            <w:pPr>
              <w:pStyle w:val="TableContents"/>
              <w:bidi w:val="0"/>
              <w:spacing w:lineRule="atLeast" w:line="160" w:before="0" w:after="283"/>
              <w:jc w:val="center"/>
              <w:rPr>
                <w:sz w:val="16"/>
              </w:rPr>
            </w:pPr>
            <w:r>
              <w:rPr>
                <w:sz w:val="16"/>
              </w:rPr>
              <w:t>2(j)</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88"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58" w:type="dxa"/>
            <w:tcBorders/>
            <w:vAlign w:val="center"/>
          </w:tcPr>
          <w:p>
            <w:pPr>
              <w:pStyle w:val="TableContents"/>
              <w:bidi w:val="0"/>
              <w:spacing w:lineRule="atLeast" w:line="160" w:before="0" w:after="283"/>
              <w:jc w:val="left"/>
              <w:rPr/>
            </w:pPr>
            <w:r>
              <w:rPr/>
              <w:t> </w:t>
            </w:r>
          </w:p>
        </w:tc>
        <w:tc>
          <w:tcPr>
            <w:tcW w:w="70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79"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60" w:type="dxa"/>
            <w:tcBorders/>
            <w:vAlign w:val="center"/>
          </w:tcPr>
          <w:p>
            <w:pPr>
              <w:pStyle w:val="TableContents"/>
              <w:bidi w:val="0"/>
              <w:spacing w:lineRule="atLeast" w:line="160" w:before="0" w:after="283"/>
              <w:jc w:val="left"/>
              <w:rPr/>
            </w:pPr>
            <w:r>
              <w:rPr/>
              <w:t> </w:t>
            </w:r>
          </w:p>
        </w:tc>
        <w:tc>
          <w:tcPr>
            <w:tcW w:w="700"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3" w:type="dxa"/>
            <w:tcBorders/>
            <w:vAlign w:val="center"/>
          </w:tcPr>
          <w:p>
            <w:pPr>
              <w:pStyle w:val="TableContents"/>
              <w:bidi w:val="0"/>
              <w:spacing w:lineRule="atLeast" w:line="160" w:before="0" w:after="283"/>
              <w:jc w:val="left"/>
              <w:rPr/>
            </w:pPr>
            <w:r>
              <w:rPr/>
              <w:t> </w:t>
            </w:r>
          </w:p>
        </w:tc>
        <w:tc>
          <w:tcPr>
            <w:tcW w:w="1037"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80" w:type="dxa"/>
            <w:tcBorders/>
            <w:vAlign w:val="center"/>
          </w:tcPr>
          <w:p>
            <w:pPr>
              <w:pStyle w:val="TableContents"/>
              <w:bidi w:val="0"/>
              <w:spacing w:lineRule="atLeast" w:line="160" w:before="0" w:after="283"/>
              <w:jc w:val="left"/>
              <w:rPr/>
            </w:pPr>
            <w:r>
              <w:rPr/>
              <w:t> </w:t>
            </w:r>
          </w:p>
        </w:tc>
        <w:tc>
          <w:tcPr>
            <w:tcW w:w="785"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40"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3" w:type="dxa"/>
            <w:tcBorders/>
            <w:vAlign w:val="center"/>
          </w:tcPr>
          <w:p>
            <w:pPr>
              <w:pStyle w:val="TableContents"/>
              <w:bidi w:val="0"/>
              <w:spacing w:lineRule="atLeast" w:line="160" w:before="0" w:after="283"/>
              <w:jc w:val="left"/>
              <w:rPr/>
            </w:pPr>
            <w:r>
              <w:rPr/>
              <w:t> </w:t>
            </w:r>
          </w:p>
        </w:tc>
        <w:tc>
          <w:tcPr>
            <w:tcW w:w="97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89" w:type="dxa"/>
            <w:tcBorders/>
            <w:vAlign w:val="center"/>
          </w:tcPr>
          <w:p>
            <w:pPr>
              <w:pStyle w:val="TableContents"/>
              <w:bidi w:val="0"/>
              <w:spacing w:lineRule="atLeast" w:line="160" w:before="0" w:after="283"/>
              <w:jc w:val="left"/>
              <w:rPr/>
            </w:pPr>
            <w:r>
              <w:rPr/>
              <w:t> </w:t>
            </w:r>
          </w:p>
        </w:tc>
        <w:tc>
          <w:tcPr>
            <w:tcW w:w="636"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5" w:type="dxa"/>
            <w:tcBorders/>
            <w:vAlign w:val="center"/>
          </w:tcPr>
          <w:p>
            <w:pPr>
              <w:pStyle w:val="TableContents"/>
              <w:bidi w:val="0"/>
              <w:spacing w:lineRule="atLeast" w:line="160" w:before="0" w:after="283"/>
              <w:jc w:val="left"/>
              <w:rPr/>
            </w:pPr>
            <w:r>
              <w:rPr/>
              <w:t> </w:t>
            </w:r>
          </w:p>
        </w:tc>
        <w:tc>
          <w:tcPr>
            <w:tcW w:w="1275" w:type="dxa"/>
            <w:tcBorders/>
            <w:vAlign w:val="center"/>
          </w:tcPr>
          <w:p>
            <w:pPr>
              <w:pStyle w:val="TableContents"/>
              <w:bidi w:val="0"/>
              <w:spacing w:lineRule="atLeast" w:line="160" w:before="0" w:after="283"/>
              <w:jc w:val="right"/>
              <w:rPr>
                <w:sz w:val="16"/>
              </w:rPr>
            </w:pPr>
            <w:r>
              <w:rPr>
                <w:sz w:val="16"/>
              </w:rPr>
              <w:t>(2,420</w:t>
            </w:r>
          </w:p>
        </w:tc>
        <w:tc>
          <w:tcPr>
            <w:tcW w:w="125" w:type="dxa"/>
            <w:tcBorders/>
            <w:vAlign w:val="center"/>
          </w:tcPr>
          <w:p>
            <w:pPr>
              <w:pStyle w:val="TableContents"/>
              <w:bidi w:val="0"/>
              <w:spacing w:lineRule="atLeast" w:line="160" w:before="0" w:after="283"/>
              <w:jc w:val="left"/>
              <w:rPr>
                <w:sz w:val="16"/>
              </w:rPr>
            </w:pPr>
            <w:r>
              <w:rPr>
                <w:sz w:val="16"/>
              </w:rPr>
              <w:t>) </w:t>
            </w:r>
          </w:p>
        </w:tc>
        <w:tc>
          <w:tcPr>
            <w:tcW w:w="60" w:type="dxa"/>
            <w:tcBorders/>
            <w:vAlign w:val="center"/>
          </w:tcPr>
          <w:p>
            <w:pPr>
              <w:pStyle w:val="TableContents"/>
              <w:bidi w:val="0"/>
              <w:spacing w:lineRule="atLeast" w:line="160" w:before="0" w:after="283"/>
              <w:jc w:val="left"/>
              <w:rPr/>
            </w:pPr>
            <w:r>
              <w:rPr/>
              <w:t> </w:t>
            </w:r>
          </w:p>
        </w:tc>
        <w:tc>
          <w:tcPr>
            <w:tcW w:w="115" w:type="dxa"/>
            <w:tcBorders/>
            <w:vAlign w:val="center"/>
          </w:tcPr>
          <w:p>
            <w:pPr>
              <w:pStyle w:val="TableContents"/>
              <w:bidi w:val="0"/>
              <w:spacing w:lineRule="atLeast" w:line="160" w:before="0" w:after="0"/>
              <w:jc w:val="left"/>
              <w:rPr/>
            </w:pPr>
            <w:r>
              <w:rPr/>
              <w:t> </w:t>
            </w:r>
          </w:p>
        </w:tc>
        <w:tc>
          <w:tcPr>
            <w:tcW w:w="1285" w:type="dxa"/>
            <w:tcBorders/>
            <w:vAlign w:val="center"/>
          </w:tcPr>
          <w:p>
            <w:pPr>
              <w:pStyle w:val="TableContents"/>
              <w:bidi w:val="0"/>
              <w:spacing w:lineRule="atLeast" w:line="160" w:before="0" w:after="0"/>
              <w:jc w:val="right"/>
              <w:rPr>
                <w:b/>
                <w:sz w:val="16"/>
              </w:rPr>
            </w:pPr>
            <w:r>
              <w:rPr>
                <w:b/>
                <w:sz w:val="16"/>
              </w:rPr>
              <w:t>(2,420</w:t>
            </w:r>
          </w:p>
        </w:tc>
        <w:tc>
          <w:tcPr>
            <w:tcW w:w="125" w:type="dxa"/>
            <w:tcBorders/>
            <w:vAlign w:val="center"/>
          </w:tcPr>
          <w:p>
            <w:pPr>
              <w:pStyle w:val="TableContents"/>
              <w:bidi w:val="0"/>
              <w:spacing w:lineRule="atLeast" w:line="160" w:before="0" w:after="0"/>
              <w:jc w:val="left"/>
              <w:rPr>
                <w:b/>
                <w:sz w:val="16"/>
              </w:rPr>
            </w:pPr>
            <w:r>
              <w:rPr>
                <w:b/>
                <w:sz w:val="16"/>
              </w:rPr>
              <w:t>) </w:t>
            </w:r>
          </w:p>
        </w:tc>
        <w:tc>
          <w:tcPr>
            <w:tcW w:w="60" w:type="dxa"/>
            <w:tcBorders/>
            <w:vAlign w:val="center"/>
          </w:tcPr>
          <w:p>
            <w:pPr>
              <w:pStyle w:val="TableContents"/>
              <w:bidi w:val="0"/>
              <w:spacing w:lineRule="atLeast" w:line="160" w:before="0" w:after="283"/>
              <w:jc w:val="left"/>
              <w:rPr/>
            </w:pPr>
            <w:r>
              <w:rPr/>
              <w:t> </w:t>
            </w:r>
          </w:p>
        </w:tc>
        <w:tc>
          <w:tcPr>
            <w:tcW w:w="171" w:type="dxa"/>
            <w:tcBorders/>
            <w:vAlign w:val="center"/>
          </w:tcPr>
          <w:p>
            <w:pPr>
              <w:pStyle w:val="TableContents"/>
              <w:bidi w:val="0"/>
              <w:spacing w:lineRule="atLeast" w:line="160" w:before="0" w:after="283"/>
              <w:jc w:val="left"/>
              <w:rPr/>
            </w:pPr>
            <w:r>
              <w:rPr/>
              <w:t> </w:t>
            </w:r>
          </w:p>
        </w:tc>
        <w:tc>
          <w:tcPr>
            <w:tcW w:w="1004" w:type="dxa"/>
            <w:tcBorders/>
            <w:vAlign w:val="center"/>
          </w:tcPr>
          <w:p>
            <w:pPr>
              <w:pStyle w:val="TableContents"/>
              <w:bidi w:val="0"/>
              <w:spacing w:lineRule="atLeast" w:line="160" w:before="0" w:after="283"/>
              <w:jc w:val="right"/>
              <w:rPr>
                <w:sz w:val="16"/>
              </w:rPr>
            </w:pPr>
            <w:r>
              <w:rPr>
                <w:sz w:val="16"/>
              </w:rPr>
              <w:t>(2</w:t>
            </w:r>
          </w:p>
        </w:tc>
        <w:tc>
          <w:tcPr>
            <w:tcW w:w="125" w:type="dxa"/>
            <w:tcBorders/>
            <w:vAlign w:val="center"/>
          </w:tcPr>
          <w:p>
            <w:pPr>
              <w:pStyle w:val="TableContents"/>
              <w:bidi w:val="0"/>
              <w:spacing w:lineRule="atLeast" w:line="160" w:before="0" w:after="283"/>
              <w:jc w:val="left"/>
              <w:rPr>
                <w:sz w:val="16"/>
              </w:rPr>
            </w:pPr>
            <w:r>
              <w:rPr>
                <w:sz w:val="16"/>
              </w:rPr>
              <w:t>) </w:t>
            </w:r>
          </w:p>
        </w:tc>
        <w:tc>
          <w:tcPr>
            <w:tcW w:w="60" w:type="dxa"/>
            <w:tcBorders/>
            <w:vAlign w:val="center"/>
          </w:tcPr>
          <w:p>
            <w:pPr>
              <w:pStyle w:val="TableContents"/>
              <w:bidi w:val="0"/>
              <w:spacing w:lineRule="atLeast" w:line="160" w:before="0" w:after="283"/>
              <w:jc w:val="left"/>
              <w:rPr/>
            </w:pPr>
            <w:r>
              <w:rPr/>
              <w:t> </w:t>
            </w:r>
          </w:p>
        </w:tc>
        <w:tc>
          <w:tcPr>
            <w:tcW w:w="77" w:type="dxa"/>
            <w:tcBorders/>
            <w:vAlign w:val="center"/>
          </w:tcPr>
          <w:p>
            <w:pPr>
              <w:pStyle w:val="TableContents"/>
              <w:bidi w:val="0"/>
              <w:spacing w:lineRule="atLeast" w:line="160" w:before="0" w:after="0"/>
              <w:jc w:val="left"/>
              <w:rPr/>
            </w:pPr>
            <w:r>
              <w:rPr/>
              <w:t> </w:t>
            </w:r>
          </w:p>
        </w:tc>
        <w:tc>
          <w:tcPr>
            <w:tcW w:w="858" w:type="dxa"/>
            <w:tcBorders/>
            <w:vAlign w:val="center"/>
          </w:tcPr>
          <w:p>
            <w:pPr>
              <w:pStyle w:val="TableContents"/>
              <w:bidi w:val="0"/>
              <w:spacing w:lineRule="atLeast" w:line="160" w:before="0" w:after="0"/>
              <w:jc w:val="right"/>
              <w:rPr>
                <w:b/>
                <w:sz w:val="16"/>
              </w:rPr>
            </w:pPr>
            <w:r>
              <w:rPr>
                <w:b/>
                <w:sz w:val="16"/>
              </w:rPr>
              <w:t>(2,422</w:t>
            </w:r>
          </w:p>
        </w:tc>
        <w:tc>
          <w:tcPr>
            <w:tcW w:w="140" w:type="dxa"/>
            <w:tcBorders/>
            <w:vAlign w:val="center"/>
          </w:tcPr>
          <w:p>
            <w:pPr>
              <w:pStyle w:val="TableContents"/>
              <w:bidi w:val="0"/>
              <w:spacing w:before="0" w:after="0"/>
              <w:jc w:val="left"/>
              <w:rPr>
                <w:b/>
                <w:spacing w:val="0"/>
                <w:sz w:val="17"/>
              </w:rPr>
            </w:pPr>
            <w:r>
              <w:rPr>
                <w:b/>
                <w:spacing w:val="0"/>
                <w:sz w:val="17"/>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88"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0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3" w:type="dxa"/>
            <w:tcBorders/>
            <w:vAlign w:val="center"/>
          </w:tcPr>
          <w:p>
            <w:pPr>
              <w:pStyle w:val="TableContents"/>
              <w:bidi w:val="0"/>
              <w:spacing w:before="0" w:after="0"/>
              <w:jc w:val="left"/>
              <w:rPr>
                <w:bdr w:val="single" w:sz="2" w:space="1" w:color="000000"/>
              </w:rPr>
            </w:pPr>
            <w:r>
              <w:rPr>
                <w:bdr w:val="single" w:sz="2" w:space="1" w:color="000000"/>
              </w:rPr>
              <w:t> </w:t>
            </w:r>
          </w:p>
        </w:tc>
        <w:tc>
          <w:tcPr>
            <w:tcW w:w="97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6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5" w:type="dxa"/>
            <w:tcBorders/>
            <w:vAlign w:val="center"/>
          </w:tcPr>
          <w:p>
            <w:pPr>
              <w:pStyle w:val="TableContents"/>
              <w:bidi w:val="0"/>
              <w:spacing w:before="0" w:after="0"/>
              <w:jc w:val="left"/>
              <w:rPr>
                <w:bdr w:val="single" w:sz="2" w:space="1" w:color="000000"/>
              </w:rPr>
            </w:pPr>
            <w:r>
              <w:rPr>
                <w:bdr w:val="single" w:sz="2" w:space="1" w:color="000000"/>
              </w:rPr>
              <w:t> </w:t>
            </w:r>
          </w:p>
        </w:tc>
        <w:tc>
          <w:tcPr>
            <w:tcW w:w="1285"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bdr w:val="single" w:sz="2" w:space="1" w:color="000000"/>
              </w:rPr>
            </w:pPr>
            <w:r>
              <w:rPr>
                <w:bdr w:val="single" w:sz="2" w:space="1" w:color="000000"/>
              </w:rPr>
              <w:t> </w:t>
            </w:r>
          </w:p>
        </w:tc>
        <w:tc>
          <w:tcPr>
            <w:tcW w:w="10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40" w:type="dxa"/>
            <w:tcBorders/>
            <w:vAlign w:val="center"/>
          </w:tcPr>
          <w:p>
            <w:pPr>
              <w:pStyle w:val="TableContents"/>
              <w:bidi w:val="0"/>
              <w:spacing w:before="0" w:after="0"/>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January 1, 2023</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0"/>
              <w:jc w:val="left"/>
              <w:rPr/>
            </w:pPr>
            <w:r>
              <w:rPr/>
              <w:t> </w:t>
            </w:r>
          </w:p>
        </w:tc>
        <w:tc>
          <w:tcPr>
            <w:tcW w:w="1088" w:type="dxa"/>
            <w:tcBorders/>
            <w:shd w:fill="CCEEFF" w:val="clear"/>
            <w:vAlign w:val="center"/>
          </w:tcPr>
          <w:p>
            <w:pPr>
              <w:pStyle w:val="TableContents"/>
              <w:bidi w:val="0"/>
              <w:spacing w:lineRule="atLeast" w:line="160" w:before="0" w:after="0"/>
              <w:jc w:val="right"/>
              <w:rPr>
                <w:b/>
                <w:sz w:val="16"/>
              </w:rPr>
            </w:pPr>
            <w:r>
              <w:rPr>
                <w:b/>
                <w:sz w:val="16"/>
              </w:rPr>
              <w:t>78,300,387</w:t>
            </w:r>
          </w:p>
        </w:tc>
        <w:tc>
          <w:tcPr>
            <w:tcW w:w="78" w:type="dxa"/>
            <w:tcBorders/>
            <w:shd w:fill="CCEEFF" w:val="clear"/>
            <w:vAlign w:val="center"/>
          </w:tcPr>
          <w:p>
            <w:pPr>
              <w:pStyle w:val="TableContents"/>
              <w:bidi w:val="0"/>
              <w:spacing w:lineRule="atLeast" w:line="160" w:before="0" w:after="0"/>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0"/>
              <w:jc w:val="left"/>
              <w:rPr/>
            </w:pPr>
            <w:r>
              <w:rPr/>
              <w:t> </w:t>
            </w:r>
          </w:p>
        </w:tc>
        <w:tc>
          <w:tcPr>
            <w:tcW w:w="702" w:type="dxa"/>
            <w:tcBorders/>
            <w:shd w:fill="CCEEFF" w:val="clear"/>
            <w:vAlign w:val="center"/>
          </w:tcPr>
          <w:p>
            <w:pPr>
              <w:pStyle w:val="TableContents"/>
              <w:bidi w:val="0"/>
              <w:spacing w:lineRule="atLeast" w:line="160" w:before="0" w:after="0"/>
              <w:jc w:val="right"/>
              <w:rPr>
                <w:b/>
                <w:sz w:val="16"/>
              </w:rPr>
            </w:pPr>
            <w:r>
              <w:rPr>
                <w:b/>
                <w:sz w:val="16"/>
              </w:rPr>
              <w:t>51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0"/>
              <w:jc w:val="left"/>
              <w:rPr/>
            </w:pPr>
            <w:r>
              <w:rPr/>
              <w:t> </w:t>
            </w:r>
          </w:p>
        </w:tc>
        <w:tc>
          <w:tcPr>
            <w:tcW w:w="1079" w:type="dxa"/>
            <w:tcBorders/>
            <w:shd w:fill="CCEEFF" w:val="clear"/>
            <w:vAlign w:val="center"/>
          </w:tcPr>
          <w:p>
            <w:pPr>
              <w:pStyle w:val="TableContents"/>
              <w:bidi w:val="0"/>
              <w:spacing w:lineRule="atLeast" w:line="160" w:before="0" w:after="0"/>
              <w:jc w:val="right"/>
              <w:rPr>
                <w:b/>
                <w:sz w:val="16"/>
              </w:rPr>
            </w:pPr>
            <w:r>
              <w:rPr>
                <w:b/>
                <w:sz w:val="16"/>
              </w:rPr>
              <w:t>39,026,560</w:t>
            </w:r>
          </w:p>
        </w:tc>
        <w:tc>
          <w:tcPr>
            <w:tcW w:w="78" w:type="dxa"/>
            <w:tcBorders/>
            <w:shd w:fill="CCEEFF" w:val="clear"/>
            <w:vAlign w:val="center"/>
          </w:tcPr>
          <w:p>
            <w:pPr>
              <w:pStyle w:val="TableContents"/>
              <w:bidi w:val="0"/>
              <w:spacing w:lineRule="atLeast" w:line="160" w:before="0" w:after="0"/>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0"/>
              <w:jc w:val="left"/>
              <w:rPr/>
            </w:pPr>
            <w:r>
              <w:rPr/>
              <w:t> </w:t>
            </w:r>
          </w:p>
        </w:tc>
        <w:tc>
          <w:tcPr>
            <w:tcW w:w="700" w:type="dxa"/>
            <w:tcBorders/>
            <w:shd w:fill="CCEEFF" w:val="clear"/>
            <w:vAlign w:val="center"/>
          </w:tcPr>
          <w:p>
            <w:pPr>
              <w:pStyle w:val="TableContents"/>
              <w:bidi w:val="0"/>
              <w:spacing w:lineRule="atLeast" w:line="160" w:before="0" w:after="0"/>
              <w:jc w:val="right"/>
              <w:rPr>
                <w:b/>
                <w:sz w:val="16"/>
              </w:rPr>
            </w:pPr>
            <w:r>
              <w:rPr>
                <w:b/>
                <w:sz w:val="16"/>
              </w:rPr>
              <w:t>24</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0"/>
              <w:jc w:val="left"/>
              <w:rPr/>
            </w:pPr>
            <w:r>
              <w:rPr/>
              <w:t> </w:t>
            </w:r>
          </w:p>
        </w:tc>
        <w:tc>
          <w:tcPr>
            <w:tcW w:w="1037" w:type="dxa"/>
            <w:tcBorders/>
            <w:shd w:fill="CCEEFF" w:val="clear"/>
            <w:vAlign w:val="center"/>
          </w:tcPr>
          <w:p>
            <w:pPr>
              <w:pStyle w:val="TableContents"/>
              <w:bidi w:val="0"/>
              <w:spacing w:lineRule="atLeast" w:line="160" w:before="0" w:after="0"/>
              <w:jc w:val="right"/>
              <w:rPr>
                <w:b/>
                <w:sz w:val="16"/>
              </w:rPr>
            </w:pPr>
            <w:r>
              <w:rPr>
                <w:b/>
                <w:sz w:val="16"/>
              </w:rPr>
              <w:t>(871,000</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0"/>
              <w:jc w:val="left"/>
              <w:rPr/>
            </w:pPr>
            <w:r>
              <w:rPr/>
              <w:t> </w:t>
            </w:r>
          </w:p>
        </w:tc>
        <w:tc>
          <w:tcPr>
            <w:tcW w:w="785" w:type="dxa"/>
            <w:tcBorders/>
            <w:shd w:fill="CCEEFF" w:val="clear"/>
            <w:vAlign w:val="center"/>
          </w:tcPr>
          <w:p>
            <w:pPr>
              <w:pStyle w:val="TableContents"/>
              <w:bidi w:val="0"/>
              <w:spacing w:lineRule="atLeast" w:line="160" w:before="0" w:after="0"/>
              <w:jc w:val="right"/>
              <w:rPr/>
            </w:pPr>
            <w:r>
              <w:rPr/>
              <w:t>— </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0"/>
              <w:jc w:val="left"/>
              <w:rPr/>
            </w:pPr>
            <w:r>
              <w:rPr/>
              <w:t> </w:t>
            </w:r>
          </w:p>
        </w:tc>
        <w:tc>
          <w:tcPr>
            <w:tcW w:w="740" w:type="dxa"/>
            <w:tcBorders/>
            <w:shd w:fill="CCEEFF" w:val="clear"/>
            <w:vAlign w:val="center"/>
          </w:tcPr>
          <w:p>
            <w:pPr>
              <w:pStyle w:val="TableContents"/>
              <w:bidi w:val="0"/>
              <w:spacing w:lineRule="atLeast" w:line="160" w:before="0" w:after="0"/>
              <w:jc w:val="right"/>
              <w:rPr>
                <w:b/>
                <w:sz w:val="16"/>
              </w:rPr>
            </w:pPr>
            <w:r>
              <w:rPr>
                <w:b/>
                <w:sz w:val="16"/>
              </w:rPr>
              <w:t>1,558,356</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0"/>
              <w:jc w:val="left"/>
              <w:rPr/>
            </w:pPr>
            <w:r>
              <w:rPr/>
              <w:t> </w:t>
            </w:r>
          </w:p>
        </w:tc>
        <w:tc>
          <w:tcPr>
            <w:tcW w:w="972" w:type="dxa"/>
            <w:tcBorders/>
            <w:shd w:fill="CCEEFF" w:val="clear"/>
            <w:vAlign w:val="center"/>
          </w:tcPr>
          <w:p>
            <w:pPr>
              <w:pStyle w:val="TableContents"/>
              <w:bidi w:val="0"/>
              <w:spacing w:lineRule="atLeast" w:line="160" w:before="0" w:after="0"/>
              <w:jc w:val="right"/>
              <w:rPr>
                <w:b/>
                <w:sz w:val="16"/>
              </w:rPr>
            </w:pPr>
            <w:r>
              <w:rPr>
                <w:b/>
                <w:sz w:val="16"/>
              </w:rPr>
              <w:t>15,010</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0"/>
              <w:jc w:val="left"/>
              <w:rPr/>
            </w:pPr>
            <w:r>
              <w:rPr/>
              <w:t> </w:t>
            </w:r>
          </w:p>
        </w:tc>
        <w:tc>
          <w:tcPr>
            <w:tcW w:w="636" w:type="dxa"/>
            <w:tcBorders/>
            <w:shd w:fill="CCEEFF" w:val="clear"/>
            <w:vAlign w:val="center"/>
          </w:tcPr>
          <w:p>
            <w:pPr>
              <w:pStyle w:val="TableContents"/>
              <w:bidi w:val="0"/>
              <w:spacing w:lineRule="atLeast" w:line="160" w:before="0" w:after="0"/>
              <w:jc w:val="right"/>
              <w:rPr>
                <w:b/>
                <w:sz w:val="16"/>
              </w:rPr>
            </w:pPr>
            <w:r>
              <w:rPr>
                <w:b/>
                <w:sz w:val="16"/>
              </w:rPr>
              <w:t>1,191</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0"/>
              <w:jc w:val="left"/>
              <w:rPr/>
            </w:pPr>
            <w:r>
              <w:rPr/>
              <w:t> </w:t>
            </w:r>
          </w:p>
        </w:tc>
        <w:tc>
          <w:tcPr>
            <w:tcW w:w="1275" w:type="dxa"/>
            <w:tcBorders/>
            <w:shd w:fill="CCEEFF" w:val="clear"/>
            <w:vAlign w:val="center"/>
          </w:tcPr>
          <w:p>
            <w:pPr>
              <w:pStyle w:val="TableContents"/>
              <w:bidi w:val="0"/>
              <w:spacing w:lineRule="atLeast" w:line="160" w:before="0" w:after="0"/>
              <w:jc w:val="right"/>
              <w:rPr>
                <w:b/>
                <w:sz w:val="16"/>
              </w:rPr>
            </w:pPr>
            <w:r>
              <w:rPr>
                <w:b/>
                <w:sz w:val="16"/>
              </w:rPr>
              <w:t>(1,452,794</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b/>
                <w:sz w:val="16"/>
              </w:rPr>
            </w:pPr>
            <w:r>
              <w:rPr>
                <w:b/>
                <w:sz w:val="16"/>
              </w:rPr>
              <w:t>121,838</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0"/>
              <w:jc w:val="left"/>
              <w:rPr/>
            </w:pPr>
            <w:r>
              <w:rPr/>
              <w:t> </w:t>
            </w:r>
          </w:p>
        </w:tc>
        <w:tc>
          <w:tcPr>
            <w:tcW w:w="1004" w:type="dxa"/>
            <w:tcBorders/>
            <w:shd w:fill="CCEEFF" w:val="clear"/>
            <w:vAlign w:val="center"/>
          </w:tcPr>
          <w:p>
            <w:pPr>
              <w:pStyle w:val="TableContents"/>
              <w:bidi w:val="0"/>
              <w:spacing w:lineRule="atLeast" w:line="160" w:before="0" w:after="0"/>
              <w:jc w:val="right"/>
              <w:rPr>
                <w:b/>
                <w:sz w:val="16"/>
              </w:rPr>
            </w:pPr>
            <w:r>
              <w:rPr>
                <w:b/>
                <w:sz w:val="16"/>
              </w:rPr>
              <w:t>418</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b/>
                <w:sz w:val="16"/>
              </w:rPr>
            </w:pPr>
            <w:r>
              <w:rPr>
                <w:b/>
                <w:sz w:val="16"/>
              </w:rPr>
              <w:t>122,256</w:t>
            </w:r>
          </w:p>
        </w:tc>
        <w:tc>
          <w:tcPr>
            <w:tcW w:w="140" w:type="dxa"/>
            <w:tcBorders/>
            <w:shd w:fill="CCEEFF" w:val="clear"/>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Class A ordinary shares</w:t>
            </w:r>
          </w:p>
        </w:tc>
        <w:tc>
          <w:tcPr>
            <w:tcW w:w="60" w:type="dxa"/>
            <w:tcBorders/>
            <w:vAlign w:val="center"/>
          </w:tcPr>
          <w:p>
            <w:pPr>
              <w:pStyle w:val="TableContents"/>
              <w:bidi w:val="0"/>
              <w:spacing w:lineRule="atLeast" w:line="160" w:before="0" w:after="283"/>
              <w:jc w:val="left"/>
              <w:rPr/>
            </w:pPr>
            <w:r>
              <w:rPr/>
              <w:t> </w:t>
            </w:r>
          </w:p>
        </w:tc>
        <w:tc>
          <w:tcPr>
            <w:tcW w:w="500" w:type="dxa"/>
            <w:tcBorders/>
            <w:vAlign w:val="center"/>
          </w:tcPr>
          <w:p>
            <w:pPr>
              <w:pStyle w:val="TableContents"/>
              <w:bidi w:val="0"/>
              <w:spacing w:lineRule="atLeast" w:line="160" w:before="0" w:after="283"/>
              <w:jc w:val="center"/>
              <w:rPr>
                <w:sz w:val="16"/>
              </w:rPr>
            </w:pPr>
            <w:r>
              <w:rPr>
                <w:sz w:val="16"/>
              </w:rPr>
              <w:t>19</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88" w:type="dxa"/>
            <w:tcBorders/>
            <w:vAlign w:val="center"/>
          </w:tcPr>
          <w:p>
            <w:pPr>
              <w:pStyle w:val="TableContents"/>
              <w:bidi w:val="0"/>
              <w:spacing w:lineRule="atLeast" w:line="160" w:before="0" w:after="283"/>
              <w:jc w:val="right"/>
              <w:rPr>
                <w:sz w:val="16"/>
              </w:rPr>
            </w:pPr>
            <w:r>
              <w:rPr>
                <w:sz w:val="16"/>
              </w:rPr>
              <w:t>7,870,938</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58" w:type="dxa"/>
            <w:tcBorders/>
            <w:vAlign w:val="center"/>
          </w:tcPr>
          <w:p>
            <w:pPr>
              <w:pStyle w:val="TableContents"/>
              <w:bidi w:val="0"/>
              <w:spacing w:lineRule="atLeast" w:line="160" w:before="0" w:after="283"/>
              <w:jc w:val="left"/>
              <w:rPr/>
            </w:pPr>
            <w:r>
              <w:rPr/>
              <w:t> </w:t>
            </w:r>
          </w:p>
        </w:tc>
        <w:tc>
          <w:tcPr>
            <w:tcW w:w="702" w:type="dxa"/>
            <w:tcBorders/>
            <w:vAlign w:val="center"/>
          </w:tcPr>
          <w:p>
            <w:pPr>
              <w:pStyle w:val="TableContents"/>
              <w:bidi w:val="0"/>
              <w:spacing w:lineRule="atLeast" w:line="160" w:before="0" w:after="283"/>
              <w:jc w:val="right"/>
              <w:rPr>
                <w:sz w:val="16"/>
              </w:rPr>
            </w:pPr>
            <w:r>
              <w:rPr>
                <w:sz w:val="16"/>
              </w:rPr>
              <w:t>5</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79"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60" w:type="dxa"/>
            <w:tcBorders/>
            <w:vAlign w:val="center"/>
          </w:tcPr>
          <w:p>
            <w:pPr>
              <w:pStyle w:val="TableContents"/>
              <w:bidi w:val="0"/>
              <w:spacing w:lineRule="atLeast" w:line="160" w:before="0" w:after="283"/>
              <w:jc w:val="left"/>
              <w:rPr/>
            </w:pPr>
            <w:r>
              <w:rPr/>
              <w:t> </w:t>
            </w:r>
          </w:p>
        </w:tc>
        <w:tc>
          <w:tcPr>
            <w:tcW w:w="700"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3" w:type="dxa"/>
            <w:tcBorders/>
            <w:vAlign w:val="center"/>
          </w:tcPr>
          <w:p>
            <w:pPr>
              <w:pStyle w:val="TableContents"/>
              <w:bidi w:val="0"/>
              <w:spacing w:lineRule="atLeast" w:line="160" w:before="0" w:after="283"/>
              <w:jc w:val="left"/>
              <w:rPr/>
            </w:pPr>
            <w:r>
              <w:rPr/>
              <w:t> </w:t>
            </w:r>
          </w:p>
        </w:tc>
        <w:tc>
          <w:tcPr>
            <w:tcW w:w="1037"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80" w:type="dxa"/>
            <w:tcBorders/>
            <w:vAlign w:val="center"/>
          </w:tcPr>
          <w:p>
            <w:pPr>
              <w:pStyle w:val="TableContents"/>
              <w:bidi w:val="0"/>
              <w:spacing w:lineRule="atLeast" w:line="160" w:before="0" w:after="283"/>
              <w:jc w:val="left"/>
              <w:rPr/>
            </w:pPr>
            <w:r>
              <w:rPr/>
              <w:t> </w:t>
            </w:r>
          </w:p>
        </w:tc>
        <w:tc>
          <w:tcPr>
            <w:tcW w:w="785"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40" w:type="dxa"/>
            <w:tcBorders/>
            <w:vAlign w:val="center"/>
          </w:tcPr>
          <w:p>
            <w:pPr>
              <w:pStyle w:val="TableContents"/>
              <w:bidi w:val="0"/>
              <w:spacing w:lineRule="atLeast" w:line="160" w:before="0" w:after="283"/>
              <w:jc w:val="right"/>
              <w:rPr>
                <w:sz w:val="16"/>
              </w:rPr>
            </w:pPr>
            <w:r>
              <w:rPr>
                <w:sz w:val="16"/>
              </w:rPr>
              <w:t>242,399</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3" w:type="dxa"/>
            <w:tcBorders/>
            <w:vAlign w:val="center"/>
          </w:tcPr>
          <w:p>
            <w:pPr>
              <w:pStyle w:val="TableContents"/>
              <w:bidi w:val="0"/>
              <w:spacing w:lineRule="atLeast" w:line="160" w:before="0" w:after="283"/>
              <w:jc w:val="left"/>
              <w:rPr/>
            </w:pPr>
            <w:r>
              <w:rPr/>
              <w:t> </w:t>
            </w:r>
          </w:p>
        </w:tc>
        <w:tc>
          <w:tcPr>
            <w:tcW w:w="97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89" w:type="dxa"/>
            <w:tcBorders/>
            <w:vAlign w:val="center"/>
          </w:tcPr>
          <w:p>
            <w:pPr>
              <w:pStyle w:val="TableContents"/>
              <w:bidi w:val="0"/>
              <w:spacing w:lineRule="atLeast" w:line="160" w:before="0" w:after="283"/>
              <w:jc w:val="left"/>
              <w:rPr/>
            </w:pPr>
            <w:r>
              <w:rPr/>
              <w:t> </w:t>
            </w:r>
          </w:p>
        </w:tc>
        <w:tc>
          <w:tcPr>
            <w:tcW w:w="636"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5" w:type="dxa"/>
            <w:tcBorders/>
            <w:vAlign w:val="center"/>
          </w:tcPr>
          <w:p>
            <w:pPr>
              <w:pStyle w:val="TableContents"/>
              <w:bidi w:val="0"/>
              <w:spacing w:lineRule="atLeast" w:line="160" w:before="0" w:after="283"/>
              <w:jc w:val="left"/>
              <w:rPr/>
            </w:pPr>
            <w:r>
              <w:rPr/>
              <w:t> </w:t>
            </w:r>
          </w:p>
        </w:tc>
        <w:tc>
          <w:tcPr>
            <w:tcW w:w="1275"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5" w:type="dxa"/>
            <w:tcBorders/>
            <w:vAlign w:val="center"/>
          </w:tcPr>
          <w:p>
            <w:pPr>
              <w:pStyle w:val="TableContents"/>
              <w:bidi w:val="0"/>
              <w:spacing w:lineRule="atLeast" w:line="160" w:before="0" w:after="0"/>
              <w:jc w:val="left"/>
              <w:rPr/>
            </w:pPr>
            <w:r>
              <w:rPr/>
              <w:t> </w:t>
            </w:r>
          </w:p>
        </w:tc>
        <w:tc>
          <w:tcPr>
            <w:tcW w:w="1285" w:type="dxa"/>
            <w:tcBorders/>
            <w:vAlign w:val="center"/>
          </w:tcPr>
          <w:p>
            <w:pPr>
              <w:pStyle w:val="TableContents"/>
              <w:bidi w:val="0"/>
              <w:spacing w:lineRule="atLeast" w:line="160" w:before="0" w:after="0"/>
              <w:jc w:val="right"/>
              <w:rPr>
                <w:b/>
                <w:sz w:val="16"/>
              </w:rPr>
            </w:pPr>
            <w:r>
              <w:rPr>
                <w:b/>
                <w:sz w:val="16"/>
              </w:rPr>
              <w:t>242,404</w:t>
            </w:r>
          </w:p>
        </w:tc>
        <w:tc>
          <w:tcPr>
            <w:tcW w:w="125"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lineRule="atLeast" w:line="160" w:before="0" w:after="283"/>
              <w:jc w:val="left"/>
              <w:rPr/>
            </w:pPr>
            <w:r>
              <w:rPr/>
              <w:t> </w:t>
            </w:r>
          </w:p>
        </w:tc>
        <w:tc>
          <w:tcPr>
            <w:tcW w:w="171" w:type="dxa"/>
            <w:tcBorders/>
            <w:vAlign w:val="center"/>
          </w:tcPr>
          <w:p>
            <w:pPr>
              <w:pStyle w:val="TableContents"/>
              <w:bidi w:val="0"/>
              <w:spacing w:lineRule="atLeast" w:line="160" w:before="0" w:after="283"/>
              <w:jc w:val="left"/>
              <w:rPr/>
            </w:pPr>
            <w:r>
              <w:rPr/>
              <w:t> </w:t>
            </w:r>
          </w:p>
        </w:tc>
        <w:tc>
          <w:tcPr>
            <w:tcW w:w="1004"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7" w:type="dxa"/>
            <w:tcBorders/>
            <w:vAlign w:val="center"/>
          </w:tcPr>
          <w:p>
            <w:pPr>
              <w:pStyle w:val="TableContents"/>
              <w:bidi w:val="0"/>
              <w:spacing w:lineRule="atLeast" w:line="160" w:before="0" w:after="0"/>
              <w:jc w:val="left"/>
              <w:rPr/>
            </w:pPr>
            <w:r>
              <w:rPr/>
              <w:t> </w:t>
            </w:r>
          </w:p>
        </w:tc>
        <w:tc>
          <w:tcPr>
            <w:tcW w:w="858" w:type="dxa"/>
            <w:tcBorders/>
            <w:vAlign w:val="center"/>
          </w:tcPr>
          <w:p>
            <w:pPr>
              <w:pStyle w:val="TableContents"/>
              <w:bidi w:val="0"/>
              <w:spacing w:lineRule="atLeast" w:line="160" w:before="0" w:after="0"/>
              <w:jc w:val="right"/>
              <w:rPr>
                <w:b/>
                <w:sz w:val="16"/>
              </w:rPr>
            </w:pPr>
            <w:r>
              <w:rPr>
                <w:b/>
                <w:sz w:val="16"/>
              </w:rPr>
              <w:t>242,404</w:t>
            </w:r>
          </w:p>
        </w:tc>
        <w:tc>
          <w:tcPr>
            <w:tcW w:w="140" w:type="dxa"/>
            <w:tcBorders/>
            <w:vAlign w:val="center"/>
          </w:tcPr>
          <w:p>
            <w:pPr>
              <w:pStyle w:val="TableContents"/>
              <w:bidi w:val="0"/>
              <w:spacing w:before="0" w:after="0"/>
              <w:jc w:val="left"/>
              <w:rPr>
                <w:spacing w:val="0"/>
              </w:rPr>
            </w:pPr>
            <w:r>
              <w:rPr>
                <w:spacing w:val="0"/>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Shares issued to depository bank</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lineRule="atLeast" w:line="160" w:before="0" w:after="283"/>
              <w:jc w:val="center"/>
              <w:rPr>
                <w:sz w:val="16"/>
              </w:rPr>
            </w:pPr>
            <w:r>
              <w:rPr>
                <w:sz w:val="16"/>
              </w:rPr>
              <w:t>19</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88" w:type="dxa"/>
            <w:tcBorders/>
            <w:shd w:fill="CCEEFF" w:val="clear"/>
            <w:vAlign w:val="center"/>
          </w:tcPr>
          <w:p>
            <w:pPr>
              <w:pStyle w:val="TableContents"/>
              <w:bidi w:val="0"/>
              <w:spacing w:lineRule="atLeast" w:line="160" w:before="0" w:after="283"/>
              <w:jc w:val="right"/>
              <w:rPr>
                <w:sz w:val="16"/>
              </w:rPr>
            </w:pPr>
            <w:r>
              <w:rPr>
                <w:sz w:val="16"/>
              </w:rPr>
              <w:t>236,000</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283"/>
              <w:jc w:val="left"/>
              <w:rPr/>
            </w:pPr>
            <w:r>
              <w:rPr/>
              <w:t> </w:t>
            </w:r>
          </w:p>
        </w:tc>
        <w:tc>
          <w:tcPr>
            <w:tcW w:w="70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79"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283"/>
              <w:jc w:val="left"/>
              <w:rPr/>
            </w:pPr>
            <w:r>
              <w:rPr/>
              <w:t> </w:t>
            </w:r>
          </w:p>
        </w:tc>
        <w:tc>
          <w:tcPr>
            <w:tcW w:w="700"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283"/>
              <w:jc w:val="left"/>
              <w:rPr/>
            </w:pPr>
            <w:r>
              <w:rPr/>
              <w:t> </w:t>
            </w:r>
          </w:p>
        </w:tc>
        <w:tc>
          <w:tcPr>
            <w:tcW w:w="1037" w:type="dxa"/>
            <w:tcBorders/>
            <w:shd w:fill="CCEEFF" w:val="clear"/>
            <w:vAlign w:val="center"/>
          </w:tcPr>
          <w:p>
            <w:pPr>
              <w:pStyle w:val="TableContents"/>
              <w:bidi w:val="0"/>
              <w:spacing w:lineRule="atLeast" w:line="160" w:before="0" w:after="283"/>
              <w:jc w:val="right"/>
              <w:rPr>
                <w:sz w:val="16"/>
              </w:rPr>
            </w:pPr>
            <w:r>
              <w:rPr>
                <w:sz w:val="16"/>
              </w:rPr>
              <w:t>(236,000</w:t>
            </w:r>
          </w:p>
        </w:tc>
        <w:tc>
          <w:tcPr>
            <w:tcW w:w="125" w:type="dxa"/>
            <w:tcBorders/>
            <w:shd w:fill="CCEEFF" w:val="clear"/>
            <w:vAlign w:val="center"/>
          </w:tcPr>
          <w:p>
            <w:pPr>
              <w:pStyle w:val="TableContents"/>
              <w:bidi w:val="0"/>
              <w:spacing w:lineRule="atLeast" w:line="160" w:before="0" w:after="283"/>
              <w:jc w:val="left"/>
              <w:rPr>
                <w:sz w:val="16"/>
              </w:rPr>
            </w:pPr>
            <w:r>
              <w:rPr>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283"/>
              <w:jc w:val="left"/>
              <w:rPr/>
            </w:pPr>
            <w:r>
              <w:rPr/>
              <w:t> </w:t>
            </w:r>
          </w:p>
        </w:tc>
        <w:tc>
          <w:tcPr>
            <w:tcW w:w="785"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40"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283"/>
              <w:jc w:val="left"/>
              <w:rPr/>
            </w:pPr>
            <w:r>
              <w:rPr/>
              <w:t> </w:t>
            </w:r>
          </w:p>
        </w:tc>
        <w:tc>
          <w:tcPr>
            <w:tcW w:w="97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283"/>
              <w:jc w:val="left"/>
              <w:rPr/>
            </w:pPr>
            <w:r>
              <w:rPr/>
              <w:t> </w:t>
            </w:r>
          </w:p>
        </w:tc>
        <w:tc>
          <w:tcPr>
            <w:tcW w:w="636"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283"/>
              <w:jc w:val="left"/>
              <w:rPr/>
            </w:pPr>
            <w:r>
              <w:rPr/>
              <w:t> </w:t>
            </w:r>
          </w:p>
        </w:tc>
        <w:tc>
          <w:tcPr>
            <w:tcW w:w="1275"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pPr>
            <w:r>
              <w:rPr/>
              <w:t>— </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283"/>
              <w:jc w:val="left"/>
              <w:rPr/>
            </w:pPr>
            <w:r>
              <w:rPr/>
              <w:t> </w:t>
            </w:r>
          </w:p>
        </w:tc>
        <w:tc>
          <w:tcPr>
            <w:tcW w:w="1004"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pPr>
            <w:r>
              <w:rPr/>
              <w:t>— </w:t>
            </w:r>
          </w:p>
        </w:tc>
        <w:tc>
          <w:tcPr>
            <w:tcW w:w="140" w:type="dxa"/>
            <w:tcBorders/>
            <w:shd w:fill="CCEEFF" w:val="clear"/>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ordinary shares for the vested restricted share units</w:t>
            </w:r>
          </w:p>
        </w:tc>
        <w:tc>
          <w:tcPr>
            <w:tcW w:w="60" w:type="dxa"/>
            <w:tcBorders/>
            <w:vAlign w:val="center"/>
          </w:tcPr>
          <w:p>
            <w:pPr>
              <w:pStyle w:val="TableContents"/>
              <w:bidi w:val="0"/>
              <w:spacing w:lineRule="atLeast" w:line="160" w:before="0" w:after="283"/>
              <w:jc w:val="left"/>
              <w:rPr/>
            </w:pPr>
            <w:r>
              <w:rPr/>
              <w:t> </w:t>
            </w:r>
          </w:p>
        </w:tc>
        <w:tc>
          <w:tcPr>
            <w:tcW w:w="500" w:type="dxa"/>
            <w:tcBorders/>
            <w:vAlign w:val="center"/>
          </w:tcPr>
          <w:p>
            <w:pPr>
              <w:pStyle w:val="TableContents"/>
              <w:bidi w:val="0"/>
              <w:spacing w:lineRule="atLeast" w:line="160" w:before="0" w:after="283"/>
              <w:jc w:val="center"/>
              <w:rPr>
                <w:sz w:val="16"/>
              </w:rPr>
            </w:pPr>
            <w:r>
              <w:rPr>
                <w:sz w:val="16"/>
              </w:rPr>
              <w:t>19</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88" w:type="dxa"/>
            <w:tcBorders/>
            <w:vAlign w:val="center"/>
          </w:tcPr>
          <w:p>
            <w:pPr>
              <w:pStyle w:val="TableContents"/>
              <w:bidi w:val="0"/>
              <w:spacing w:lineRule="atLeast" w:line="160" w:before="0" w:after="283"/>
              <w:jc w:val="right"/>
              <w:rPr>
                <w:sz w:val="16"/>
              </w:rPr>
            </w:pPr>
            <w:r>
              <w:rPr>
                <w:sz w:val="16"/>
              </w:rPr>
              <w:t>1,598,776</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58" w:type="dxa"/>
            <w:tcBorders/>
            <w:vAlign w:val="center"/>
          </w:tcPr>
          <w:p>
            <w:pPr>
              <w:pStyle w:val="TableContents"/>
              <w:bidi w:val="0"/>
              <w:spacing w:lineRule="atLeast" w:line="160" w:before="0" w:after="283"/>
              <w:jc w:val="left"/>
              <w:rPr/>
            </w:pPr>
            <w:r>
              <w:rPr/>
              <w:t> </w:t>
            </w:r>
          </w:p>
        </w:tc>
        <w:tc>
          <w:tcPr>
            <w:tcW w:w="70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79"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60" w:type="dxa"/>
            <w:tcBorders/>
            <w:vAlign w:val="center"/>
          </w:tcPr>
          <w:p>
            <w:pPr>
              <w:pStyle w:val="TableContents"/>
              <w:bidi w:val="0"/>
              <w:spacing w:lineRule="atLeast" w:line="160" w:before="0" w:after="283"/>
              <w:jc w:val="left"/>
              <w:rPr/>
            </w:pPr>
            <w:r>
              <w:rPr/>
              <w:t> </w:t>
            </w:r>
          </w:p>
        </w:tc>
        <w:tc>
          <w:tcPr>
            <w:tcW w:w="700"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3" w:type="dxa"/>
            <w:tcBorders/>
            <w:vAlign w:val="center"/>
          </w:tcPr>
          <w:p>
            <w:pPr>
              <w:pStyle w:val="TableContents"/>
              <w:bidi w:val="0"/>
              <w:spacing w:lineRule="atLeast" w:line="160" w:before="0" w:after="283"/>
              <w:jc w:val="left"/>
              <w:rPr/>
            </w:pPr>
            <w:r>
              <w:rPr/>
              <w:t> </w:t>
            </w:r>
          </w:p>
        </w:tc>
        <w:tc>
          <w:tcPr>
            <w:tcW w:w="1037" w:type="dxa"/>
            <w:tcBorders/>
            <w:vAlign w:val="center"/>
          </w:tcPr>
          <w:p>
            <w:pPr>
              <w:pStyle w:val="TableContents"/>
              <w:bidi w:val="0"/>
              <w:spacing w:lineRule="atLeast" w:line="160" w:before="0" w:after="283"/>
              <w:jc w:val="right"/>
              <w:rPr>
                <w:sz w:val="16"/>
              </w:rPr>
            </w:pPr>
            <w:r>
              <w:rPr>
                <w:sz w:val="16"/>
              </w:rPr>
              <w:t>536,692</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80" w:type="dxa"/>
            <w:tcBorders/>
            <w:vAlign w:val="center"/>
          </w:tcPr>
          <w:p>
            <w:pPr>
              <w:pStyle w:val="TableContents"/>
              <w:bidi w:val="0"/>
              <w:spacing w:lineRule="atLeast" w:line="160" w:before="0" w:after="283"/>
              <w:jc w:val="left"/>
              <w:rPr/>
            </w:pPr>
            <w:r>
              <w:rPr/>
              <w:t> </w:t>
            </w:r>
          </w:p>
        </w:tc>
        <w:tc>
          <w:tcPr>
            <w:tcW w:w="785"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40"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3" w:type="dxa"/>
            <w:tcBorders/>
            <w:vAlign w:val="center"/>
          </w:tcPr>
          <w:p>
            <w:pPr>
              <w:pStyle w:val="TableContents"/>
              <w:bidi w:val="0"/>
              <w:spacing w:lineRule="atLeast" w:line="160" w:before="0" w:after="283"/>
              <w:jc w:val="left"/>
              <w:rPr/>
            </w:pPr>
            <w:r>
              <w:rPr/>
              <w:t> </w:t>
            </w:r>
          </w:p>
        </w:tc>
        <w:tc>
          <w:tcPr>
            <w:tcW w:w="97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89" w:type="dxa"/>
            <w:tcBorders/>
            <w:vAlign w:val="center"/>
          </w:tcPr>
          <w:p>
            <w:pPr>
              <w:pStyle w:val="TableContents"/>
              <w:bidi w:val="0"/>
              <w:spacing w:lineRule="atLeast" w:line="160" w:before="0" w:after="283"/>
              <w:jc w:val="left"/>
              <w:rPr/>
            </w:pPr>
            <w:r>
              <w:rPr/>
              <w:t> </w:t>
            </w:r>
          </w:p>
        </w:tc>
        <w:tc>
          <w:tcPr>
            <w:tcW w:w="636"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5" w:type="dxa"/>
            <w:tcBorders/>
            <w:vAlign w:val="center"/>
          </w:tcPr>
          <w:p>
            <w:pPr>
              <w:pStyle w:val="TableContents"/>
              <w:bidi w:val="0"/>
              <w:spacing w:lineRule="atLeast" w:line="160" w:before="0" w:after="283"/>
              <w:jc w:val="left"/>
              <w:rPr/>
            </w:pPr>
            <w:r>
              <w:rPr/>
              <w:t> </w:t>
            </w:r>
          </w:p>
        </w:tc>
        <w:tc>
          <w:tcPr>
            <w:tcW w:w="1275"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5" w:type="dxa"/>
            <w:tcBorders/>
            <w:vAlign w:val="center"/>
          </w:tcPr>
          <w:p>
            <w:pPr>
              <w:pStyle w:val="TableContents"/>
              <w:bidi w:val="0"/>
              <w:spacing w:lineRule="atLeast" w:line="160" w:before="0" w:after="0"/>
              <w:jc w:val="left"/>
              <w:rPr/>
            </w:pPr>
            <w:r>
              <w:rPr/>
              <w:t> </w:t>
            </w:r>
          </w:p>
        </w:tc>
        <w:tc>
          <w:tcPr>
            <w:tcW w:w="1285" w:type="dxa"/>
            <w:tcBorders/>
            <w:vAlign w:val="center"/>
          </w:tcPr>
          <w:p>
            <w:pPr>
              <w:pStyle w:val="TableContents"/>
              <w:bidi w:val="0"/>
              <w:spacing w:lineRule="atLeast" w:line="160" w:before="0" w:after="0"/>
              <w:jc w:val="right"/>
              <w:rPr/>
            </w:pPr>
            <w:r>
              <w:rPr/>
              <w:t>— </w:t>
            </w:r>
          </w:p>
        </w:tc>
        <w:tc>
          <w:tcPr>
            <w:tcW w:w="125"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lineRule="atLeast" w:line="160" w:before="0" w:after="283"/>
              <w:jc w:val="left"/>
              <w:rPr/>
            </w:pPr>
            <w:r>
              <w:rPr/>
              <w:t> </w:t>
            </w:r>
          </w:p>
        </w:tc>
        <w:tc>
          <w:tcPr>
            <w:tcW w:w="171" w:type="dxa"/>
            <w:tcBorders/>
            <w:vAlign w:val="center"/>
          </w:tcPr>
          <w:p>
            <w:pPr>
              <w:pStyle w:val="TableContents"/>
              <w:bidi w:val="0"/>
              <w:spacing w:lineRule="atLeast" w:line="160" w:before="0" w:after="283"/>
              <w:jc w:val="left"/>
              <w:rPr/>
            </w:pPr>
            <w:r>
              <w:rPr/>
              <w:t> </w:t>
            </w:r>
          </w:p>
        </w:tc>
        <w:tc>
          <w:tcPr>
            <w:tcW w:w="1004"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7" w:type="dxa"/>
            <w:tcBorders/>
            <w:vAlign w:val="center"/>
          </w:tcPr>
          <w:p>
            <w:pPr>
              <w:pStyle w:val="TableContents"/>
              <w:bidi w:val="0"/>
              <w:spacing w:lineRule="atLeast" w:line="160" w:before="0" w:after="0"/>
              <w:jc w:val="left"/>
              <w:rPr/>
            </w:pPr>
            <w:r>
              <w:rPr/>
              <w:t> </w:t>
            </w:r>
          </w:p>
        </w:tc>
        <w:tc>
          <w:tcPr>
            <w:tcW w:w="858" w:type="dxa"/>
            <w:tcBorders/>
            <w:vAlign w:val="center"/>
          </w:tcPr>
          <w:p>
            <w:pPr>
              <w:pStyle w:val="TableContents"/>
              <w:bidi w:val="0"/>
              <w:spacing w:lineRule="atLeast" w:line="160" w:before="0" w:after="0"/>
              <w:jc w:val="right"/>
              <w:rPr/>
            </w:pPr>
            <w:r>
              <w:rPr/>
              <w:t>— </w:t>
            </w:r>
          </w:p>
        </w:tc>
        <w:tc>
          <w:tcPr>
            <w:tcW w:w="140" w:type="dxa"/>
            <w:tcBorders/>
            <w:vAlign w:val="center"/>
          </w:tcPr>
          <w:p>
            <w:pPr>
              <w:pStyle w:val="TableContents"/>
              <w:bidi w:val="0"/>
              <w:spacing w:before="0" w:after="0"/>
              <w:jc w:val="left"/>
              <w:rPr>
                <w:spacing w:val="0"/>
              </w:rPr>
            </w:pPr>
            <w:r>
              <w:rPr>
                <w:spacing w:val="0"/>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 loss</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88"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283"/>
              <w:jc w:val="left"/>
              <w:rPr/>
            </w:pPr>
            <w:r>
              <w:rPr/>
              <w:t> </w:t>
            </w:r>
          </w:p>
        </w:tc>
        <w:tc>
          <w:tcPr>
            <w:tcW w:w="70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79"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283"/>
              <w:jc w:val="left"/>
              <w:rPr/>
            </w:pPr>
            <w:r>
              <w:rPr/>
              <w:t> </w:t>
            </w:r>
          </w:p>
        </w:tc>
        <w:tc>
          <w:tcPr>
            <w:tcW w:w="700"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283"/>
              <w:jc w:val="left"/>
              <w:rPr/>
            </w:pPr>
            <w:r>
              <w:rPr/>
              <w:t> </w:t>
            </w:r>
          </w:p>
        </w:tc>
        <w:tc>
          <w:tcPr>
            <w:tcW w:w="1037"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283"/>
              <w:jc w:val="left"/>
              <w:rPr/>
            </w:pPr>
            <w:r>
              <w:rPr/>
              <w:t> </w:t>
            </w:r>
          </w:p>
        </w:tc>
        <w:tc>
          <w:tcPr>
            <w:tcW w:w="785"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40"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283"/>
              <w:jc w:val="left"/>
              <w:rPr/>
            </w:pPr>
            <w:r>
              <w:rPr/>
              <w:t> </w:t>
            </w:r>
          </w:p>
        </w:tc>
        <w:tc>
          <w:tcPr>
            <w:tcW w:w="97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283"/>
              <w:jc w:val="left"/>
              <w:rPr/>
            </w:pPr>
            <w:r>
              <w:rPr/>
              <w:t> </w:t>
            </w:r>
          </w:p>
        </w:tc>
        <w:tc>
          <w:tcPr>
            <w:tcW w:w="636"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283"/>
              <w:jc w:val="left"/>
              <w:rPr/>
            </w:pPr>
            <w:r>
              <w:rPr/>
              <w:t> </w:t>
            </w:r>
          </w:p>
        </w:tc>
        <w:tc>
          <w:tcPr>
            <w:tcW w:w="1275" w:type="dxa"/>
            <w:tcBorders/>
            <w:shd w:fill="CCEEFF" w:val="clear"/>
            <w:vAlign w:val="center"/>
          </w:tcPr>
          <w:p>
            <w:pPr>
              <w:pStyle w:val="TableContents"/>
              <w:bidi w:val="0"/>
              <w:spacing w:lineRule="atLeast" w:line="160" w:before="0" w:after="283"/>
              <w:jc w:val="right"/>
              <w:rPr>
                <w:sz w:val="16"/>
              </w:rPr>
            </w:pPr>
            <w:r>
              <w:rPr>
                <w:sz w:val="16"/>
              </w:rPr>
              <w:t>(301,700</w:t>
            </w:r>
          </w:p>
        </w:tc>
        <w:tc>
          <w:tcPr>
            <w:tcW w:w="125" w:type="dxa"/>
            <w:tcBorders/>
            <w:shd w:fill="CCEEFF" w:val="clear"/>
            <w:vAlign w:val="center"/>
          </w:tcPr>
          <w:p>
            <w:pPr>
              <w:pStyle w:val="TableContents"/>
              <w:bidi w:val="0"/>
              <w:spacing w:lineRule="atLeast" w:line="160" w:before="0" w:after="283"/>
              <w:jc w:val="left"/>
              <w:rPr>
                <w:sz w:val="16"/>
              </w:rPr>
            </w:pPr>
            <w:r>
              <w:rPr>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b/>
                <w:sz w:val="16"/>
              </w:rPr>
            </w:pPr>
            <w:r>
              <w:rPr>
                <w:b/>
                <w:sz w:val="16"/>
              </w:rPr>
              <w:t>(301,700</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283"/>
              <w:jc w:val="left"/>
              <w:rPr/>
            </w:pPr>
            <w:r>
              <w:rPr/>
              <w:t> </w:t>
            </w:r>
          </w:p>
        </w:tc>
        <w:tc>
          <w:tcPr>
            <w:tcW w:w="1004" w:type="dxa"/>
            <w:tcBorders/>
            <w:shd w:fill="CCEEFF" w:val="clear"/>
            <w:vAlign w:val="center"/>
          </w:tcPr>
          <w:p>
            <w:pPr>
              <w:pStyle w:val="TableContents"/>
              <w:bidi w:val="0"/>
              <w:spacing w:lineRule="atLeast" w:line="160" w:before="0" w:after="283"/>
              <w:jc w:val="right"/>
              <w:rPr>
                <w:sz w:val="16"/>
              </w:rPr>
            </w:pPr>
            <w:r>
              <w:rPr>
                <w:sz w:val="16"/>
              </w:rPr>
              <w:t>(641</w:t>
            </w:r>
          </w:p>
        </w:tc>
        <w:tc>
          <w:tcPr>
            <w:tcW w:w="125" w:type="dxa"/>
            <w:tcBorders/>
            <w:shd w:fill="CCEEFF" w:val="clear"/>
            <w:vAlign w:val="center"/>
          </w:tcPr>
          <w:p>
            <w:pPr>
              <w:pStyle w:val="TableContents"/>
              <w:bidi w:val="0"/>
              <w:spacing w:lineRule="atLeast" w:line="160" w:before="0" w:after="283"/>
              <w:jc w:val="left"/>
              <w:rPr>
                <w:sz w:val="16"/>
              </w:rPr>
            </w:pPr>
            <w:r>
              <w:rPr>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b/>
                <w:sz w:val="16"/>
              </w:rPr>
            </w:pPr>
            <w:r>
              <w:rPr>
                <w:b/>
                <w:sz w:val="16"/>
              </w:rPr>
              <w:t>(302,341</w:t>
            </w:r>
          </w:p>
        </w:tc>
        <w:tc>
          <w:tcPr>
            <w:tcW w:w="140" w:type="dxa"/>
            <w:tcBorders/>
            <w:shd w:fill="CCEEFF" w:val="clear"/>
            <w:vAlign w:val="center"/>
          </w:tcPr>
          <w:p>
            <w:pPr>
              <w:pStyle w:val="TableContents"/>
              <w:bidi w:val="0"/>
              <w:spacing w:before="0" w:after="0"/>
              <w:jc w:val="left"/>
              <w:rPr>
                <w:b/>
                <w:spacing w:val="0"/>
                <w:sz w:val="17"/>
              </w:rPr>
            </w:pPr>
            <w:r>
              <w:rPr>
                <w:b/>
                <w:spacing w:val="0"/>
                <w:sz w:val="17"/>
              </w:rPr>
              <w:t>) </w:t>
            </w:r>
          </w:p>
        </w:tc>
      </w:tr>
      <w:tr>
        <w:trPr/>
        <w:tc>
          <w:tcPr>
            <w:tcW w:w="1130" w:type="dxa"/>
            <w:tcBorders/>
            <w:vAlign w:val="center"/>
          </w:tcPr>
          <w:p>
            <w:pPr>
              <w:pStyle w:val="TableContents"/>
              <w:bidi w:val="0"/>
              <w:spacing w:lineRule="atLeast" w:line="160" w:before="0" w:after="0"/>
              <w:jc w:val="left"/>
              <w:rPr>
                <w:rFonts w:ascii="Times New Roman" w:hAnsi="Times New Roman"/>
                <w:sz w:val="16"/>
              </w:rPr>
            </w:pPr>
            <w:r>
              <w:rPr>
                <w:rFonts w:ascii="Times New Roman" w:hAnsi="Times New Roman"/>
                <w:sz w:val="16"/>
              </w:rPr>
              <w:t>Share based compensation</w:t>
            </w:r>
          </w:p>
        </w:tc>
        <w:tc>
          <w:tcPr>
            <w:tcW w:w="60" w:type="dxa"/>
            <w:tcBorders/>
            <w:vAlign w:val="center"/>
          </w:tcPr>
          <w:p>
            <w:pPr>
              <w:pStyle w:val="TableContents"/>
              <w:bidi w:val="0"/>
              <w:spacing w:lineRule="atLeast" w:line="160" w:before="0" w:after="283"/>
              <w:jc w:val="left"/>
              <w:rPr/>
            </w:pPr>
            <w:r>
              <w:rPr/>
              <w:t> </w:t>
            </w:r>
          </w:p>
        </w:tc>
        <w:tc>
          <w:tcPr>
            <w:tcW w:w="500" w:type="dxa"/>
            <w:tcBorders/>
            <w:vAlign w:val="center"/>
          </w:tcPr>
          <w:p>
            <w:pPr>
              <w:pStyle w:val="TableContents"/>
              <w:bidi w:val="0"/>
              <w:spacing w:lineRule="atLeast" w:line="160" w:before="0" w:after="283"/>
              <w:jc w:val="center"/>
              <w:rPr>
                <w:sz w:val="16"/>
              </w:rPr>
            </w:pPr>
            <w:r>
              <w:rPr>
                <w:sz w:val="16"/>
              </w:rPr>
              <w:t>15</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88"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58" w:type="dxa"/>
            <w:tcBorders/>
            <w:vAlign w:val="center"/>
          </w:tcPr>
          <w:p>
            <w:pPr>
              <w:pStyle w:val="TableContents"/>
              <w:bidi w:val="0"/>
              <w:spacing w:lineRule="atLeast" w:line="160" w:before="0" w:after="283"/>
              <w:jc w:val="left"/>
              <w:rPr/>
            </w:pPr>
            <w:r>
              <w:rPr/>
              <w:t> </w:t>
            </w:r>
          </w:p>
        </w:tc>
        <w:tc>
          <w:tcPr>
            <w:tcW w:w="70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79"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60" w:type="dxa"/>
            <w:tcBorders/>
            <w:vAlign w:val="center"/>
          </w:tcPr>
          <w:p>
            <w:pPr>
              <w:pStyle w:val="TableContents"/>
              <w:bidi w:val="0"/>
              <w:spacing w:lineRule="atLeast" w:line="160" w:before="0" w:after="283"/>
              <w:jc w:val="left"/>
              <w:rPr/>
            </w:pPr>
            <w:r>
              <w:rPr/>
              <w:t> </w:t>
            </w:r>
          </w:p>
        </w:tc>
        <w:tc>
          <w:tcPr>
            <w:tcW w:w="700"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3" w:type="dxa"/>
            <w:tcBorders/>
            <w:vAlign w:val="center"/>
          </w:tcPr>
          <w:p>
            <w:pPr>
              <w:pStyle w:val="TableContents"/>
              <w:bidi w:val="0"/>
              <w:spacing w:lineRule="atLeast" w:line="160" w:before="0" w:after="283"/>
              <w:jc w:val="left"/>
              <w:rPr/>
            </w:pPr>
            <w:r>
              <w:rPr/>
              <w:t> </w:t>
            </w:r>
          </w:p>
        </w:tc>
        <w:tc>
          <w:tcPr>
            <w:tcW w:w="1037"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80" w:type="dxa"/>
            <w:tcBorders/>
            <w:vAlign w:val="center"/>
          </w:tcPr>
          <w:p>
            <w:pPr>
              <w:pStyle w:val="TableContents"/>
              <w:bidi w:val="0"/>
              <w:spacing w:lineRule="atLeast" w:line="160" w:before="0" w:after="283"/>
              <w:jc w:val="left"/>
              <w:rPr/>
            </w:pPr>
            <w:r>
              <w:rPr/>
              <w:t> </w:t>
            </w:r>
          </w:p>
        </w:tc>
        <w:tc>
          <w:tcPr>
            <w:tcW w:w="785"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40" w:type="dxa"/>
            <w:tcBorders/>
            <w:vAlign w:val="center"/>
          </w:tcPr>
          <w:p>
            <w:pPr>
              <w:pStyle w:val="TableContents"/>
              <w:bidi w:val="0"/>
              <w:spacing w:lineRule="atLeast" w:line="160" w:before="0" w:after="283"/>
              <w:jc w:val="right"/>
              <w:rPr>
                <w:sz w:val="16"/>
              </w:rPr>
            </w:pPr>
            <w:r>
              <w:rPr>
                <w:sz w:val="16"/>
              </w:rPr>
              <w:t>151,485</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3" w:type="dxa"/>
            <w:tcBorders/>
            <w:vAlign w:val="center"/>
          </w:tcPr>
          <w:p>
            <w:pPr>
              <w:pStyle w:val="TableContents"/>
              <w:bidi w:val="0"/>
              <w:spacing w:lineRule="atLeast" w:line="160" w:before="0" w:after="283"/>
              <w:jc w:val="left"/>
              <w:rPr/>
            </w:pPr>
            <w:r>
              <w:rPr/>
              <w:t> </w:t>
            </w:r>
          </w:p>
        </w:tc>
        <w:tc>
          <w:tcPr>
            <w:tcW w:w="97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89" w:type="dxa"/>
            <w:tcBorders/>
            <w:vAlign w:val="center"/>
          </w:tcPr>
          <w:p>
            <w:pPr>
              <w:pStyle w:val="TableContents"/>
              <w:bidi w:val="0"/>
              <w:spacing w:lineRule="atLeast" w:line="160" w:before="0" w:after="283"/>
              <w:jc w:val="left"/>
              <w:rPr/>
            </w:pPr>
            <w:r>
              <w:rPr/>
              <w:t> </w:t>
            </w:r>
          </w:p>
        </w:tc>
        <w:tc>
          <w:tcPr>
            <w:tcW w:w="636"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5" w:type="dxa"/>
            <w:tcBorders/>
            <w:vAlign w:val="center"/>
          </w:tcPr>
          <w:p>
            <w:pPr>
              <w:pStyle w:val="TableContents"/>
              <w:bidi w:val="0"/>
              <w:spacing w:lineRule="atLeast" w:line="160" w:before="0" w:after="283"/>
              <w:jc w:val="left"/>
              <w:rPr/>
            </w:pPr>
            <w:r>
              <w:rPr/>
              <w:t> </w:t>
            </w:r>
          </w:p>
        </w:tc>
        <w:tc>
          <w:tcPr>
            <w:tcW w:w="1275"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5" w:type="dxa"/>
            <w:tcBorders/>
            <w:vAlign w:val="center"/>
          </w:tcPr>
          <w:p>
            <w:pPr>
              <w:pStyle w:val="TableContents"/>
              <w:bidi w:val="0"/>
              <w:spacing w:lineRule="atLeast" w:line="160" w:before="0" w:after="0"/>
              <w:jc w:val="left"/>
              <w:rPr/>
            </w:pPr>
            <w:r>
              <w:rPr/>
              <w:t> </w:t>
            </w:r>
          </w:p>
        </w:tc>
        <w:tc>
          <w:tcPr>
            <w:tcW w:w="1285" w:type="dxa"/>
            <w:tcBorders/>
            <w:vAlign w:val="center"/>
          </w:tcPr>
          <w:p>
            <w:pPr>
              <w:pStyle w:val="TableContents"/>
              <w:bidi w:val="0"/>
              <w:spacing w:lineRule="atLeast" w:line="160" w:before="0" w:after="0"/>
              <w:jc w:val="right"/>
              <w:rPr>
                <w:b/>
                <w:sz w:val="16"/>
              </w:rPr>
            </w:pPr>
            <w:r>
              <w:rPr>
                <w:b/>
                <w:sz w:val="16"/>
              </w:rPr>
              <w:t>151,485</w:t>
            </w:r>
          </w:p>
        </w:tc>
        <w:tc>
          <w:tcPr>
            <w:tcW w:w="125"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lineRule="atLeast" w:line="160" w:before="0" w:after="283"/>
              <w:jc w:val="left"/>
              <w:rPr/>
            </w:pPr>
            <w:r>
              <w:rPr/>
              <w:t> </w:t>
            </w:r>
          </w:p>
        </w:tc>
        <w:tc>
          <w:tcPr>
            <w:tcW w:w="171" w:type="dxa"/>
            <w:tcBorders/>
            <w:vAlign w:val="center"/>
          </w:tcPr>
          <w:p>
            <w:pPr>
              <w:pStyle w:val="TableContents"/>
              <w:bidi w:val="0"/>
              <w:spacing w:lineRule="atLeast" w:line="160" w:before="0" w:after="283"/>
              <w:jc w:val="left"/>
              <w:rPr/>
            </w:pPr>
            <w:r>
              <w:rPr/>
              <w:t> </w:t>
            </w:r>
          </w:p>
        </w:tc>
        <w:tc>
          <w:tcPr>
            <w:tcW w:w="1004"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7" w:type="dxa"/>
            <w:tcBorders/>
            <w:vAlign w:val="center"/>
          </w:tcPr>
          <w:p>
            <w:pPr>
              <w:pStyle w:val="TableContents"/>
              <w:bidi w:val="0"/>
              <w:spacing w:lineRule="atLeast" w:line="160" w:before="0" w:after="0"/>
              <w:jc w:val="left"/>
              <w:rPr/>
            </w:pPr>
            <w:r>
              <w:rPr/>
              <w:t> </w:t>
            </w:r>
          </w:p>
        </w:tc>
        <w:tc>
          <w:tcPr>
            <w:tcW w:w="858" w:type="dxa"/>
            <w:tcBorders/>
            <w:vAlign w:val="center"/>
          </w:tcPr>
          <w:p>
            <w:pPr>
              <w:pStyle w:val="TableContents"/>
              <w:bidi w:val="0"/>
              <w:spacing w:lineRule="atLeast" w:line="160" w:before="0" w:after="0"/>
              <w:jc w:val="right"/>
              <w:rPr>
                <w:b/>
                <w:sz w:val="16"/>
              </w:rPr>
            </w:pPr>
            <w:r>
              <w:rPr>
                <w:b/>
                <w:sz w:val="16"/>
              </w:rPr>
              <w:t>151,485</w:t>
            </w:r>
          </w:p>
        </w:tc>
        <w:tc>
          <w:tcPr>
            <w:tcW w:w="140" w:type="dxa"/>
            <w:tcBorders/>
            <w:vAlign w:val="center"/>
          </w:tcPr>
          <w:p>
            <w:pPr>
              <w:pStyle w:val="TableContents"/>
              <w:bidi w:val="0"/>
              <w:spacing w:before="0" w:after="0"/>
              <w:jc w:val="left"/>
              <w:rPr>
                <w:spacing w:val="0"/>
              </w:rPr>
            </w:pPr>
            <w:r>
              <w:rPr>
                <w:spacing w:val="0"/>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Arrangement for employee stock withholding tax</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lineRule="atLeast" w:line="160" w:before="0" w:after="283"/>
              <w:jc w:val="center"/>
              <w:rPr>
                <w:sz w:val="16"/>
              </w:rPr>
            </w:pPr>
            <w:r>
              <w:rPr>
                <w:sz w:val="16"/>
              </w:rPr>
              <w:t>19</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88"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283"/>
              <w:jc w:val="left"/>
              <w:rPr/>
            </w:pPr>
            <w:r>
              <w:rPr/>
              <w:t> </w:t>
            </w:r>
          </w:p>
        </w:tc>
        <w:tc>
          <w:tcPr>
            <w:tcW w:w="70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79"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283"/>
              <w:jc w:val="left"/>
              <w:rPr/>
            </w:pPr>
            <w:r>
              <w:rPr/>
              <w:t> </w:t>
            </w:r>
          </w:p>
        </w:tc>
        <w:tc>
          <w:tcPr>
            <w:tcW w:w="700"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283"/>
              <w:jc w:val="left"/>
              <w:rPr/>
            </w:pPr>
            <w:r>
              <w:rPr/>
              <w:t> </w:t>
            </w:r>
          </w:p>
        </w:tc>
        <w:tc>
          <w:tcPr>
            <w:tcW w:w="1037" w:type="dxa"/>
            <w:tcBorders/>
            <w:shd w:fill="CCEEFF" w:val="clear"/>
            <w:vAlign w:val="center"/>
          </w:tcPr>
          <w:p>
            <w:pPr>
              <w:pStyle w:val="TableContents"/>
              <w:bidi w:val="0"/>
              <w:spacing w:lineRule="atLeast" w:line="160" w:before="0" w:after="283"/>
              <w:jc w:val="right"/>
              <w:rPr>
                <w:sz w:val="16"/>
              </w:rPr>
            </w:pPr>
            <w:r>
              <w:rPr>
                <w:sz w:val="16"/>
              </w:rPr>
              <w:t>108,792</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283"/>
              <w:jc w:val="left"/>
              <w:rPr/>
            </w:pPr>
            <w:r>
              <w:rPr/>
              <w:t> </w:t>
            </w:r>
          </w:p>
        </w:tc>
        <w:tc>
          <w:tcPr>
            <w:tcW w:w="785"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40" w:type="dxa"/>
            <w:tcBorders/>
            <w:shd w:fill="CCEEFF" w:val="clear"/>
            <w:vAlign w:val="center"/>
          </w:tcPr>
          <w:p>
            <w:pPr>
              <w:pStyle w:val="TableContents"/>
              <w:bidi w:val="0"/>
              <w:spacing w:lineRule="atLeast" w:line="160" w:before="0" w:after="283"/>
              <w:jc w:val="right"/>
              <w:rPr>
                <w:sz w:val="16"/>
              </w:rPr>
            </w:pPr>
            <w:r>
              <w:rPr>
                <w:sz w:val="16"/>
              </w:rPr>
              <w:t>7,795</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283"/>
              <w:jc w:val="left"/>
              <w:rPr/>
            </w:pPr>
            <w:r>
              <w:rPr/>
              <w:t> </w:t>
            </w:r>
          </w:p>
        </w:tc>
        <w:tc>
          <w:tcPr>
            <w:tcW w:w="97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283"/>
              <w:jc w:val="left"/>
              <w:rPr/>
            </w:pPr>
            <w:r>
              <w:rPr/>
              <w:t> </w:t>
            </w:r>
          </w:p>
        </w:tc>
        <w:tc>
          <w:tcPr>
            <w:tcW w:w="636"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283"/>
              <w:jc w:val="left"/>
              <w:rPr/>
            </w:pPr>
            <w:r>
              <w:rPr/>
              <w:t> </w:t>
            </w:r>
          </w:p>
        </w:tc>
        <w:tc>
          <w:tcPr>
            <w:tcW w:w="1275"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b/>
                <w:sz w:val="16"/>
              </w:rPr>
            </w:pPr>
            <w:r>
              <w:rPr>
                <w:b/>
                <w:sz w:val="16"/>
              </w:rPr>
              <w:t>7,795</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283"/>
              <w:jc w:val="left"/>
              <w:rPr/>
            </w:pPr>
            <w:r>
              <w:rPr/>
              <w:t> </w:t>
            </w:r>
          </w:p>
        </w:tc>
        <w:tc>
          <w:tcPr>
            <w:tcW w:w="1004"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b/>
                <w:sz w:val="16"/>
              </w:rPr>
            </w:pPr>
            <w:r>
              <w:rPr>
                <w:b/>
                <w:sz w:val="16"/>
              </w:rPr>
              <w:t>7,795</w:t>
            </w:r>
          </w:p>
        </w:tc>
        <w:tc>
          <w:tcPr>
            <w:tcW w:w="140" w:type="dxa"/>
            <w:tcBorders/>
            <w:shd w:fill="CCEEFF" w:val="clear"/>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Acquisition of </w:t>
            </w:r>
          </w:p>
          <w:p>
            <w:pPr>
              <w:pStyle w:val="TableContents"/>
              <w:bidi w:val="0"/>
              <w:spacing w:before="0" w:after="0"/>
              <w:jc w:val="left"/>
              <w:rPr>
                <w:rFonts w:ascii="Times New Roman" w:hAnsi="Times New Roman"/>
                <w:sz w:val="16"/>
              </w:rPr>
            </w:pPr>
            <w:r>
              <w:rPr>
                <w:rFonts w:ascii="Times New Roman" w:hAnsi="Times New Roman"/>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w:t>
            </w:r>
          </w:p>
        </w:tc>
        <w:tc>
          <w:tcPr>
            <w:tcW w:w="60" w:type="dxa"/>
            <w:tcBorders/>
            <w:vAlign w:val="center"/>
          </w:tcPr>
          <w:p>
            <w:pPr>
              <w:pStyle w:val="TableContents"/>
              <w:bidi w:val="0"/>
              <w:spacing w:lineRule="atLeast" w:line="160" w:before="0" w:after="283"/>
              <w:jc w:val="left"/>
              <w:rPr/>
            </w:pPr>
            <w:r>
              <w:rPr/>
              <w:t> </w:t>
            </w:r>
          </w:p>
        </w:tc>
        <w:tc>
          <w:tcPr>
            <w:tcW w:w="500" w:type="dxa"/>
            <w:tcBorders/>
            <w:vAlign w:val="center"/>
          </w:tcPr>
          <w:p>
            <w:pPr>
              <w:pStyle w:val="TableContents"/>
              <w:bidi w:val="0"/>
              <w:spacing w:lineRule="atLeast" w:line="160" w:before="0" w:after="283"/>
              <w:jc w:val="center"/>
              <w:rPr>
                <w:sz w:val="16"/>
              </w:rPr>
            </w:pPr>
            <w:r>
              <w:rPr>
                <w:sz w:val="16"/>
              </w:rPr>
              <w:t>20</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88"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58" w:type="dxa"/>
            <w:tcBorders/>
            <w:vAlign w:val="center"/>
          </w:tcPr>
          <w:p>
            <w:pPr>
              <w:pStyle w:val="TableContents"/>
              <w:bidi w:val="0"/>
              <w:spacing w:lineRule="atLeast" w:line="160" w:before="0" w:after="283"/>
              <w:jc w:val="left"/>
              <w:rPr/>
            </w:pPr>
            <w:r>
              <w:rPr/>
              <w:t> </w:t>
            </w:r>
          </w:p>
        </w:tc>
        <w:tc>
          <w:tcPr>
            <w:tcW w:w="70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79"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60" w:type="dxa"/>
            <w:tcBorders/>
            <w:vAlign w:val="center"/>
          </w:tcPr>
          <w:p>
            <w:pPr>
              <w:pStyle w:val="TableContents"/>
              <w:bidi w:val="0"/>
              <w:spacing w:lineRule="atLeast" w:line="160" w:before="0" w:after="283"/>
              <w:jc w:val="left"/>
              <w:rPr/>
            </w:pPr>
            <w:r>
              <w:rPr/>
              <w:t> </w:t>
            </w:r>
          </w:p>
        </w:tc>
        <w:tc>
          <w:tcPr>
            <w:tcW w:w="700"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3" w:type="dxa"/>
            <w:tcBorders/>
            <w:vAlign w:val="center"/>
          </w:tcPr>
          <w:p>
            <w:pPr>
              <w:pStyle w:val="TableContents"/>
              <w:bidi w:val="0"/>
              <w:spacing w:lineRule="atLeast" w:line="160" w:before="0" w:after="283"/>
              <w:jc w:val="left"/>
              <w:rPr/>
            </w:pPr>
            <w:r>
              <w:rPr/>
              <w:t> </w:t>
            </w:r>
          </w:p>
        </w:tc>
        <w:tc>
          <w:tcPr>
            <w:tcW w:w="1037"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80" w:type="dxa"/>
            <w:tcBorders/>
            <w:vAlign w:val="center"/>
          </w:tcPr>
          <w:p>
            <w:pPr>
              <w:pStyle w:val="TableContents"/>
              <w:bidi w:val="0"/>
              <w:spacing w:lineRule="atLeast" w:line="160" w:before="0" w:after="283"/>
              <w:jc w:val="left"/>
              <w:rPr/>
            </w:pPr>
            <w:r>
              <w:rPr/>
              <w:t> </w:t>
            </w:r>
          </w:p>
        </w:tc>
        <w:tc>
          <w:tcPr>
            <w:tcW w:w="785"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40" w:type="dxa"/>
            <w:tcBorders/>
            <w:vAlign w:val="center"/>
          </w:tcPr>
          <w:p>
            <w:pPr>
              <w:pStyle w:val="TableContents"/>
              <w:bidi w:val="0"/>
              <w:spacing w:lineRule="atLeast" w:line="160" w:before="0" w:after="283"/>
              <w:jc w:val="right"/>
              <w:rPr>
                <w:sz w:val="16"/>
              </w:rPr>
            </w:pPr>
            <w:r>
              <w:rPr>
                <w:sz w:val="16"/>
              </w:rPr>
              <w:t>(8,099</w:t>
            </w:r>
          </w:p>
        </w:tc>
        <w:tc>
          <w:tcPr>
            <w:tcW w:w="125" w:type="dxa"/>
            <w:tcBorders/>
            <w:vAlign w:val="center"/>
          </w:tcPr>
          <w:p>
            <w:pPr>
              <w:pStyle w:val="TableContents"/>
              <w:bidi w:val="0"/>
              <w:spacing w:lineRule="atLeast" w:line="160" w:before="0" w:after="283"/>
              <w:jc w:val="left"/>
              <w:rPr>
                <w:sz w:val="16"/>
              </w:rPr>
            </w:pPr>
            <w:r>
              <w:rPr>
                <w:sz w:val="16"/>
              </w:rPr>
              <w:t>) </w:t>
            </w:r>
          </w:p>
        </w:tc>
        <w:tc>
          <w:tcPr>
            <w:tcW w:w="60" w:type="dxa"/>
            <w:tcBorders/>
            <w:vAlign w:val="center"/>
          </w:tcPr>
          <w:p>
            <w:pPr>
              <w:pStyle w:val="TableContents"/>
              <w:bidi w:val="0"/>
              <w:spacing w:lineRule="atLeast" w:line="160" w:before="0" w:after="283"/>
              <w:jc w:val="left"/>
              <w:rPr/>
            </w:pPr>
            <w:r>
              <w:rPr/>
              <w:t> </w:t>
            </w:r>
          </w:p>
        </w:tc>
        <w:tc>
          <w:tcPr>
            <w:tcW w:w="113" w:type="dxa"/>
            <w:tcBorders/>
            <w:vAlign w:val="center"/>
          </w:tcPr>
          <w:p>
            <w:pPr>
              <w:pStyle w:val="TableContents"/>
              <w:bidi w:val="0"/>
              <w:spacing w:lineRule="atLeast" w:line="160" w:before="0" w:after="283"/>
              <w:jc w:val="left"/>
              <w:rPr/>
            </w:pPr>
            <w:r>
              <w:rPr/>
              <w:t> </w:t>
            </w:r>
          </w:p>
        </w:tc>
        <w:tc>
          <w:tcPr>
            <w:tcW w:w="97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89" w:type="dxa"/>
            <w:tcBorders/>
            <w:vAlign w:val="center"/>
          </w:tcPr>
          <w:p>
            <w:pPr>
              <w:pStyle w:val="TableContents"/>
              <w:bidi w:val="0"/>
              <w:spacing w:lineRule="atLeast" w:line="160" w:before="0" w:after="283"/>
              <w:jc w:val="left"/>
              <w:rPr/>
            </w:pPr>
            <w:r>
              <w:rPr/>
              <w:t> </w:t>
            </w:r>
          </w:p>
        </w:tc>
        <w:tc>
          <w:tcPr>
            <w:tcW w:w="636"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5" w:type="dxa"/>
            <w:tcBorders/>
            <w:vAlign w:val="center"/>
          </w:tcPr>
          <w:p>
            <w:pPr>
              <w:pStyle w:val="TableContents"/>
              <w:bidi w:val="0"/>
              <w:spacing w:lineRule="atLeast" w:line="160" w:before="0" w:after="283"/>
              <w:jc w:val="left"/>
              <w:rPr/>
            </w:pPr>
            <w:r>
              <w:rPr/>
              <w:t> </w:t>
            </w:r>
          </w:p>
        </w:tc>
        <w:tc>
          <w:tcPr>
            <w:tcW w:w="1275"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5" w:type="dxa"/>
            <w:tcBorders/>
            <w:vAlign w:val="center"/>
          </w:tcPr>
          <w:p>
            <w:pPr>
              <w:pStyle w:val="TableContents"/>
              <w:bidi w:val="0"/>
              <w:spacing w:lineRule="atLeast" w:line="160" w:before="0" w:after="0"/>
              <w:jc w:val="left"/>
              <w:rPr/>
            </w:pPr>
            <w:r>
              <w:rPr/>
              <w:t> </w:t>
            </w:r>
          </w:p>
        </w:tc>
        <w:tc>
          <w:tcPr>
            <w:tcW w:w="1285" w:type="dxa"/>
            <w:tcBorders/>
            <w:vAlign w:val="center"/>
          </w:tcPr>
          <w:p>
            <w:pPr>
              <w:pStyle w:val="TableContents"/>
              <w:bidi w:val="0"/>
              <w:spacing w:lineRule="atLeast" w:line="160" w:before="0" w:after="0"/>
              <w:jc w:val="right"/>
              <w:rPr>
                <w:b/>
                <w:sz w:val="16"/>
              </w:rPr>
            </w:pPr>
            <w:r>
              <w:rPr>
                <w:b/>
                <w:sz w:val="16"/>
              </w:rPr>
              <w:t>(8,099</w:t>
            </w:r>
          </w:p>
        </w:tc>
        <w:tc>
          <w:tcPr>
            <w:tcW w:w="125" w:type="dxa"/>
            <w:tcBorders/>
            <w:vAlign w:val="center"/>
          </w:tcPr>
          <w:p>
            <w:pPr>
              <w:pStyle w:val="TableContents"/>
              <w:bidi w:val="0"/>
              <w:spacing w:lineRule="atLeast" w:line="160" w:before="0" w:after="0"/>
              <w:jc w:val="left"/>
              <w:rPr>
                <w:b/>
                <w:sz w:val="16"/>
              </w:rPr>
            </w:pPr>
            <w:r>
              <w:rPr>
                <w:b/>
                <w:sz w:val="16"/>
              </w:rPr>
              <w:t>) </w:t>
            </w:r>
          </w:p>
        </w:tc>
        <w:tc>
          <w:tcPr>
            <w:tcW w:w="60" w:type="dxa"/>
            <w:tcBorders/>
            <w:vAlign w:val="center"/>
          </w:tcPr>
          <w:p>
            <w:pPr>
              <w:pStyle w:val="TableContents"/>
              <w:bidi w:val="0"/>
              <w:spacing w:lineRule="atLeast" w:line="160" w:before="0" w:after="283"/>
              <w:jc w:val="left"/>
              <w:rPr/>
            </w:pPr>
            <w:r>
              <w:rPr/>
              <w:t> </w:t>
            </w:r>
          </w:p>
        </w:tc>
        <w:tc>
          <w:tcPr>
            <w:tcW w:w="171" w:type="dxa"/>
            <w:tcBorders/>
            <w:vAlign w:val="center"/>
          </w:tcPr>
          <w:p>
            <w:pPr>
              <w:pStyle w:val="TableContents"/>
              <w:bidi w:val="0"/>
              <w:spacing w:lineRule="atLeast" w:line="160" w:before="0" w:after="283"/>
              <w:jc w:val="left"/>
              <w:rPr/>
            </w:pPr>
            <w:r>
              <w:rPr/>
              <w:t> </w:t>
            </w:r>
          </w:p>
        </w:tc>
        <w:tc>
          <w:tcPr>
            <w:tcW w:w="1004" w:type="dxa"/>
            <w:tcBorders/>
            <w:vAlign w:val="center"/>
          </w:tcPr>
          <w:p>
            <w:pPr>
              <w:pStyle w:val="TableContents"/>
              <w:bidi w:val="0"/>
              <w:spacing w:lineRule="atLeast" w:line="160" w:before="0" w:after="283"/>
              <w:jc w:val="right"/>
              <w:rPr>
                <w:sz w:val="16"/>
              </w:rPr>
            </w:pPr>
            <w:r>
              <w:rPr>
                <w:sz w:val="16"/>
              </w:rPr>
              <w:t>650</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7" w:type="dxa"/>
            <w:tcBorders/>
            <w:vAlign w:val="center"/>
          </w:tcPr>
          <w:p>
            <w:pPr>
              <w:pStyle w:val="TableContents"/>
              <w:bidi w:val="0"/>
              <w:spacing w:lineRule="atLeast" w:line="160" w:before="0" w:after="0"/>
              <w:jc w:val="left"/>
              <w:rPr/>
            </w:pPr>
            <w:r>
              <w:rPr/>
              <w:t> </w:t>
            </w:r>
          </w:p>
        </w:tc>
        <w:tc>
          <w:tcPr>
            <w:tcW w:w="858" w:type="dxa"/>
            <w:tcBorders/>
            <w:vAlign w:val="center"/>
          </w:tcPr>
          <w:p>
            <w:pPr>
              <w:pStyle w:val="TableContents"/>
              <w:bidi w:val="0"/>
              <w:spacing w:lineRule="atLeast" w:line="160" w:before="0" w:after="0"/>
              <w:jc w:val="right"/>
              <w:rPr>
                <w:b/>
                <w:sz w:val="16"/>
              </w:rPr>
            </w:pPr>
            <w:r>
              <w:rPr>
                <w:b/>
                <w:sz w:val="16"/>
              </w:rPr>
              <w:t>(7,449</w:t>
            </w:r>
          </w:p>
        </w:tc>
        <w:tc>
          <w:tcPr>
            <w:tcW w:w="140" w:type="dxa"/>
            <w:tcBorders/>
            <w:vAlign w:val="center"/>
          </w:tcPr>
          <w:p>
            <w:pPr>
              <w:pStyle w:val="TableContents"/>
              <w:bidi w:val="0"/>
              <w:spacing w:before="0" w:after="0"/>
              <w:jc w:val="left"/>
              <w:rPr>
                <w:b/>
                <w:spacing w:val="0"/>
                <w:sz w:val="17"/>
              </w:rPr>
            </w:pPr>
            <w:r>
              <w:rPr>
                <w:b/>
                <w:spacing w:val="0"/>
                <w:sz w:val="17"/>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Other comprehensive loss</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88"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283"/>
              <w:jc w:val="left"/>
              <w:rPr/>
            </w:pPr>
            <w:r>
              <w:rPr/>
              <w:t> </w:t>
            </w:r>
          </w:p>
        </w:tc>
        <w:tc>
          <w:tcPr>
            <w:tcW w:w="702"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079" w:type="dxa"/>
            <w:tcBorders/>
            <w:shd w:fill="CCEEFF" w:val="clear"/>
            <w:vAlign w:val="center"/>
          </w:tcPr>
          <w:p>
            <w:pPr>
              <w:pStyle w:val="TableContents"/>
              <w:bidi w:val="0"/>
              <w:spacing w:lineRule="atLeast" w:line="160" w:before="0" w:after="283"/>
              <w:jc w:val="righ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283"/>
              <w:jc w:val="left"/>
              <w:rPr/>
            </w:pPr>
            <w:r>
              <w:rPr/>
              <w:t> </w:t>
            </w:r>
          </w:p>
        </w:tc>
        <w:tc>
          <w:tcPr>
            <w:tcW w:w="700"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283"/>
              <w:jc w:val="left"/>
              <w:rPr/>
            </w:pPr>
            <w:r>
              <w:rPr/>
              <w:t> </w:t>
            </w:r>
          </w:p>
        </w:tc>
        <w:tc>
          <w:tcPr>
            <w:tcW w:w="1037"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283"/>
              <w:jc w:val="left"/>
              <w:rPr/>
            </w:pPr>
            <w:r>
              <w:rPr/>
              <w:t> </w:t>
            </w:r>
          </w:p>
        </w:tc>
        <w:tc>
          <w:tcPr>
            <w:tcW w:w="785"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40"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283"/>
              <w:jc w:val="left"/>
              <w:rPr/>
            </w:pPr>
            <w:r>
              <w:rPr/>
              <w:t> </w:t>
            </w:r>
          </w:p>
        </w:tc>
        <w:tc>
          <w:tcPr>
            <w:tcW w:w="972" w:type="dxa"/>
            <w:tcBorders/>
            <w:shd w:fill="CCEEFF" w:val="clear"/>
            <w:vAlign w:val="center"/>
          </w:tcPr>
          <w:p>
            <w:pPr>
              <w:pStyle w:val="TableContents"/>
              <w:bidi w:val="0"/>
              <w:spacing w:lineRule="atLeast" w:line="160" w:before="0" w:after="283"/>
              <w:jc w:val="right"/>
              <w:rPr>
                <w:sz w:val="16"/>
              </w:rPr>
            </w:pPr>
            <w:r>
              <w:rPr>
                <w:sz w:val="16"/>
              </w:rPr>
              <w:t>69</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283"/>
              <w:jc w:val="left"/>
              <w:rPr/>
            </w:pPr>
            <w:r>
              <w:rPr/>
              <w:t> </w:t>
            </w:r>
          </w:p>
        </w:tc>
        <w:tc>
          <w:tcPr>
            <w:tcW w:w="636" w:type="dxa"/>
            <w:tcBorders/>
            <w:shd w:fill="CCEEFF" w:val="clear"/>
            <w:vAlign w:val="center"/>
          </w:tcPr>
          <w:p>
            <w:pPr>
              <w:pStyle w:val="TableContents"/>
              <w:bidi w:val="0"/>
              <w:spacing w:lineRule="atLeast" w:line="160" w:before="0" w:after="283"/>
              <w:jc w:val="righ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283"/>
              <w:jc w:val="left"/>
              <w:rPr/>
            </w:pPr>
            <w:r>
              <w:rPr/>
              <w:t> </w:t>
            </w:r>
          </w:p>
        </w:tc>
        <w:tc>
          <w:tcPr>
            <w:tcW w:w="1275"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b/>
                <w:sz w:val="16"/>
              </w:rPr>
            </w:pPr>
            <w:r>
              <w:rPr>
                <w:b/>
                <w:sz w:val="16"/>
              </w:rPr>
              <w:t>69</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283"/>
              <w:jc w:val="left"/>
              <w:rPr/>
            </w:pPr>
            <w:r>
              <w:rPr/>
              <w:t> </w:t>
            </w:r>
          </w:p>
        </w:tc>
        <w:tc>
          <w:tcPr>
            <w:tcW w:w="1004" w:type="dxa"/>
            <w:tcBorders/>
            <w:shd w:fill="CCEEFF" w:val="clear"/>
            <w:vAlign w:val="center"/>
          </w:tcPr>
          <w:p>
            <w:pPr>
              <w:pStyle w:val="TableContents"/>
              <w:bidi w:val="0"/>
              <w:spacing w:lineRule="atLeast" w:line="160" w:before="0" w:after="283"/>
              <w:jc w:val="right"/>
              <w:rPr/>
            </w:pPr>
            <w:r>
              <w:rPr/>
              <w:t>— </w:t>
            </w:r>
          </w:p>
        </w:tc>
        <w:tc>
          <w:tcPr>
            <w:tcW w:w="125"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b/>
                <w:sz w:val="16"/>
              </w:rPr>
            </w:pPr>
            <w:r>
              <w:rPr>
                <w:b/>
                <w:sz w:val="16"/>
              </w:rPr>
              <w:t>69</w:t>
            </w:r>
          </w:p>
        </w:tc>
        <w:tc>
          <w:tcPr>
            <w:tcW w:w="140" w:type="dxa"/>
            <w:tcBorders/>
            <w:shd w:fill="CCEEFF" w:val="clear"/>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Appropriation of statutory reserve</w:t>
            </w:r>
          </w:p>
        </w:tc>
        <w:tc>
          <w:tcPr>
            <w:tcW w:w="60" w:type="dxa"/>
            <w:tcBorders/>
            <w:vAlign w:val="center"/>
          </w:tcPr>
          <w:p>
            <w:pPr>
              <w:pStyle w:val="TableContents"/>
              <w:bidi w:val="0"/>
              <w:spacing w:lineRule="atLeast" w:line="160" w:before="0" w:after="283"/>
              <w:jc w:val="left"/>
              <w:rPr/>
            </w:pPr>
            <w:r>
              <w:rPr/>
              <w:t> </w:t>
            </w:r>
          </w:p>
        </w:tc>
        <w:tc>
          <w:tcPr>
            <w:tcW w:w="500" w:type="dxa"/>
            <w:tcBorders/>
            <w:vAlign w:val="center"/>
          </w:tcPr>
          <w:p>
            <w:pPr>
              <w:pStyle w:val="TableContents"/>
              <w:bidi w:val="0"/>
              <w:spacing w:lineRule="atLeast" w:line="160" w:before="0" w:after="283"/>
              <w:jc w:val="center"/>
              <w:rPr>
                <w:sz w:val="16"/>
              </w:rPr>
            </w:pPr>
            <w:r>
              <w:rPr>
                <w:sz w:val="16"/>
              </w:rPr>
              <w:t>2(ad)</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88"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58" w:type="dxa"/>
            <w:tcBorders/>
            <w:vAlign w:val="center"/>
          </w:tcPr>
          <w:p>
            <w:pPr>
              <w:pStyle w:val="TableContents"/>
              <w:bidi w:val="0"/>
              <w:spacing w:lineRule="atLeast" w:line="160" w:before="0" w:after="283"/>
              <w:jc w:val="left"/>
              <w:rPr/>
            </w:pPr>
            <w:r>
              <w:rPr/>
              <w:t> </w:t>
            </w:r>
          </w:p>
        </w:tc>
        <w:tc>
          <w:tcPr>
            <w:tcW w:w="70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079" w:type="dxa"/>
            <w:tcBorders/>
            <w:vAlign w:val="center"/>
          </w:tcPr>
          <w:p>
            <w:pPr>
              <w:pStyle w:val="TableContents"/>
              <w:bidi w:val="0"/>
              <w:spacing w:lineRule="atLeast" w:line="160" w:before="0" w:after="283"/>
              <w:jc w:val="right"/>
              <w:rPr/>
            </w:pPr>
            <w:r>
              <w:rPr/>
              <w:t>— </w:t>
            </w:r>
          </w:p>
        </w:tc>
        <w:tc>
          <w:tcPr>
            <w:tcW w:w="78" w:type="dxa"/>
            <w:tcBorders/>
            <w:vAlign w:val="center"/>
          </w:tcPr>
          <w:p>
            <w:pPr>
              <w:pStyle w:val="TableContents"/>
              <w:bidi w:val="0"/>
              <w:spacing w:lineRule="atLeast" w:line="160" w:before="0" w:after="283"/>
              <w:jc w:val="left"/>
              <w:rPr/>
            </w:pPr>
            <w:r>
              <w:rPr/>
              <w:t> </w:t>
            </w:r>
          </w:p>
        </w:tc>
        <w:tc>
          <w:tcPr>
            <w:tcW w:w="78" w:type="dxa"/>
            <w:tcBorders/>
            <w:vAlign w:val="center"/>
          </w:tcPr>
          <w:p>
            <w:pPr>
              <w:pStyle w:val="TableContents"/>
              <w:bidi w:val="0"/>
              <w:spacing w:lineRule="atLeast" w:line="160" w:before="0" w:after="283"/>
              <w:jc w:val="left"/>
              <w:rPr/>
            </w:pPr>
            <w:r>
              <w:rPr/>
              <w:t> </w:t>
            </w:r>
          </w:p>
        </w:tc>
        <w:tc>
          <w:tcPr>
            <w:tcW w:w="160" w:type="dxa"/>
            <w:tcBorders/>
            <w:vAlign w:val="center"/>
          </w:tcPr>
          <w:p>
            <w:pPr>
              <w:pStyle w:val="TableContents"/>
              <w:bidi w:val="0"/>
              <w:spacing w:lineRule="atLeast" w:line="160" w:before="0" w:after="283"/>
              <w:jc w:val="left"/>
              <w:rPr/>
            </w:pPr>
            <w:r>
              <w:rPr/>
              <w:t> </w:t>
            </w:r>
          </w:p>
        </w:tc>
        <w:tc>
          <w:tcPr>
            <w:tcW w:w="700"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3" w:type="dxa"/>
            <w:tcBorders/>
            <w:vAlign w:val="center"/>
          </w:tcPr>
          <w:p>
            <w:pPr>
              <w:pStyle w:val="TableContents"/>
              <w:bidi w:val="0"/>
              <w:spacing w:lineRule="atLeast" w:line="160" w:before="0" w:after="283"/>
              <w:jc w:val="left"/>
              <w:rPr/>
            </w:pPr>
            <w:r>
              <w:rPr/>
              <w:t> </w:t>
            </w:r>
          </w:p>
        </w:tc>
        <w:tc>
          <w:tcPr>
            <w:tcW w:w="1037"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80" w:type="dxa"/>
            <w:tcBorders/>
            <w:vAlign w:val="center"/>
          </w:tcPr>
          <w:p>
            <w:pPr>
              <w:pStyle w:val="TableContents"/>
              <w:bidi w:val="0"/>
              <w:spacing w:lineRule="atLeast" w:line="160" w:before="0" w:after="283"/>
              <w:jc w:val="left"/>
              <w:rPr/>
            </w:pPr>
            <w:r>
              <w:rPr/>
              <w:t> </w:t>
            </w:r>
          </w:p>
        </w:tc>
        <w:tc>
          <w:tcPr>
            <w:tcW w:w="785"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40"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113" w:type="dxa"/>
            <w:tcBorders/>
            <w:vAlign w:val="center"/>
          </w:tcPr>
          <w:p>
            <w:pPr>
              <w:pStyle w:val="TableContents"/>
              <w:bidi w:val="0"/>
              <w:spacing w:lineRule="atLeast" w:line="160" w:before="0" w:after="283"/>
              <w:jc w:val="left"/>
              <w:rPr/>
            </w:pPr>
            <w:r>
              <w:rPr/>
              <w:t> </w:t>
            </w:r>
          </w:p>
        </w:tc>
        <w:tc>
          <w:tcPr>
            <w:tcW w:w="972" w:type="dxa"/>
            <w:tcBorders/>
            <w:vAlign w:val="center"/>
          </w:tcPr>
          <w:p>
            <w:pPr>
              <w:pStyle w:val="TableContents"/>
              <w:bidi w:val="0"/>
              <w:spacing w:lineRule="atLeast" w:line="160" w:before="0" w:after="283"/>
              <w:jc w:val="right"/>
              <w:rPr/>
            </w:pPr>
            <w:r>
              <w:rPr/>
              <w:t>— </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89" w:type="dxa"/>
            <w:tcBorders/>
            <w:vAlign w:val="center"/>
          </w:tcPr>
          <w:p>
            <w:pPr>
              <w:pStyle w:val="TableContents"/>
              <w:bidi w:val="0"/>
              <w:spacing w:lineRule="atLeast" w:line="160" w:before="0" w:after="283"/>
              <w:jc w:val="left"/>
              <w:rPr/>
            </w:pPr>
            <w:r>
              <w:rPr/>
              <w:t> </w:t>
            </w:r>
          </w:p>
        </w:tc>
        <w:tc>
          <w:tcPr>
            <w:tcW w:w="636" w:type="dxa"/>
            <w:tcBorders/>
            <w:vAlign w:val="center"/>
          </w:tcPr>
          <w:p>
            <w:pPr>
              <w:pStyle w:val="TableContents"/>
              <w:bidi w:val="0"/>
              <w:spacing w:lineRule="atLeast" w:line="160" w:before="0" w:after="283"/>
              <w:jc w:val="right"/>
              <w:rPr>
                <w:sz w:val="16"/>
              </w:rPr>
            </w:pPr>
            <w:r>
              <w:rPr>
                <w:sz w:val="16"/>
              </w:rPr>
              <w:t>48</w:t>
            </w:r>
          </w:p>
        </w:tc>
        <w:tc>
          <w:tcPr>
            <w:tcW w:w="60"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95" w:type="dxa"/>
            <w:tcBorders/>
            <w:vAlign w:val="center"/>
          </w:tcPr>
          <w:p>
            <w:pPr>
              <w:pStyle w:val="TableContents"/>
              <w:bidi w:val="0"/>
              <w:spacing w:lineRule="atLeast" w:line="160" w:before="0" w:after="283"/>
              <w:jc w:val="left"/>
              <w:rPr/>
            </w:pPr>
            <w:r>
              <w:rPr/>
              <w:t> </w:t>
            </w:r>
          </w:p>
        </w:tc>
        <w:tc>
          <w:tcPr>
            <w:tcW w:w="1275" w:type="dxa"/>
            <w:tcBorders/>
            <w:vAlign w:val="center"/>
          </w:tcPr>
          <w:p>
            <w:pPr>
              <w:pStyle w:val="TableContents"/>
              <w:bidi w:val="0"/>
              <w:spacing w:lineRule="atLeast" w:line="160" w:before="0" w:after="283"/>
              <w:jc w:val="right"/>
              <w:rPr>
                <w:sz w:val="16"/>
              </w:rPr>
            </w:pPr>
            <w:r>
              <w:rPr>
                <w:sz w:val="16"/>
              </w:rPr>
              <w:t>(48</w:t>
            </w:r>
          </w:p>
        </w:tc>
        <w:tc>
          <w:tcPr>
            <w:tcW w:w="125" w:type="dxa"/>
            <w:tcBorders/>
            <w:vAlign w:val="center"/>
          </w:tcPr>
          <w:p>
            <w:pPr>
              <w:pStyle w:val="TableContents"/>
              <w:bidi w:val="0"/>
              <w:spacing w:lineRule="atLeast" w:line="160" w:before="0" w:after="283"/>
              <w:jc w:val="left"/>
              <w:rPr>
                <w:sz w:val="16"/>
              </w:rPr>
            </w:pPr>
            <w:r>
              <w:rPr>
                <w:sz w:val="16"/>
              </w:rPr>
              <w:t>) </w:t>
            </w:r>
          </w:p>
        </w:tc>
        <w:tc>
          <w:tcPr>
            <w:tcW w:w="60" w:type="dxa"/>
            <w:tcBorders/>
            <w:vAlign w:val="center"/>
          </w:tcPr>
          <w:p>
            <w:pPr>
              <w:pStyle w:val="TableContents"/>
              <w:bidi w:val="0"/>
              <w:spacing w:lineRule="atLeast" w:line="160" w:before="0" w:after="283"/>
              <w:jc w:val="left"/>
              <w:rPr/>
            </w:pPr>
            <w:r>
              <w:rPr/>
              <w:t> </w:t>
            </w:r>
          </w:p>
        </w:tc>
        <w:tc>
          <w:tcPr>
            <w:tcW w:w="115" w:type="dxa"/>
            <w:tcBorders/>
            <w:vAlign w:val="center"/>
          </w:tcPr>
          <w:p>
            <w:pPr>
              <w:pStyle w:val="TableContents"/>
              <w:bidi w:val="0"/>
              <w:spacing w:lineRule="atLeast" w:line="160" w:before="0" w:after="0"/>
              <w:jc w:val="left"/>
              <w:rPr/>
            </w:pPr>
            <w:r>
              <w:rPr/>
              <w:t> </w:t>
            </w:r>
          </w:p>
        </w:tc>
        <w:tc>
          <w:tcPr>
            <w:tcW w:w="1285" w:type="dxa"/>
            <w:tcBorders/>
            <w:vAlign w:val="center"/>
          </w:tcPr>
          <w:p>
            <w:pPr>
              <w:pStyle w:val="TableContents"/>
              <w:bidi w:val="0"/>
              <w:spacing w:lineRule="atLeast" w:line="160" w:before="0" w:after="0"/>
              <w:jc w:val="right"/>
              <w:rPr/>
            </w:pPr>
            <w:r>
              <w:rPr/>
              <w:t>— </w:t>
            </w:r>
          </w:p>
        </w:tc>
        <w:tc>
          <w:tcPr>
            <w:tcW w:w="125" w:type="dxa"/>
            <w:tcBorders/>
            <w:vAlign w:val="center"/>
          </w:tcPr>
          <w:p>
            <w:pPr>
              <w:pStyle w:val="TableContents"/>
              <w:bidi w:val="0"/>
              <w:spacing w:lineRule="atLeast" w:line="160" w:before="0" w:after="0"/>
              <w:jc w:val="left"/>
              <w:rPr/>
            </w:pPr>
            <w:r>
              <w:rPr/>
              <w:t> </w:t>
            </w:r>
          </w:p>
        </w:tc>
        <w:tc>
          <w:tcPr>
            <w:tcW w:w="60" w:type="dxa"/>
            <w:tcBorders/>
            <w:vAlign w:val="center"/>
          </w:tcPr>
          <w:p>
            <w:pPr>
              <w:pStyle w:val="TableContents"/>
              <w:bidi w:val="0"/>
              <w:spacing w:lineRule="atLeast" w:line="160" w:before="0" w:after="283"/>
              <w:jc w:val="left"/>
              <w:rPr/>
            </w:pPr>
            <w:r>
              <w:rPr/>
              <w:t> </w:t>
            </w:r>
          </w:p>
        </w:tc>
        <w:tc>
          <w:tcPr>
            <w:tcW w:w="171" w:type="dxa"/>
            <w:tcBorders/>
            <w:vAlign w:val="center"/>
          </w:tcPr>
          <w:p>
            <w:pPr>
              <w:pStyle w:val="TableContents"/>
              <w:bidi w:val="0"/>
              <w:spacing w:lineRule="atLeast" w:line="160" w:before="0" w:after="283"/>
              <w:jc w:val="left"/>
              <w:rPr/>
            </w:pPr>
            <w:r>
              <w:rPr/>
              <w:t> </w:t>
            </w:r>
          </w:p>
        </w:tc>
        <w:tc>
          <w:tcPr>
            <w:tcW w:w="1004" w:type="dxa"/>
            <w:tcBorders/>
            <w:vAlign w:val="center"/>
          </w:tcPr>
          <w:p>
            <w:pPr>
              <w:pStyle w:val="TableContents"/>
              <w:bidi w:val="0"/>
              <w:spacing w:lineRule="atLeast" w:line="160" w:before="0" w:after="283"/>
              <w:jc w:val="right"/>
              <w:rPr/>
            </w:pPr>
            <w:r>
              <w:rPr/>
              <w:t>— </w:t>
            </w:r>
          </w:p>
        </w:tc>
        <w:tc>
          <w:tcPr>
            <w:tcW w:w="125" w:type="dxa"/>
            <w:tcBorders/>
            <w:vAlign w:val="center"/>
          </w:tcPr>
          <w:p>
            <w:pPr>
              <w:pStyle w:val="TableContents"/>
              <w:bidi w:val="0"/>
              <w:spacing w:lineRule="atLeast" w:line="160" w:before="0" w:after="283"/>
              <w:jc w:val="left"/>
              <w:rPr/>
            </w:pPr>
            <w:r>
              <w:rPr/>
              <w:t> </w:t>
            </w:r>
          </w:p>
        </w:tc>
        <w:tc>
          <w:tcPr>
            <w:tcW w:w="60" w:type="dxa"/>
            <w:tcBorders/>
            <w:vAlign w:val="center"/>
          </w:tcPr>
          <w:p>
            <w:pPr>
              <w:pStyle w:val="TableContents"/>
              <w:bidi w:val="0"/>
              <w:spacing w:lineRule="atLeast" w:line="160" w:before="0" w:after="283"/>
              <w:jc w:val="left"/>
              <w:rPr/>
            </w:pPr>
            <w:r>
              <w:rPr/>
              <w:t> </w:t>
            </w:r>
          </w:p>
        </w:tc>
        <w:tc>
          <w:tcPr>
            <w:tcW w:w="77" w:type="dxa"/>
            <w:tcBorders/>
            <w:vAlign w:val="center"/>
          </w:tcPr>
          <w:p>
            <w:pPr>
              <w:pStyle w:val="TableContents"/>
              <w:bidi w:val="0"/>
              <w:spacing w:lineRule="atLeast" w:line="160" w:before="0" w:after="0"/>
              <w:jc w:val="left"/>
              <w:rPr/>
            </w:pPr>
            <w:r>
              <w:rPr/>
              <w:t> </w:t>
            </w:r>
          </w:p>
        </w:tc>
        <w:tc>
          <w:tcPr>
            <w:tcW w:w="858" w:type="dxa"/>
            <w:tcBorders/>
            <w:vAlign w:val="center"/>
          </w:tcPr>
          <w:p>
            <w:pPr>
              <w:pStyle w:val="TableContents"/>
              <w:bidi w:val="0"/>
              <w:spacing w:lineRule="atLeast" w:line="160" w:before="0" w:after="0"/>
              <w:jc w:val="right"/>
              <w:rPr/>
            </w:pPr>
            <w:r>
              <w:rPr/>
              <w:t>— </w:t>
            </w:r>
          </w:p>
        </w:tc>
        <w:tc>
          <w:tcPr>
            <w:tcW w:w="140" w:type="dxa"/>
            <w:tcBorders/>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88"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70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079" w:type="dxa"/>
            <w:tcBorders/>
            <w:vAlign w:val="center"/>
          </w:tcPr>
          <w:p>
            <w:pPr>
              <w:pStyle w:val="TableContents"/>
              <w:bidi w:val="0"/>
              <w:spacing w:before="0" w:after="0"/>
              <w:jc w:val="left"/>
              <w:rPr>
                <w:bdr w:val="single" w:sz="2" w:space="1" w:color="000000"/>
              </w:rPr>
            </w:pPr>
            <w:r>
              <w:rPr>
                <w:bdr w:val="single" w:sz="2" w:space="1" w:color="000000"/>
              </w:rPr>
              <w:t> </w:t>
            </w:r>
          </w:p>
        </w:tc>
        <w:tc>
          <w:tcPr>
            <w:tcW w:w="78"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037"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bdr w:val="single" w:sz="2" w:space="1" w:color="000000"/>
              </w:rPr>
            </w:pPr>
            <w:r>
              <w:rPr>
                <w:bdr w:val="single" w:sz="2" w:space="1" w:color="000000"/>
              </w:rPr>
              <w:t> </w:t>
            </w:r>
          </w:p>
        </w:tc>
        <w:tc>
          <w:tcPr>
            <w:tcW w:w="78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3" w:type="dxa"/>
            <w:tcBorders/>
            <w:vAlign w:val="center"/>
          </w:tcPr>
          <w:p>
            <w:pPr>
              <w:pStyle w:val="TableContents"/>
              <w:bidi w:val="0"/>
              <w:spacing w:before="0" w:after="0"/>
              <w:jc w:val="left"/>
              <w:rPr>
                <w:bdr w:val="single" w:sz="2" w:space="1" w:color="000000"/>
              </w:rPr>
            </w:pPr>
            <w:r>
              <w:rPr>
                <w:bdr w:val="single" w:sz="2" w:space="1" w:color="000000"/>
              </w:rPr>
              <w:t> </w:t>
            </w:r>
          </w:p>
        </w:tc>
        <w:tc>
          <w:tcPr>
            <w:tcW w:w="972"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6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5" w:type="dxa"/>
            <w:tcBorders/>
            <w:vAlign w:val="center"/>
          </w:tcPr>
          <w:p>
            <w:pPr>
              <w:pStyle w:val="TableContents"/>
              <w:bidi w:val="0"/>
              <w:spacing w:before="0" w:after="0"/>
              <w:jc w:val="left"/>
              <w:rPr>
                <w:bdr w:val="single" w:sz="2" w:space="1" w:color="000000"/>
              </w:rPr>
            </w:pPr>
            <w:r>
              <w:rPr>
                <w:bdr w:val="single" w:sz="2" w:space="1" w:color="000000"/>
              </w:rPr>
              <w:t> </w:t>
            </w:r>
          </w:p>
        </w:tc>
        <w:tc>
          <w:tcPr>
            <w:tcW w:w="1285"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1" w:type="dxa"/>
            <w:tcBorders/>
            <w:vAlign w:val="center"/>
          </w:tcPr>
          <w:p>
            <w:pPr>
              <w:pStyle w:val="TableContents"/>
              <w:bidi w:val="0"/>
              <w:spacing w:before="0" w:after="0"/>
              <w:jc w:val="left"/>
              <w:rPr>
                <w:bdr w:val="single" w:sz="2" w:space="1" w:color="000000"/>
              </w:rPr>
            </w:pPr>
            <w:r>
              <w:rPr>
                <w:bdr w:val="single" w:sz="2" w:space="1" w:color="000000"/>
              </w:rPr>
              <w:t> </w:t>
            </w:r>
          </w:p>
        </w:tc>
        <w:tc>
          <w:tcPr>
            <w:tcW w:w="1004" w:type="dxa"/>
            <w:tcBorders/>
            <w:vAlign w:val="center"/>
          </w:tcPr>
          <w:p>
            <w:pPr>
              <w:pStyle w:val="TableContents"/>
              <w:bidi w:val="0"/>
              <w:spacing w:before="0" w:after="0"/>
              <w:jc w:val="left"/>
              <w:rPr>
                <w:bdr w:val="single" w:sz="2" w:space="1" w:color="000000"/>
              </w:rPr>
            </w:pPr>
            <w:r>
              <w:rPr>
                <w:bdr w:val="single" w:sz="2" w:space="1" w:color="000000"/>
              </w:rPr>
              <w:t> </w:t>
            </w:r>
          </w:p>
        </w:tc>
        <w:tc>
          <w:tcPr>
            <w:tcW w:w="1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77" w:type="dxa"/>
            <w:tcBorders/>
            <w:vAlign w:val="center"/>
          </w:tcPr>
          <w:p>
            <w:pPr>
              <w:pStyle w:val="TableContents"/>
              <w:bidi w:val="0"/>
              <w:spacing w:before="0" w:after="0"/>
              <w:jc w:val="left"/>
              <w:rPr>
                <w:bdr w:val="single" w:sz="2" w:space="1" w:color="000000"/>
              </w:rPr>
            </w:pPr>
            <w:r>
              <w:rPr>
                <w:bdr w:val="single" w:sz="2" w:space="1" w:color="000000"/>
              </w:rPr>
              <w:t> </w:t>
            </w:r>
          </w:p>
        </w:tc>
        <w:tc>
          <w:tcPr>
            <w:tcW w:w="858" w:type="dxa"/>
            <w:tcBorders/>
            <w:vAlign w:val="center"/>
          </w:tcPr>
          <w:p>
            <w:pPr>
              <w:pStyle w:val="TableContents"/>
              <w:bidi w:val="0"/>
              <w:spacing w:before="0" w:after="0"/>
              <w:jc w:val="left"/>
              <w:rPr>
                <w:bdr w:val="single" w:sz="2" w:space="1" w:color="000000"/>
              </w:rPr>
            </w:pPr>
            <w:r>
              <w:rPr>
                <w:bdr w:val="single" w:sz="2" w:space="1" w:color="000000"/>
              </w:rPr>
              <w:t> </w:t>
            </w:r>
          </w:p>
        </w:tc>
        <w:tc>
          <w:tcPr>
            <w:tcW w:w="140" w:type="dxa"/>
            <w:tcBorders/>
            <w:vAlign w:val="center"/>
          </w:tcPr>
          <w:p>
            <w:pPr>
              <w:pStyle w:val="TableContents"/>
              <w:bidi w:val="0"/>
              <w:spacing w:before="0" w:after="0"/>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2023</w:t>
            </w:r>
          </w:p>
        </w:tc>
        <w:tc>
          <w:tcPr>
            <w:tcW w:w="60" w:type="dxa"/>
            <w:tcBorders/>
            <w:shd w:fill="CCEEFF" w:val="clear"/>
            <w:vAlign w:val="center"/>
          </w:tcPr>
          <w:p>
            <w:pPr>
              <w:pStyle w:val="TableContents"/>
              <w:bidi w:val="0"/>
              <w:spacing w:lineRule="atLeast" w:line="160"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0"/>
              <w:jc w:val="left"/>
              <w:rPr/>
            </w:pPr>
            <w:r>
              <w:rPr/>
              <w:t> </w:t>
            </w:r>
          </w:p>
        </w:tc>
        <w:tc>
          <w:tcPr>
            <w:tcW w:w="1088" w:type="dxa"/>
            <w:tcBorders/>
            <w:shd w:fill="CCEEFF" w:val="clear"/>
            <w:vAlign w:val="center"/>
          </w:tcPr>
          <w:p>
            <w:pPr>
              <w:pStyle w:val="TableContents"/>
              <w:bidi w:val="0"/>
              <w:spacing w:lineRule="atLeast" w:line="160" w:before="0" w:after="0"/>
              <w:jc w:val="right"/>
              <w:rPr>
                <w:b/>
                <w:sz w:val="16"/>
              </w:rPr>
            </w:pPr>
            <w:r>
              <w:rPr>
                <w:b/>
                <w:sz w:val="16"/>
              </w:rPr>
              <w:t>88,006,101</w:t>
            </w:r>
          </w:p>
        </w:tc>
        <w:tc>
          <w:tcPr>
            <w:tcW w:w="78" w:type="dxa"/>
            <w:tcBorders/>
            <w:shd w:fill="CCEEFF" w:val="clear"/>
            <w:vAlign w:val="center"/>
          </w:tcPr>
          <w:p>
            <w:pPr>
              <w:pStyle w:val="TableContents"/>
              <w:bidi w:val="0"/>
              <w:spacing w:lineRule="atLeast" w:line="160" w:before="0" w:after="0"/>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58" w:type="dxa"/>
            <w:tcBorders/>
            <w:shd w:fill="CCEEFF" w:val="clear"/>
            <w:vAlign w:val="center"/>
          </w:tcPr>
          <w:p>
            <w:pPr>
              <w:pStyle w:val="TableContents"/>
              <w:bidi w:val="0"/>
              <w:spacing w:lineRule="atLeast" w:line="160" w:before="0" w:after="0"/>
              <w:jc w:val="left"/>
              <w:rPr/>
            </w:pPr>
            <w:r>
              <w:rPr/>
              <w:t> </w:t>
            </w:r>
          </w:p>
        </w:tc>
        <w:tc>
          <w:tcPr>
            <w:tcW w:w="702" w:type="dxa"/>
            <w:tcBorders/>
            <w:shd w:fill="CCEEFF" w:val="clear"/>
            <w:vAlign w:val="center"/>
          </w:tcPr>
          <w:p>
            <w:pPr>
              <w:pStyle w:val="TableContents"/>
              <w:bidi w:val="0"/>
              <w:spacing w:lineRule="atLeast" w:line="160" w:before="0" w:after="0"/>
              <w:jc w:val="right"/>
              <w:rPr>
                <w:b/>
                <w:sz w:val="16"/>
              </w:rPr>
            </w:pPr>
            <w:r>
              <w:rPr>
                <w:b/>
                <w:sz w:val="16"/>
              </w:rPr>
              <w:t>56</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8" w:type="dxa"/>
            <w:tcBorders/>
            <w:shd w:fill="CCEEFF" w:val="clear"/>
            <w:vAlign w:val="center"/>
          </w:tcPr>
          <w:p>
            <w:pPr>
              <w:pStyle w:val="TableContents"/>
              <w:bidi w:val="0"/>
              <w:spacing w:lineRule="atLeast" w:line="160" w:before="0" w:after="0"/>
              <w:jc w:val="left"/>
              <w:rPr/>
            </w:pPr>
            <w:r>
              <w:rPr/>
              <w:t> </w:t>
            </w:r>
          </w:p>
        </w:tc>
        <w:tc>
          <w:tcPr>
            <w:tcW w:w="1079" w:type="dxa"/>
            <w:tcBorders/>
            <w:shd w:fill="CCEEFF" w:val="clear"/>
            <w:vAlign w:val="center"/>
          </w:tcPr>
          <w:p>
            <w:pPr>
              <w:pStyle w:val="TableContents"/>
              <w:bidi w:val="0"/>
              <w:spacing w:lineRule="atLeast" w:line="160" w:before="0" w:after="0"/>
              <w:jc w:val="right"/>
              <w:rPr>
                <w:b/>
                <w:sz w:val="16"/>
              </w:rPr>
            </w:pPr>
            <w:r>
              <w:rPr>
                <w:b/>
                <w:sz w:val="16"/>
              </w:rPr>
              <w:t>39,026,560</w:t>
            </w:r>
          </w:p>
        </w:tc>
        <w:tc>
          <w:tcPr>
            <w:tcW w:w="78" w:type="dxa"/>
            <w:tcBorders/>
            <w:shd w:fill="CCEEFF" w:val="clear"/>
            <w:vAlign w:val="center"/>
          </w:tcPr>
          <w:p>
            <w:pPr>
              <w:pStyle w:val="TableContents"/>
              <w:bidi w:val="0"/>
              <w:spacing w:lineRule="atLeast" w:line="160" w:before="0" w:after="0"/>
              <w:jc w:val="left"/>
              <w:rPr/>
            </w:pPr>
            <w:r>
              <w:rPr/>
              <w:t> </w:t>
            </w:r>
          </w:p>
        </w:tc>
        <w:tc>
          <w:tcPr>
            <w:tcW w:w="78" w:type="dxa"/>
            <w:tcBorders/>
            <w:shd w:fill="CCEEFF" w:val="clear"/>
            <w:vAlign w:val="center"/>
          </w:tcPr>
          <w:p>
            <w:pPr>
              <w:pStyle w:val="TableContents"/>
              <w:bidi w:val="0"/>
              <w:spacing w:lineRule="atLeast" w:line="160" w:before="0" w:after="283"/>
              <w:jc w:val="left"/>
              <w:rPr/>
            </w:pPr>
            <w:r>
              <w:rPr/>
              <w:t> </w:t>
            </w:r>
          </w:p>
        </w:tc>
        <w:tc>
          <w:tcPr>
            <w:tcW w:w="160" w:type="dxa"/>
            <w:tcBorders/>
            <w:shd w:fill="CCEEFF" w:val="clear"/>
            <w:vAlign w:val="center"/>
          </w:tcPr>
          <w:p>
            <w:pPr>
              <w:pStyle w:val="TableContents"/>
              <w:bidi w:val="0"/>
              <w:spacing w:lineRule="atLeast" w:line="160" w:before="0" w:after="0"/>
              <w:jc w:val="left"/>
              <w:rPr/>
            </w:pPr>
            <w:r>
              <w:rPr/>
              <w:t> </w:t>
            </w:r>
          </w:p>
        </w:tc>
        <w:tc>
          <w:tcPr>
            <w:tcW w:w="700" w:type="dxa"/>
            <w:tcBorders/>
            <w:shd w:fill="CCEEFF" w:val="clear"/>
            <w:vAlign w:val="center"/>
          </w:tcPr>
          <w:p>
            <w:pPr>
              <w:pStyle w:val="TableContents"/>
              <w:bidi w:val="0"/>
              <w:spacing w:lineRule="atLeast" w:line="160" w:before="0" w:after="0"/>
              <w:jc w:val="right"/>
              <w:rPr>
                <w:b/>
                <w:sz w:val="16"/>
              </w:rPr>
            </w:pPr>
            <w:r>
              <w:rPr>
                <w:b/>
                <w:sz w:val="16"/>
              </w:rPr>
              <w:t>24</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3" w:type="dxa"/>
            <w:tcBorders/>
            <w:shd w:fill="CCEEFF" w:val="clear"/>
            <w:vAlign w:val="center"/>
          </w:tcPr>
          <w:p>
            <w:pPr>
              <w:pStyle w:val="TableContents"/>
              <w:bidi w:val="0"/>
              <w:spacing w:lineRule="atLeast" w:line="160" w:before="0" w:after="0"/>
              <w:jc w:val="left"/>
              <w:rPr/>
            </w:pPr>
            <w:r>
              <w:rPr/>
              <w:t> </w:t>
            </w:r>
          </w:p>
        </w:tc>
        <w:tc>
          <w:tcPr>
            <w:tcW w:w="1037" w:type="dxa"/>
            <w:tcBorders/>
            <w:shd w:fill="CCEEFF" w:val="clear"/>
            <w:vAlign w:val="center"/>
          </w:tcPr>
          <w:p>
            <w:pPr>
              <w:pStyle w:val="TableContents"/>
              <w:bidi w:val="0"/>
              <w:spacing w:lineRule="atLeast" w:line="160" w:before="0" w:after="0"/>
              <w:jc w:val="right"/>
              <w:rPr>
                <w:b/>
                <w:sz w:val="16"/>
              </w:rPr>
            </w:pPr>
            <w:r>
              <w:rPr>
                <w:b/>
                <w:sz w:val="16"/>
              </w:rPr>
              <w:t>(461,516</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80" w:type="dxa"/>
            <w:tcBorders/>
            <w:shd w:fill="CCEEFF" w:val="clear"/>
            <w:vAlign w:val="center"/>
          </w:tcPr>
          <w:p>
            <w:pPr>
              <w:pStyle w:val="TableContents"/>
              <w:bidi w:val="0"/>
              <w:spacing w:lineRule="atLeast" w:line="160" w:before="0" w:after="0"/>
              <w:jc w:val="left"/>
              <w:rPr/>
            </w:pPr>
            <w:r>
              <w:rPr/>
              <w:t> </w:t>
            </w:r>
          </w:p>
        </w:tc>
        <w:tc>
          <w:tcPr>
            <w:tcW w:w="785" w:type="dxa"/>
            <w:tcBorders/>
            <w:shd w:fill="CCEEFF" w:val="clear"/>
            <w:vAlign w:val="center"/>
          </w:tcPr>
          <w:p>
            <w:pPr>
              <w:pStyle w:val="TableContents"/>
              <w:bidi w:val="0"/>
              <w:spacing w:lineRule="atLeast" w:line="160" w:before="0" w:after="0"/>
              <w:jc w:val="right"/>
              <w:rPr/>
            </w:pPr>
            <w:r>
              <w:rPr/>
              <w:t>— </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60" w:type="dxa"/>
            <w:tcBorders/>
            <w:shd w:fill="CCEEFF" w:val="clear"/>
            <w:vAlign w:val="center"/>
          </w:tcPr>
          <w:p>
            <w:pPr>
              <w:pStyle w:val="TableContents"/>
              <w:bidi w:val="0"/>
              <w:spacing w:lineRule="atLeast" w:line="160" w:before="0" w:after="0"/>
              <w:jc w:val="left"/>
              <w:rPr/>
            </w:pPr>
            <w:r>
              <w:rPr/>
              <w:t> </w:t>
            </w:r>
          </w:p>
        </w:tc>
        <w:tc>
          <w:tcPr>
            <w:tcW w:w="740" w:type="dxa"/>
            <w:tcBorders/>
            <w:shd w:fill="CCEEFF" w:val="clear"/>
            <w:vAlign w:val="center"/>
          </w:tcPr>
          <w:p>
            <w:pPr>
              <w:pStyle w:val="TableContents"/>
              <w:bidi w:val="0"/>
              <w:spacing w:lineRule="atLeast" w:line="160" w:before="0" w:after="0"/>
              <w:jc w:val="right"/>
              <w:rPr>
                <w:b/>
                <w:sz w:val="16"/>
              </w:rPr>
            </w:pPr>
            <w:r>
              <w:rPr>
                <w:b/>
                <w:sz w:val="16"/>
              </w:rPr>
              <w:t>1,951,936</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3" w:type="dxa"/>
            <w:tcBorders/>
            <w:shd w:fill="CCEEFF" w:val="clear"/>
            <w:vAlign w:val="center"/>
          </w:tcPr>
          <w:p>
            <w:pPr>
              <w:pStyle w:val="TableContents"/>
              <w:bidi w:val="0"/>
              <w:spacing w:lineRule="atLeast" w:line="160" w:before="0" w:after="0"/>
              <w:jc w:val="left"/>
              <w:rPr/>
            </w:pPr>
            <w:r>
              <w:rPr/>
              <w:t> </w:t>
            </w:r>
          </w:p>
        </w:tc>
        <w:tc>
          <w:tcPr>
            <w:tcW w:w="972" w:type="dxa"/>
            <w:tcBorders/>
            <w:shd w:fill="CCEEFF" w:val="clear"/>
            <w:vAlign w:val="center"/>
          </w:tcPr>
          <w:p>
            <w:pPr>
              <w:pStyle w:val="TableContents"/>
              <w:bidi w:val="0"/>
              <w:spacing w:lineRule="atLeast" w:line="160" w:before="0" w:after="0"/>
              <w:jc w:val="right"/>
              <w:rPr>
                <w:b/>
                <w:sz w:val="16"/>
              </w:rPr>
            </w:pPr>
            <w:r>
              <w:rPr>
                <w:b/>
                <w:sz w:val="16"/>
              </w:rPr>
              <w:t>15,079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89" w:type="dxa"/>
            <w:tcBorders/>
            <w:shd w:fill="CCEEFF" w:val="clear"/>
            <w:vAlign w:val="center"/>
          </w:tcPr>
          <w:p>
            <w:pPr>
              <w:pStyle w:val="TableContents"/>
              <w:bidi w:val="0"/>
              <w:spacing w:lineRule="atLeast" w:line="160" w:before="0" w:after="0"/>
              <w:jc w:val="left"/>
              <w:rPr/>
            </w:pPr>
            <w:r>
              <w:rPr/>
              <w:t> </w:t>
            </w:r>
          </w:p>
        </w:tc>
        <w:tc>
          <w:tcPr>
            <w:tcW w:w="636" w:type="dxa"/>
            <w:tcBorders/>
            <w:shd w:fill="CCEEFF" w:val="clear"/>
            <w:vAlign w:val="center"/>
          </w:tcPr>
          <w:p>
            <w:pPr>
              <w:pStyle w:val="TableContents"/>
              <w:bidi w:val="0"/>
              <w:spacing w:lineRule="atLeast" w:line="160" w:before="0" w:after="0"/>
              <w:jc w:val="right"/>
              <w:rPr>
                <w:b/>
                <w:sz w:val="16"/>
              </w:rPr>
            </w:pPr>
            <w:r>
              <w:rPr>
                <w:b/>
                <w:sz w:val="16"/>
              </w:rPr>
              <w:t>1,239</w:t>
            </w:r>
          </w:p>
        </w:tc>
        <w:tc>
          <w:tcPr>
            <w:tcW w:w="60"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95" w:type="dxa"/>
            <w:tcBorders/>
            <w:shd w:fill="CCEEFF" w:val="clear"/>
            <w:vAlign w:val="center"/>
          </w:tcPr>
          <w:p>
            <w:pPr>
              <w:pStyle w:val="TableContents"/>
              <w:bidi w:val="0"/>
              <w:spacing w:lineRule="atLeast" w:line="160" w:before="0" w:after="0"/>
              <w:jc w:val="left"/>
              <w:rPr/>
            </w:pPr>
            <w:r>
              <w:rPr/>
              <w:t> </w:t>
            </w:r>
          </w:p>
        </w:tc>
        <w:tc>
          <w:tcPr>
            <w:tcW w:w="1275" w:type="dxa"/>
            <w:tcBorders/>
            <w:shd w:fill="CCEEFF" w:val="clear"/>
            <w:vAlign w:val="center"/>
          </w:tcPr>
          <w:p>
            <w:pPr>
              <w:pStyle w:val="TableContents"/>
              <w:bidi w:val="0"/>
              <w:spacing w:lineRule="atLeast" w:line="160" w:before="0" w:after="0"/>
              <w:jc w:val="right"/>
              <w:rPr>
                <w:b/>
                <w:sz w:val="16"/>
              </w:rPr>
            </w:pPr>
            <w:r>
              <w:rPr>
                <w:b/>
                <w:sz w:val="16"/>
              </w:rPr>
              <w:t>(1,754,542</w:t>
            </w:r>
          </w:p>
        </w:tc>
        <w:tc>
          <w:tcPr>
            <w:tcW w:w="125" w:type="dxa"/>
            <w:tcBorders/>
            <w:shd w:fill="CCEEFF" w:val="clear"/>
            <w:vAlign w:val="center"/>
          </w:tcPr>
          <w:p>
            <w:pPr>
              <w:pStyle w:val="TableContents"/>
              <w:bidi w:val="0"/>
              <w:spacing w:lineRule="atLeast" w:line="160" w:before="0" w:after="0"/>
              <w:jc w:val="left"/>
              <w:rPr>
                <w:b/>
                <w:sz w:val="16"/>
              </w:rPr>
            </w:pPr>
            <w:r>
              <w:rPr>
                <w:b/>
                <w:sz w:val="16"/>
              </w:rPr>
              <w:t>) </w:t>
            </w:r>
          </w:p>
        </w:tc>
        <w:tc>
          <w:tcPr>
            <w:tcW w:w="60" w:type="dxa"/>
            <w:tcBorders/>
            <w:shd w:fill="CCEEFF" w:val="clear"/>
            <w:vAlign w:val="center"/>
          </w:tcPr>
          <w:p>
            <w:pPr>
              <w:pStyle w:val="TableContents"/>
              <w:bidi w:val="0"/>
              <w:spacing w:lineRule="atLeast" w:line="160" w:before="0" w:after="283"/>
              <w:jc w:val="left"/>
              <w:rPr/>
            </w:pPr>
            <w:r>
              <w:rPr/>
              <w:t> </w:t>
            </w:r>
          </w:p>
        </w:tc>
        <w:tc>
          <w:tcPr>
            <w:tcW w:w="115" w:type="dxa"/>
            <w:tcBorders/>
            <w:shd w:fill="CCEEFF" w:val="clear"/>
            <w:vAlign w:val="center"/>
          </w:tcPr>
          <w:p>
            <w:pPr>
              <w:pStyle w:val="TableContents"/>
              <w:bidi w:val="0"/>
              <w:spacing w:lineRule="atLeast" w:line="160" w:before="0" w:after="0"/>
              <w:jc w:val="left"/>
              <w:rPr/>
            </w:pPr>
            <w:r>
              <w:rPr/>
              <w:t> </w:t>
            </w:r>
          </w:p>
        </w:tc>
        <w:tc>
          <w:tcPr>
            <w:tcW w:w="1285" w:type="dxa"/>
            <w:tcBorders/>
            <w:shd w:fill="CCEEFF" w:val="clear"/>
            <w:vAlign w:val="center"/>
          </w:tcPr>
          <w:p>
            <w:pPr>
              <w:pStyle w:val="TableContents"/>
              <w:bidi w:val="0"/>
              <w:spacing w:lineRule="atLeast" w:line="160" w:before="0" w:after="0"/>
              <w:jc w:val="right"/>
              <w:rPr>
                <w:b/>
                <w:sz w:val="16"/>
              </w:rPr>
            </w:pPr>
            <w:r>
              <w:rPr>
                <w:b/>
                <w:sz w:val="16"/>
              </w:rPr>
              <w:t>213,792</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171" w:type="dxa"/>
            <w:tcBorders/>
            <w:shd w:fill="CCEEFF" w:val="clear"/>
            <w:vAlign w:val="center"/>
          </w:tcPr>
          <w:p>
            <w:pPr>
              <w:pStyle w:val="TableContents"/>
              <w:bidi w:val="0"/>
              <w:spacing w:lineRule="atLeast" w:line="160" w:before="0" w:after="0"/>
              <w:jc w:val="left"/>
              <w:rPr/>
            </w:pPr>
            <w:r>
              <w:rPr/>
              <w:t> </w:t>
            </w:r>
          </w:p>
        </w:tc>
        <w:tc>
          <w:tcPr>
            <w:tcW w:w="1004" w:type="dxa"/>
            <w:tcBorders/>
            <w:shd w:fill="CCEEFF" w:val="clear"/>
            <w:vAlign w:val="center"/>
          </w:tcPr>
          <w:p>
            <w:pPr>
              <w:pStyle w:val="TableContents"/>
              <w:bidi w:val="0"/>
              <w:spacing w:lineRule="atLeast" w:line="160" w:before="0" w:after="0"/>
              <w:jc w:val="right"/>
              <w:rPr>
                <w:b/>
                <w:sz w:val="16"/>
              </w:rPr>
            </w:pPr>
            <w:r>
              <w:rPr>
                <w:b/>
                <w:sz w:val="16"/>
              </w:rPr>
              <w:t>427</w:t>
            </w:r>
          </w:p>
        </w:tc>
        <w:tc>
          <w:tcPr>
            <w:tcW w:w="125" w:type="dxa"/>
            <w:tcBorders/>
            <w:shd w:fill="CCEEFF" w:val="clear"/>
            <w:vAlign w:val="center"/>
          </w:tcPr>
          <w:p>
            <w:pPr>
              <w:pStyle w:val="TableContents"/>
              <w:bidi w:val="0"/>
              <w:spacing w:lineRule="atLeast" w:line="160" w:before="0" w:after="0"/>
              <w:jc w:val="left"/>
              <w:rPr/>
            </w:pPr>
            <w:r>
              <w:rPr/>
              <w:t> </w:t>
            </w:r>
          </w:p>
        </w:tc>
        <w:tc>
          <w:tcPr>
            <w:tcW w:w="60" w:type="dxa"/>
            <w:tcBorders/>
            <w:shd w:fill="CCEEFF" w:val="clear"/>
            <w:vAlign w:val="center"/>
          </w:tcPr>
          <w:p>
            <w:pPr>
              <w:pStyle w:val="TableContents"/>
              <w:bidi w:val="0"/>
              <w:spacing w:lineRule="atLeast" w:line="160" w:before="0" w:after="283"/>
              <w:jc w:val="left"/>
              <w:rPr/>
            </w:pPr>
            <w:r>
              <w:rPr/>
              <w:t> </w:t>
            </w:r>
          </w:p>
        </w:tc>
        <w:tc>
          <w:tcPr>
            <w:tcW w:w="77" w:type="dxa"/>
            <w:tcBorders/>
            <w:shd w:fill="CCEEFF" w:val="clear"/>
            <w:vAlign w:val="center"/>
          </w:tcPr>
          <w:p>
            <w:pPr>
              <w:pStyle w:val="TableContents"/>
              <w:bidi w:val="0"/>
              <w:spacing w:lineRule="atLeast" w:line="160" w:before="0" w:after="0"/>
              <w:jc w:val="left"/>
              <w:rPr/>
            </w:pPr>
            <w:r>
              <w:rPr/>
              <w:t> </w:t>
            </w:r>
          </w:p>
        </w:tc>
        <w:tc>
          <w:tcPr>
            <w:tcW w:w="858" w:type="dxa"/>
            <w:tcBorders/>
            <w:shd w:fill="CCEEFF" w:val="clear"/>
            <w:vAlign w:val="center"/>
          </w:tcPr>
          <w:p>
            <w:pPr>
              <w:pStyle w:val="TableContents"/>
              <w:bidi w:val="0"/>
              <w:spacing w:lineRule="atLeast" w:line="160" w:before="0" w:after="0"/>
              <w:jc w:val="right"/>
              <w:rPr>
                <w:b/>
                <w:sz w:val="16"/>
              </w:rPr>
            </w:pPr>
            <w:r>
              <w:rPr>
                <w:b/>
                <w:sz w:val="16"/>
              </w:rPr>
              <w:t>214,219</w:t>
            </w:r>
          </w:p>
        </w:tc>
        <w:tc>
          <w:tcPr>
            <w:tcW w:w="140" w:type="dxa"/>
            <w:tcBorders/>
            <w:shd w:fill="CCEEFF" w:val="clear"/>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088"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70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079" w:type="dxa"/>
            <w:tcBorders/>
            <w:vAlign w:val="center"/>
          </w:tcPr>
          <w:p>
            <w:pPr>
              <w:pStyle w:val="TableContents"/>
              <w:bidi w:val="0"/>
              <w:spacing w:before="0" w:after="0"/>
              <w:jc w:val="left"/>
              <w:rPr>
                <w:bdr w:val="double" w:sz="6" w:space="1" w:color="000000"/>
              </w:rPr>
            </w:pPr>
            <w:r>
              <w:rPr>
                <w:bdr w:val="double" w:sz="6" w:space="1" w:color="000000"/>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037"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bdr w:val="double" w:sz="6" w:space="1" w:color="000000"/>
              </w:rPr>
            </w:pPr>
            <w:r>
              <w:rPr>
                <w:bdr w:val="double" w:sz="6" w:space="1" w:color="000000"/>
              </w:rPr>
              <w:t> </w:t>
            </w:r>
          </w:p>
        </w:tc>
        <w:tc>
          <w:tcPr>
            <w:tcW w:w="78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40"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0"/>
              <w:jc w:val="left"/>
              <w:rPr>
                <w:bdr w:val="double" w:sz="6" w:space="1" w:color="000000"/>
              </w:rPr>
            </w:pPr>
            <w:r>
              <w:rPr>
                <w:bdr w:val="double" w:sz="6" w:space="1" w:color="000000"/>
              </w:rPr>
              <w:t> </w:t>
            </w:r>
          </w:p>
        </w:tc>
        <w:tc>
          <w:tcPr>
            <w:tcW w:w="97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double" w:sz="6" w:space="1" w:color="000000"/>
              </w:rPr>
            </w:pPr>
            <w:r>
              <w:rPr>
                <w:bdr w:val="double" w:sz="6" w:space="1" w:color="000000"/>
              </w:rPr>
              <w:t> </w:t>
            </w:r>
          </w:p>
        </w:tc>
        <w:tc>
          <w:tcPr>
            <w:tcW w:w="6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5"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bdr w:val="double" w:sz="6" w:space="1" w:color="000000"/>
              </w:rPr>
            </w:pPr>
            <w:r>
              <w:rPr>
                <w:bdr w:val="double" w:sz="6" w:space="1" w:color="000000"/>
              </w:rPr>
              <w:t> </w:t>
            </w:r>
          </w:p>
        </w:tc>
        <w:tc>
          <w:tcPr>
            <w:tcW w:w="1285"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0"/>
              <w:jc w:val="left"/>
              <w:rPr>
                <w:bdr w:val="double" w:sz="6" w:space="1" w:color="000000"/>
              </w:rPr>
            </w:pPr>
            <w:r>
              <w:rPr>
                <w:bdr w:val="double" w:sz="6" w:space="1" w:color="000000"/>
              </w:rPr>
              <w:t> </w:t>
            </w:r>
          </w:p>
        </w:tc>
        <w:tc>
          <w:tcPr>
            <w:tcW w:w="1004" w:type="dxa"/>
            <w:tcBorders/>
            <w:vAlign w:val="center"/>
          </w:tcPr>
          <w:p>
            <w:pPr>
              <w:pStyle w:val="TableContents"/>
              <w:bidi w:val="0"/>
              <w:spacing w:before="0" w:after="0"/>
              <w:jc w:val="left"/>
              <w:rPr>
                <w:bdr w:val="double" w:sz="6" w:space="1" w:color="000000"/>
              </w:rPr>
            </w:pPr>
            <w:r>
              <w:rPr>
                <w:bdr w:val="double" w:sz="6" w:space="1" w:color="000000"/>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0"/>
              <w:jc w:val="left"/>
              <w:rPr>
                <w:bdr w:val="double" w:sz="6" w:space="1" w:color="000000"/>
              </w:rPr>
            </w:pPr>
            <w:r>
              <w:rPr>
                <w:bdr w:val="double" w:sz="6" w:space="1" w:color="000000"/>
              </w:rPr>
              <w:t> </w:t>
            </w:r>
          </w:p>
        </w:tc>
        <w:tc>
          <w:tcPr>
            <w:tcW w:w="858" w:type="dxa"/>
            <w:tcBorders/>
            <w:vAlign w:val="center"/>
          </w:tcPr>
          <w:p>
            <w:pPr>
              <w:pStyle w:val="TableContents"/>
              <w:bidi w:val="0"/>
              <w:spacing w:before="0" w:after="0"/>
              <w:jc w:val="left"/>
              <w:rPr>
                <w:bdr w:val="double" w:sz="6" w:space="1" w:color="000000"/>
              </w:rPr>
            </w:pPr>
            <w:r>
              <w:rPr>
                <w:bdr w:val="double" w:sz="6" w:space="1" w:color="000000"/>
              </w:rPr>
              <w:t> </w:t>
            </w:r>
          </w:p>
        </w:tc>
        <w:tc>
          <w:tcPr>
            <w:tcW w:w="1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SHAREHOLDERS’ EQUITY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tbl>
      <w:tblPr>
        <w:tblW w:w="18240" w:type="dxa"/>
        <w:jc w:val="left"/>
        <w:tblInd w:w="0" w:type="dxa"/>
        <w:tblLayout w:type="fixed"/>
        <w:tblCellMar>
          <w:top w:w="0" w:type="dxa"/>
          <w:left w:w="0" w:type="dxa"/>
          <w:bottom w:w="0" w:type="dxa"/>
          <w:right w:w="0" w:type="dxa"/>
        </w:tblCellMar>
      </w:tblPr>
      <w:tblGrid>
        <w:gridCol w:w="1265"/>
        <w:gridCol w:w="120"/>
        <w:gridCol w:w="500"/>
        <w:gridCol w:w="120"/>
        <w:gridCol w:w="60"/>
        <w:gridCol w:w="1220"/>
        <w:gridCol w:w="60"/>
        <w:gridCol w:w="120"/>
        <w:gridCol w:w="161"/>
        <w:gridCol w:w="699"/>
        <w:gridCol w:w="60"/>
        <w:gridCol w:w="120"/>
        <w:gridCol w:w="60"/>
        <w:gridCol w:w="1100"/>
        <w:gridCol w:w="60"/>
        <w:gridCol w:w="120"/>
        <w:gridCol w:w="161"/>
        <w:gridCol w:w="699"/>
        <w:gridCol w:w="60"/>
        <w:gridCol w:w="120"/>
        <w:gridCol w:w="60"/>
        <w:gridCol w:w="1175"/>
        <w:gridCol w:w="155"/>
        <w:gridCol w:w="60"/>
        <w:gridCol w:w="71"/>
        <w:gridCol w:w="894"/>
        <w:gridCol w:w="155"/>
        <w:gridCol w:w="60"/>
        <w:gridCol w:w="60"/>
        <w:gridCol w:w="980"/>
        <w:gridCol w:w="60"/>
        <w:gridCol w:w="120"/>
        <w:gridCol w:w="87"/>
        <w:gridCol w:w="998"/>
        <w:gridCol w:w="60"/>
        <w:gridCol w:w="120"/>
        <w:gridCol w:w="70"/>
        <w:gridCol w:w="655"/>
        <w:gridCol w:w="60"/>
        <w:gridCol w:w="120"/>
        <w:gridCol w:w="73"/>
        <w:gridCol w:w="1297"/>
        <w:gridCol w:w="155"/>
        <w:gridCol w:w="60"/>
        <w:gridCol w:w="89"/>
        <w:gridCol w:w="1311"/>
        <w:gridCol w:w="155"/>
        <w:gridCol w:w="60"/>
        <w:gridCol w:w="94"/>
        <w:gridCol w:w="721"/>
        <w:gridCol w:w="155"/>
        <w:gridCol w:w="60"/>
        <w:gridCol w:w="60"/>
        <w:gridCol w:w="875"/>
        <w:gridCol w:w="170"/>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5"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50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320" w:type="dxa"/>
            <w:gridSpan w:val="6"/>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Class A ordinary shares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200" w:type="dxa"/>
            <w:gridSpan w:val="6"/>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Class B ordinary shares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6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4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72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37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40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8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3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70" w:type="dxa"/>
            <w:tcBorders>
              <w:top w:val="single" w:sz="6" w:space="0" w:color="000000"/>
            </w:tcBorders>
            <w:tcMar>
              <w:top w:w="28" w:type="dxa"/>
            </w:tcM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Number of</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Number of</w:t>
              <w:br/>
              <w:t>treasury</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Treasury</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paid-in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0"/>
              <w:jc w:val="center"/>
              <w:rPr>
                <w:rFonts w:ascii="Times New Roman" w:hAnsi="Times New Roman"/>
                <w:b/>
                <w:sz w:val="16"/>
              </w:rPr>
            </w:pPr>
            <w:r>
              <w:rPr>
                <w:rFonts w:ascii="Times New Roman" w:hAnsi="Times New Roman"/>
                <w:b/>
                <w:sz w:val="16"/>
              </w:rPr>
              <w:t>other</w:t>
            </w:r>
          </w:p>
          <w:p>
            <w:pPr>
              <w:pStyle w:val="TableContents"/>
              <w:bidi w:val="0"/>
              <w:spacing w:before="0" w:after="0"/>
              <w:jc w:val="center"/>
              <w:rPr>
                <w:rFonts w:ascii="Times New Roman" w:hAnsi="Times New Roman"/>
                <w:b/>
                <w:sz w:val="16"/>
              </w:rPr>
            </w:pPr>
            <w:r>
              <w:rPr>
                <w:rFonts w:ascii="Times New Roman" w:hAnsi="Times New Roman"/>
                <w:b/>
                <w:sz w:val="16"/>
              </w:rPr>
              <w:t>comprehensive</w:t>
            </w:r>
          </w:p>
          <w:p>
            <w:pPr>
              <w:pStyle w:val="TableContents"/>
              <w:bidi w:val="0"/>
              <w:spacing w:before="0" w:after="20"/>
              <w:jc w:val="center"/>
              <w:rPr>
                <w:rFonts w:ascii="Times New Roman" w:hAnsi="Times New Roman"/>
                <w:b/>
                <w:sz w:val="16"/>
              </w:rPr>
            </w:pPr>
            <w:r>
              <w:rPr>
                <w:rFonts w:ascii="Times New Roman" w:hAnsi="Times New Roman"/>
                <w:b/>
                <w:sz w:val="16"/>
              </w:rPr>
              <w:t>income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Statutory</w:t>
            </w:r>
          </w:p>
          <w:p>
            <w:pPr>
              <w:pStyle w:val="TableContents"/>
              <w:bidi w:val="0"/>
              <w:spacing w:before="0" w:after="20"/>
              <w:jc w:val="center"/>
              <w:rPr>
                <w:rFonts w:ascii="Times New Roman" w:hAnsi="Times New Roman"/>
                <w:b/>
                <w:sz w:val="16"/>
              </w:rPr>
            </w:pPr>
            <w:r>
              <w:rPr>
                <w:rFonts w:ascii="Times New Roman" w:hAnsi="Times New Roman"/>
                <w:b/>
                <w:sz w:val="16"/>
              </w:rPr>
              <w:t>reserves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b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Total</w:t>
              <w:br/>
              <w:t>EHang</w:t>
              <w:br/>
              <w:t>Holdings</w:t>
              <w:br/>
              <w:t>Limited</w:t>
              <w:br/>
              <w:t>shareholders’</w:t>
              <w:br/>
              <w:t>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Non-</w:t>
            </w:r>
          </w:p>
          <w:p>
            <w:pPr>
              <w:pStyle w:val="TableContents"/>
              <w:bidi w:val="0"/>
              <w:spacing w:before="0" w:after="0"/>
              <w:jc w:val="center"/>
              <w:rPr>
                <w:rFonts w:ascii="Times New Roman" w:hAnsi="Times New Roman"/>
                <w:b/>
                <w:sz w:val="16"/>
              </w:rPr>
            </w:pPr>
            <w:r>
              <w:rPr>
                <w:rFonts w:ascii="Times New Roman" w:hAnsi="Times New Roman"/>
                <w:b/>
                <w:sz w:val="16"/>
              </w:rPr>
              <w:br/>
              <w:t>controlling</w:t>
            </w:r>
          </w:p>
          <w:p>
            <w:pPr>
              <w:pStyle w:val="TableContents"/>
              <w:bidi w:val="0"/>
              <w:spacing w:before="0" w:after="20"/>
              <w:jc w:val="center"/>
              <w:rPr>
                <w:rFonts w:ascii="Times New Roman" w:hAnsi="Times New Roman"/>
                <w:b/>
                <w:sz w:val="16"/>
              </w:rPr>
            </w:pPr>
            <w:r>
              <w:rPr>
                <w:rFonts w:ascii="Times New Roman" w:hAnsi="Times New Roman"/>
                <w:b/>
                <w:sz w:val="16"/>
              </w:rPr>
              <w:t>interests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shareholders’</w:t>
            </w:r>
          </w:p>
          <w:p>
            <w:pPr>
              <w:pStyle w:val="TableContents"/>
              <w:bidi w:val="0"/>
              <w:spacing w:before="0" w:after="20"/>
              <w:jc w:val="center"/>
              <w:rPr>
                <w:rFonts w:ascii="Times New Roman" w:hAnsi="Times New Roman"/>
                <w:b/>
                <w:sz w:val="16"/>
              </w:rPr>
            </w:pPr>
            <w:r>
              <w:rPr>
                <w:rFonts w:ascii="Times New Roman" w:hAnsi="Times New Roman"/>
                <w:b/>
                <w:sz w:val="16"/>
              </w:rPr>
              <w:t>equity</w:t>
            </w:r>
          </w:p>
        </w:tc>
        <w:tc>
          <w:tcPr>
            <w:tcW w:w="17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b/>
                <w:spacing w:val="0"/>
              </w:rPr>
            </w:pPr>
            <w:r>
              <w:rPr>
                <w:b/>
                <w:spacing w:val="0"/>
              </w:rPr>
              <w:t>Note</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88,006,101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56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39,026,560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(461,516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894"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1,951,936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jc w:val="left"/>
              <w:rPr>
                <w:spacing w:val="0"/>
              </w:rPr>
            </w:pPr>
            <w:r>
              <w:rPr>
                <w:spacing w:val="0"/>
              </w:rPr>
              <w:t> </w:t>
            </w:r>
          </w:p>
        </w:tc>
        <w:tc>
          <w:tcPr>
            <w:tcW w:w="998" w:type="dxa"/>
            <w:tcBorders/>
            <w:shd w:fill="CCEEFF" w:val="clear"/>
            <w:vAlign w:val="center"/>
          </w:tcPr>
          <w:p>
            <w:pPr>
              <w:pStyle w:val="TableContents"/>
              <w:bidi w:val="0"/>
              <w:spacing w:before="0" w:after="0"/>
              <w:jc w:val="right"/>
              <w:rPr>
                <w:b/>
                <w:spacing w:val="0"/>
              </w:rPr>
            </w:pPr>
            <w:r>
              <w:rPr>
                <w:b/>
                <w:spacing w:val="0"/>
              </w:rPr>
              <w:t>15,079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b/>
                <w:spacing w:val="0"/>
              </w:rPr>
            </w:pPr>
            <w:r>
              <w:rPr>
                <w:b/>
                <w:spacing w:val="0"/>
              </w:rPr>
              <w:t>1,239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0"/>
              <w:jc w:val="left"/>
              <w:rPr>
                <w:spacing w:val="0"/>
              </w:rPr>
            </w:pPr>
            <w:r>
              <w:rPr>
                <w:spacing w:val="0"/>
              </w:rPr>
              <w:t> </w:t>
            </w:r>
          </w:p>
        </w:tc>
        <w:tc>
          <w:tcPr>
            <w:tcW w:w="1297" w:type="dxa"/>
            <w:tcBorders/>
            <w:shd w:fill="CCEEFF" w:val="clear"/>
            <w:vAlign w:val="center"/>
          </w:tcPr>
          <w:p>
            <w:pPr>
              <w:pStyle w:val="TableContents"/>
              <w:bidi w:val="0"/>
              <w:spacing w:before="0" w:after="0"/>
              <w:jc w:val="right"/>
              <w:rPr>
                <w:b/>
                <w:spacing w:val="0"/>
              </w:rPr>
            </w:pPr>
            <w:r>
              <w:rPr>
                <w:b/>
                <w:spacing w:val="0"/>
              </w:rPr>
              <w:t>(1,754,542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311" w:type="dxa"/>
            <w:tcBorders/>
            <w:shd w:fill="CCEEFF" w:val="clear"/>
            <w:vAlign w:val="center"/>
          </w:tcPr>
          <w:p>
            <w:pPr>
              <w:pStyle w:val="TableContents"/>
              <w:bidi w:val="0"/>
              <w:spacing w:before="0" w:after="0"/>
              <w:jc w:val="right"/>
              <w:rPr>
                <w:b/>
                <w:spacing w:val="0"/>
              </w:rPr>
            </w:pPr>
            <w:r>
              <w:rPr>
                <w:b/>
                <w:spacing w:val="0"/>
              </w:rPr>
              <w:t>213,792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721" w:type="dxa"/>
            <w:tcBorders/>
            <w:shd w:fill="CCEEFF" w:val="clear"/>
            <w:vAlign w:val="center"/>
          </w:tcPr>
          <w:p>
            <w:pPr>
              <w:pStyle w:val="TableContents"/>
              <w:bidi w:val="0"/>
              <w:spacing w:before="0" w:after="0"/>
              <w:jc w:val="right"/>
              <w:rPr>
                <w:b/>
                <w:spacing w:val="0"/>
              </w:rPr>
            </w:pPr>
            <w:r>
              <w:rPr>
                <w:b/>
                <w:spacing w:val="0"/>
              </w:rPr>
              <w:t>427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214,219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to depository bank</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11,578,890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(11,578,890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311"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Class A ordinary shares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3,328,334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9,231,510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693,586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311" w:type="dxa"/>
            <w:tcBorders/>
            <w:shd w:fill="CCEEFF" w:val="clear"/>
            <w:vAlign w:val="center"/>
          </w:tcPr>
          <w:p>
            <w:pPr>
              <w:pStyle w:val="TableContents"/>
              <w:bidi w:val="0"/>
              <w:spacing w:before="0" w:after="0"/>
              <w:jc w:val="right"/>
              <w:rPr>
                <w:b/>
                <w:spacing w:val="0"/>
              </w:rPr>
            </w:pPr>
            <w:r>
              <w:rPr>
                <w:b/>
                <w:spacing w:val="0"/>
              </w:rPr>
              <w:t>693,596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693,596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for the vested restricted share units and vested share options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3,619,500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1,242,176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311"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(229,776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311" w:type="dxa"/>
            <w:tcBorders/>
            <w:shd w:fill="CCEEFF" w:val="clear"/>
            <w:vAlign w:val="center"/>
          </w:tcPr>
          <w:p>
            <w:pPr>
              <w:pStyle w:val="TableContents"/>
              <w:bidi w:val="0"/>
              <w:spacing w:before="0" w:after="0"/>
              <w:jc w:val="right"/>
              <w:rPr>
                <w:b/>
                <w:spacing w:val="0"/>
              </w:rPr>
            </w:pPr>
            <w:r>
              <w:rPr>
                <w:b/>
                <w:spacing w:val="0"/>
              </w:rPr>
              <w:t>(229,776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(230,032</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based compensation</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273,124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311" w:type="dxa"/>
            <w:tcBorders/>
            <w:vAlign w:val="center"/>
          </w:tcPr>
          <w:p>
            <w:pPr>
              <w:pStyle w:val="TableContents"/>
              <w:bidi w:val="0"/>
              <w:spacing w:before="0" w:after="0"/>
              <w:jc w:val="right"/>
              <w:rPr>
                <w:b/>
                <w:spacing w:val="0"/>
              </w:rPr>
            </w:pPr>
            <w:r>
              <w:rPr>
                <w:b/>
                <w:spacing w:val="0"/>
              </w:rPr>
              <w:t>273,124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273,124</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Arrangement for employee stock withholding tax</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311" w:type="dxa"/>
            <w:tcBorders/>
            <w:shd w:fill="CCEEFF" w:val="clear"/>
            <w:vAlign w:val="center"/>
          </w:tcPr>
          <w:p>
            <w:pPr>
              <w:pStyle w:val="TableContents"/>
              <w:bidi w:val="0"/>
              <w:spacing w:before="0" w:after="0"/>
              <w:jc w:val="right"/>
              <w:rPr>
                <w:b/>
                <w:spacing w:val="0"/>
              </w:rPr>
            </w:pPr>
            <w:r>
              <w:rPr>
                <w:b/>
                <w:spacing w:val="0"/>
              </w:rPr>
              <w:t>4,532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4,532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repurchase</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(10,085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311" w:type="dxa"/>
            <w:tcBorders/>
            <w:vAlign w:val="center"/>
          </w:tcPr>
          <w:p>
            <w:pPr>
              <w:pStyle w:val="TableContents"/>
              <w:bidi w:val="0"/>
              <w:spacing w:before="0" w:after="0"/>
              <w:jc w:val="right"/>
              <w:rPr>
                <w:b/>
                <w:spacing w:val="0"/>
              </w:rPr>
            </w:pPr>
            <w:r>
              <w:rPr>
                <w:b/>
                <w:spacing w:val="0"/>
              </w:rPr>
              <w:t>(10,085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(10,085</w:t>
            </w:r>
          </w:p>
        </w:tc>
        <w:tc>
          <w:tcPr>
            <w:tcW w:w="170" w:type="dxa"/>
            <w:tcBorders/>
            <w:vAlign w:val="center"/>
          </w:tcPr>
          <w:p>
            <w:pPr>
              <w:pStyle w:val="TableContents"/>
              <w:bidi w:val="0"/>
              <w:spacing w:before="0" w:after="0"/>
              <w:jc w:val="left"/>
              <w:rPr>
                <w:b/>
                <w:spacing w:val="0"/>
              </w:rPr>
            </w:pPr>
            <w:r>
              <w:rPr>
                <w:b/>
                <w:spacing w:val="0"/>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10,460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311" w:type="dxa"/>
            <w:tcBorders/>
            <w:shd w:fill="CCEEFF" w:val="clear"/>
            <w:vAlign w:val="center"/>
          </w:tcPr>
          <w:p>
            <w:pPr>
              <w:pStyle w:val="TableContents"/>
              <w:bidi w:val="0"/>
              <w:spacing w:before="0" w:after="0"/>
              <w:jc w:val="right"/>
              <w:rPr>
                <w:b/>
                <w:spacing w:val="0"/>
              </w:rPr>
            </w:pPr>
            <w:r>
              <w:rPr>
                <w:b/>
                <w:spacing w:val="0"/>
              </w:rPr>
              <w:t>10,460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10,460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Appropriation of statutory reserve</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2(ad)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533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(533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spacing w:val="0"/>
              </w:rPr>
            </w:pPr>
            <w:r>
              <w:rPr>
                <w:spacing w:val="0"/>
              </w:rPr>
              <w:t> </w:t>
            </w:r>
          </w:p>
        </w:tc>
        <w:tc>
          <w:tcPr>
            <w:tcW w:w="1311"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6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6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8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99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single" w:sz="2" w:space="1" w:color="000000"/>
              </w:rPr>
            </w:pPr>
            <w:r>
              <w:rPr>
                <w:bdr w:val="single" w:sz="2" w:space="1" w:color="000000"/>
              </w:rPr>
              <w:t> </w:t>
            </w:r>
          </w:p>
        </w:tc>
        <w:tc>
          <w:tcPr>
            <w:tcW w:w="65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31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7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106,532,825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39,026,560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(1,704,790</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894" w:type="dxa"/>
            <w:tcBorders/>
            <w:shd w:fill="CCEEFF" w:val="clear"/>
            <w:vAlign w:val="center"/>
          </w:tcPr>
          <w:p>
            <w:pPr>
              <w:pStyle w:val="TableContents"/>
              <w:bidi w:val="0"/>
              <w:spacing w:before="0" w:after="0"/>
              <w:jc w:val="right"/>
              <w:rPr>
                <w:b/>
                <w:spacing w:val="0"/>
              </w:rPr>
            </w:pPr>
            <w:r>
              <w:rPr>
                <w:b/>
                <w:spacing w:val="0"/>
              </w:rPr>
              <w:t>(10,085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2,923,178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0"/>
              <w:jc w:val="left"/>
              <w:rPr>
                <w:spacing w:val="0"/>
              </w:rPr>
            </w:pPr>
            <w:r>
              <w:rPr>
                <w:spacing w:val="0"/>
              </w:rPr>
              <w:t> </w:t>
            </w:r>
          </w:p>
        </w:tc>
        <w:tc>
          <w:tcPr>
            <w:tcW w:w="998" w:type="dxa"/>
            <w:tcBorders/>
            <w:shd w:fill="CCEEFF" w:val="clear"/>
            <w:vAlign w:val="center"/>
          </w:tcPr>
          <w:p>
            <w:pPr>
              <w:pStyle w:val="TableContents"/>
              <w:bidi w:val="0"/>
              <w:spacing w:before="0" w:after="0"/>
              <w:jc w:val="right"/>
              <w:rPr>
                <w:b/>
                <w:spacing w:val="0"/>
              </w:rPr>
            </w:pPr>
            <w:r>
              <w:rPr>
                <w:b/>
                <w:spacing w:val="0"/>
              </w:rPr>
              <w:t>25,539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b/>
                <w:spacing w:val="0"/>
              </w:rPr>
            </w:pPr>
            <w:r>
              <w:rPr>
                <w:b/>
                <w:spacing w:val="0"/>
              </w:rPr>
              <w:t>1,772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0"/>
              <w:jc w:val="left"/>
              <w:rPr>
                <w:spacing w:val="0"/>
              </w:rPr>
            </w:pPr>
            <w:r>
              <w:rPr>
                <w:spacing w:val="0"/>
              </w:rPr>
              <w:t> </w:t>
            </w:r>
          </w:p>
        </w:tc>
        <w:tc>
          <w:tcPr>
            <w:tcW w:w="1297" w:type="dxa"/>
            <w:tcBorders/>
            <w:shd w:fill="CCEEFF" w:val="clear"/>
            <w:vAlign w:val="center"/>
          </w:tcPr>
          <w:p>
            <w:pPr>
              <w:pStyle w:val="TableContents"/>
              <w:bidi w:val="0"/>
              <w:spacing w:before="0" w:after="0"/>
              <w:jc w:val="right"/>
              <w:rPr>
                <w:b/>
                <w:spacing w:val="0"/>
              </w:rPr>
            </w:pPr>
            <w:r>
              <w:rPr>
                <w:b/>
                <w:spacing w:val="0"/>
              </w:rPr>
              <w:t>(1,984,851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311" w:type="dxa"/>
            <w:tcBorders/>
            <w:shd w:fill="CCEEFF" w:val="clear"/>
            <w:vAlign w:val="center"/>
          </w:tcPr>
          <w:p>
            <w:pPr>
              <w:pStyle w:val="TableContents"/>
              <w:bidi w:val="0"/>
              <w:spacing w:before="0" w:after="0"/>
              <w:jc w:val="right"/>
              <w:rPr>
                <w:b/>
                <w:spacing w:val="0"/>
              </w:rPr>
            </w:pPr>
            <w:r>
              <w:rPr>
                <w:b/>
                <w:spacing w:val="0"/>
              </w:rPr>
              <w:t>955,643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721" w:type="dxa"/>
            <w:tcBorders/>
            <w:shd w:fill="CCEEFF" w:val="clear"/>
            <w:vAlign w:val="center"/>
          </w:tcPr>
          <w:p>
            <w:pPr>
              <w:pStyle w:val="TableContents"/>
              <w:bidi w:val="0"/>
              <w:spacing w:before="0" w:after="0"/>
              <w:jc w:val="right"/>
              <w:rPr>
                <w:b/>
                <w:spacing w:val="0"/>
              </w:rPr>
            </w:pPr>
            <w:r>
              <w:rPr>
                <w:b/>
                <w:spacing w:val="0"/>
              </w:rPr>
              <w:t>171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955,814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8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99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6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double" w:sz="6" w:space="1" w:color="000000"/>
              </w:rPr>
            </w:pPr>
            <w:r>
              <w:rPr>
                <w:bdr w:val="double" w:sz="6" w:space="1" w:color="000000"/>
              </w:rPr>
              <w:t> </w:t>
            </w:r>
          </w:p>
        </w:tc>
        <w:tc>
          <w:tcPr>
            <w:tcW w:w="131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double" w:sz="6" w:space="1" w:color="000000"/>
              </w:rPr>
            </w:pPr>
            <w:r>
              <w:rPr>
                <w:bdr w:val="double" w:sz="6" w:space="1" w:color="000000"/>
              </w:rPr>
              <w:t> </w:t>
            </w:r>
          </w:p>
        </w:tc>
        <w:tc>
          <w:tcPr>
            <w:tcW w:w="7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SHAREHOLDERS’ EQUITY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tbl>
      <w:tblPr>
        <w:tblW w:w="19295" w:type="dxa"/>
        <w:jc w:val="left"/>
        <w:tblInd w:w="0" w:type="dxa"/>
        <w:tblLayout w:type="fixed"/>
        <w:tblCellMar>
          <w:top w:w="0" w:type="dxa"/>
          <w:left w:w="0" w:type="dxa"/>
          <w:bottom w:w="0" w:type="dxa"/>
          <w:right w:w="0" w:type="dxa"/>
        </w:tblCellMar>
      </w:tblPr>
      <w:tblGrid>
        <w:gridCol w:w="2300"/>
        <w:gridCol w:w="120"/>
        <w:gridCol w:w="500"/>
        <w:gridCol w:w="120"/>
        <w:gridCol w:w="60"/>
        <w:gridCol w:w="1220"/>
        <w:gridCol w:w="60"/>
        <w:gridCol w:w="120"/>
        <w:gridCol w:w="161"/>
        <w:gridCol w:w="699"/>
        <w:gridCol w:w="60"/>
        <w:gridCol w:w="120"/>
        <w:gridCol w:w="60"/>
        <w:gridCol w:w="1100"/>
        <w:gridCol w:w="60"/>
        <w:gridCol w:w="120"/>
        <w:gridCol w:w="161"/>
        <w:gridCol w:w="699"/>
        <w:gridCol w:w="60"/>
        <w:gridCol w:w="120"/>
        <w:gridCol w:w="60"/>
        <w:gridCol w:w="1055"/>
        <w:gridCol w:w="155"/>
        <w:gridCol w:w="60"/>
        <w:gridCol w:w="71"/>
        <w:gridCol w:w="894"/>
        <w:gridCol w:w="155"/>
        <w:gridCol w:w="60"/>
        <w:gridCol w:w="60"/>
        <w:gridCol w:w="980"/>
        <w:gridCol w:w="60"/>
        <w:gridCol w:w="120"/>
        <w:gridCol w:w="79"/>
        <w:gridCol w:w="1006"/>
        <w:gridCol w:w="155"/>
        <w:gridCol w:w="60"/>
        <w:gridCol w:w="70"/>
        <w:gridCol w:w="655"/>
        <w:gridCol w:w="60"/>
        <w:gridCol w:w="120"/>
        <w:gridCol w:w="73"/>
        <w:gridCol w:w="1297"/>
        <w:gridCol w:w="155"/>
        <w:gridCol w:w="60"/>
        <w:gridCol w:w="80"/>
        <w:gridCol w:w="1320"/>
        <w:gridCol w:w="155"/>
        <w:gridCol w:w="60"/>
        <w:gridCol w:w="94"/>
        <w:gridCol w:w="721"/>
        <w:gridCol w:w="155"/>
        <w:gridCol w:w="60"/>
        <w:gridCol w:w="60"/>
        <w:gridCol w:w="980"/>
        <w:gridCol w:w="170"/>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30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50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320" w:type="dxa"/>
            <w:gridSpan w:val="6"/>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Class A ordinary shares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2200" w:type="dxa"/>
            <w:gridSpan w:val="6"/>
            <w:tcBorders>
              <w:top w:val="single" w:sz="6" w:space="0" w:color="000000"/>
            </w:tcBorders>
            <w:tcMar>
              <w:top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sz w:val="16"/>
              </w:rPr>
            </w:pPr>
            <w:r>
              <w:rPr>
                <w:rFonts w:ascii="Times New Roman" w:hAnsi="Times New Roman"/>
                <w:b/>
                <w:sz w:val="16"/>
              </w:rPr>
              <w:t>Class B ordinary shares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1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96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4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08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72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0" w:type="dxa"/>
            <w:tcBorders>
              <w:top w:val="single" w:sz="6" w:space="0" w:color="000000"/>
            </w:tcBorders>
            <w:tcMar>
              <w:top w:w="28" w:type="dxa"/>
            </w:tcMar>
            <w:vAlign w:val="center"/>
          </w:tcPr>
          <w:p>
            <w:pPr>
              <w:pStyle w:val="TableContents"/>
              <w:bidi w:val="0"/>
              <w:spacing w:before="0" w:after="283"/>
              <w:jc w:val="left"/>
              <w:rPr/>
            </w:pPr>
            <w:r>
              <w:rPr/>
              <w:t>  </w:t>
            </w:r>
          </w:p>
        </w:tc>
        <w:tc>
          <w:tcPr>
            <w:tcW w:w="137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40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815"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5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040" w:type="dxa"/>
            <w:gridSpan w:val="2"/>
            <w:tcBorders>
              <w:top w:val="single" w:sz="6" w:space="0" w:color="000000"/>
            </w:tcBorders>
            <w:tcMar>
              <w:top w:w="28" w:type="dxa"/>
            </w:tcMar>
            <w:vAlign w:val="center"/>
          </w:tcPr>
          <w:p>
            <w:pPr>
              <w:pStyle w:val="TableContents"/>
              <w:bidi w:val="0"/>
              <w:spacing w:before="0" w:after="283"/>
              <w:jc w:val="left"/>
              <w:rPr/>
            </w:pPr>
            <w:r>
              <w:rPr/>
              <w:t>  </w:t>
            </w:r>
          </w:p>
        </w:tc>
        <w:tc>
          <w:tcPr>
            <w:tcW w:w="170" w:type="dxa"/>
            <w:tcBorders>
              <w:top w:val="single" w:sz="6" w:space="0" w:color="000000"/>
            </w:tcBorders>
            <w:tcMar>
              <w:top w:w="28" w:type="dxa"/>
            </w:tcM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Number of</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 of</w:t>
              <w:br/>
              <w:t>ordinary</w:t>
              <w:br/>
              <w:t>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Number of</w:t>
              <w:br/>
              <w:t>treasury</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Treasury</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paid-in</w:t>
            </w:r>
          </w:p>
          <w:p>
            <w:pPr>
              <w:pStyle w:val="TableContents"/>
              <w:bidi w:val="0"/>
              <w:spacing w:before="0" w:after="20"/>
              <w:jc w:val="center"/>
              <w:rPr>
                <w:rFonts w:ascii="Times New Roman" w:hAnsi="Times New Roman"/>
                <w:b/>
                <w:sz w:val="16"/>
              </w:rPr>
            </w:pPr>
            <w:r>
              <w:rPr>
                <w:rFonts w:ascii="Times New Roman" w:hAnsi="Times New Roman"/>
                <w:b/>
                <w:sz w:val="16"/>
              </w:rPr>
              <w:t>capital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w:t>
            </w:r>
          </w:p>
          <w:p>
            <w:pPr>
              <w:pStyle w:val="TableContents"/>
              <w:bidi w:val="0"/>
              <w:spacing w:before="0" w:after="0"/>
              <w:jc w:val="center"/>
              <w:rPr>
                <w:rFonts w:ascii="Times New Roman" w:hAnsi="Times New Roman"/>
                <w:b/>
                <w:sz w:val="16"/>
              </w:rPr>
            </w:pPr>
            <w:r>
              <w:rPr>
                <w:rFonts w:ascii="Times New Roman" w:hAnsi="Times New Roman"/>
                <w:b/>
                <w:sz w:val="16"/>
              </w:rPr>
              <w:t>other</w:t>
            </w:r>
          </w:p>
          <w:p>
            <w:pPr>
              <w:pStyle w:val="TableContents"/>
              <w:bidi w:val="0"/>
              <w:spacing w:before="0" w:after="0"/>
              <w:jc w:val="center"/>
              <w:rPr>
                <w:rFonts w:ascii="Times New Roman" w:hAnsi="Times New Roman"/>
                <w:b/>
                <w:sz w:val="16"/>
              </w:rPr>
            </w:pPr>
            <w:r>
              <w:rPr>
                <w:rFonts w:ascii="Times New Roman" w:hAnsi="Times New Roman"/>
                <w:b/>
                <w:sz w:val="16"/>
              </w:rPr>
              <w:t>comprehensive</w:t>
            </w:r>
          </w:p>
          <w:p>
            <w:pPr>
              <w:pStyle w:val="TableContents"/>
              <w:bidi w:val="0"/>
              <w:spacing w:before="0" w:after="20"/>
              <w:jc w:val="center"/>
              <w:rPr>
                <w:rFonts w:ascii="Times New Roman" w:hAnsi="Times New Roman"/>
                <w:b/>
                <w:sz w:val="16"/>
              </w:rPr>
            </w:pPr>
            <w:r>
              <w:rPr>
                <w:rFonts w:ascii="Times New Roman" w:hAnsi="Times New Roman"/>
                <w:b/>
                <w:sz w:val="16"/>
              </w:rPr>
              <w:t>income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Statutory</w:t>
            </w:r>
          </w:p>
          <w:p>
            <w:pPr>
              <w:pStyle w:val="TableContents"/>
              <w:bidi w:val="0"/>
              <w:spacing w:before="0" w:after="20"/>
              <w:jc w:val="center"/>
              <w:rPr>
                <w:rFonts w:ascii="Times New Roman" w:hAnsi="Times New Roman"/>
                <w:b/>
                <w:sz w:val="16"/>
              </w:rPr>
            </w:pPr>
            <w:r>
              <w:rPr>
                <w:rFonts w:ascii="Times New Roman" w:hAnsi="Times New Roman"/>
                <w:b/>
                <w:sz w:val="16"/>
              </w:rPr>
              <w:t>reserves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b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Total</w:t>
              <w:br/>
              <w:t>EHang</w:t>
              <w:br/>
              <w:t>Holdings</w:t>
              <w:br/>
              <w:t>Limited</w:t>
              <w:br/>
              <w:t>shareholders’</w:t>
              <w:br/>
              <w:t>equity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Non-</w:t>
            </w:r>
          </w:p>
          <w:p>
            <w:pPr>
              <w:pStyle w:val="TableContents"/>
              <w:bidi w:val="0"/>
              <w:spacing w:before="0" w:after="0"/>
              <w:jc w:val="center"/>
              <w:rPr>
                <w:rFonts w:ascii="Times New Roman" w:hAnsi="Times New Roman"/>
                <w:b/>
                <w:sz w:val="16"/>
              </w:rPr>
            </w:pPr>
            <w:r>
              <w:rPr>
                <w:rFonts w:ascii="Times New Roman" w:hAnsi="Times New Roman"/>
                <w:b/>
                <w:sz w:val="16"/>
              </w:rPr>
              <w:br/>
              <w:t>controlling</w:t>
            </w:r>
          </w:p>
          <w:p>
            <w:pPr>
              <w:pStyle w:val="TableContents"/>
              <w:bidi w:val="0"/>
              <w:spacing w:before="0" w:after="20"/>
              <w:jc w:val="center"/>
              <w:rPr>
                <w:rFonts w:ascii="Times New Roman" w:hAnsi="Times New Roman"/>
                <w:b/>
                <w:sz w:val="16"/>
              </w:rPr>
            </w:pPr>
            <w:r>
              <w:rPr>
                <w:rFonts w:ascii="Times New Roman" w:hAnsi="Times New Roman"/>
                <w:b/>
                <w:sz w:val="16"/>
              </w:rPr>
              <w:t>interests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0"/>
              <w:jc w:val="center"/>
              <w:rPr>
                <w:rFonts w:ascii="Times New Roman" w:hAnsi="Times New Roman"/>
                <w:b/>
                <w:sz w:val="16"/>
              </w:rPr>
            </w:pPr>
            <w:r>
              <w:rPr>
                <w:rFonts w:ascii="Times New Roman" w:hAnsi="Times New Roman"/>
                <w:b/>
                <w:sz w:val="16"/>
              </w:rPr>
              <w:t>shareholders’</w:t>
            </w:r>
          </w:p>
          <w:p>
            <w:pPr>
              <w:pStyle w:val="TableContents"/>
              <w:bidi w:val="0"/>
              <w:spacing w:before="0" w:after="20"/>
              <w:jc w:val="center"/>
              <w:rPr>
                <w:rFonts w:ascii="Times New Roman" w:hAnsi="Times New Roman"/>
                <w:b/>
                <w:sz w:val="16"/>
              </w:rPr>
            </w:pPr>
            <w:r>
              <w:rPr>
                <w:rFonts w:ascii="Times New Roman" w:hAnsi="Times New Roman"/>
                <w:b/>
                <w:sz w:val="16"/>
              </w:rPr>
              <w:t>equity</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b/>
                <w:spacing w:val="0"/>
              </w:rPr>
            </w:pPr>
            <w:r>
              <w:rPr>
                <w:b/>
                <w:spacing w:val="0"/>
              </w:rPr>
              <w:t>Note</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106,532,825</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66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39,026,560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24</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(1,704,790</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894" w:type="dxa"/>
            <w:tcBorders/>
            <w:shd w:fill="CCEEFF" w:val="clear"/>
            <w:vAlign w:val="center"/>
          </w:tcPr>
          <w:p>
            <w:pPr>
              <w:pStyle w:val="TableContents"/>
              <w:bidi w:val="0"/>
              <w:spacing w:before="0" w:after="0"/>
              <w:jc w:val="right"/>
              <w:rPr>
                <w:b/>
                <w:spacing w:val="0"/>
              </w:rPr>
            </w:pPr>
            <w:r>
              <w:rPr>
                <w:b/>
                <w:spacing w:val="0"/>
              </w:rPr>
              <w:t>(10,085</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2,923,178</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0"/>
              <w:jc w:val="left"/>
              <w:rPr>
                <w:spacing w:val="0"/>
              </w:rPr>
            </w:pPr>
            <w:r>
              <w:rPr>
                <w:spacing w:val="0"/>
              </w:rPr>
              <w:t> </w:t>
            </w:r>
          </w:p>
        </w:tc>
        <w:tc>
          <w:tcPr>
            <w:tcW w:w="1006" w:type="dxa"/>
            <w:tcBorders/>
            <w:shd w:fill="CCEEFF" w:val="clear"/>
            <w:vAlign w:val="center"/>
          </w:tcPr>
          <w:p>
            <w:pPr>
              <w:pStyle w:val="TableContents"/>
              <w:bidi w:val="0"/>
              <w:spacing w:before="0" w:after="0"/>
              <w:jc w:val="right"/>
              <w:rPr>
                <w:b/>
                <w:spacing w:val="0"/>
              </w:rPr>
            </w:pPr>
            <w:r>
              <w:rPr>
                <w:b/>
                <w:spacing w:val="0"/>
              </w:rPr>
              <w:t>25,539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b/>
                <w:spacing w:val="0"/>
              </w:rPr>
            </w:pPr>
            <w:r>
              <w:rPr>
                <w:b/>
                <w:spacing w:val="0"/>
              </w:rPr>
              <w:t>1,772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0"/>
              <w:jc w:val="left"/>
              <w:rPr>
                <w:spacing w:val="0"/>
              </w:rPr>
            </w:pPr>
            <w:r>
              <w:rPr>
                <w:spacing w:val="0"/>
              </w:rPr>
              <w:t> </w:t>
            </w:r>
          </w:p>
        </w:tc>
        <w:tc>
          <w:tcPr>
            <w:tcW w:w="1297" w:type="dxa"/>
            <w:tcBorders/>
            <w:shd w:fill="CCEEFF" w:val="clear"/>
            <w:vAlign w:val="center"/>
          </w:tcPr>
          <w:p>
            <w:pPr>
              <w:pStyle w:val="TableContents"/>
              <w:bidi w:val="0"/>
              <w:spacing w:before="0" w:after="0"/>
              <w:jc w:val="right"/>
              <w:rPr>
                <w:b/>
                <w:spacing w:val="0"/>
              </w:rPr>
            </w:pPr>
            <w:r>
              <w:rPr>
                <w:b/>
                <w:spacing w:val="0"/>
              </w:rPr>
              <w:t>(1,984,851</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1320" w:type="dxa"/>
            <w:tcBorders/>
            <w:shd w:fill="CCEEFF" w:val="clear"/>
            <w:vAlign w:val="center"/>
          </w:tcPr>
          <w:p>
            <w:pPr>
              <w:pStyle w:val="TableContents"/>
              <w:bidi w:val="0"/>
              <w:spacing w:before="0" w:after="0"/>
              <w:jc w:val="right"/>
              <w:rPr>
                <w:b/>
                <w:spacing w:val="0"/>
              </w:rPr>
            </w:pPr>
            <w:r>
              <w:rPr>
                <w:b/>
                <w:spacing w:val="0"/>
              </w:rPr>
              <w:t>955,643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721" w:type="dxa"/>
            <w:tcBorders/>
            <w:shd w:fill="CCEEFF" w:val="clear"/>
            <w:vAlign w:val="center"/>
          </w:tcPr>
          <w:p>
            <w:pPr>
              <w:pStyle w:val="TableContents"/>
              <w:bidi w:val="0"/>
              <w:spacing w:before="0" w:after="0"/>
              <w:jc w:val="right"/>
              <w:rPr>
                <w:b/>
                <w:spacing w:val="0"/>
              </w:rPr>
            </w:pPr>
            <w:r>
              <w:rPr>
                <w:b/>
                <w:spacing w:val="0"/>
              </w:rPr>
              <w:t>171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955,814</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issued to depository bank</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(2,400,000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Issuance of Class A ordinary shares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2,769,184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165,567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1320" w:type="dxa"/>
            <w:tcBorders/>
            <w:shd w:fill="CCEEFF" w:val="clear"/>
            <w:vAlign w:val="center"/>
          </w:tcPr>
          <w:p>
            <w:pPr>
              <w:pStyle w:val="TableContents"/>
              <w:bidi w:val="0"/>
              <w:spacing w:before="0" w:after="0"/>
              <w:jc w:val="right"/>
              <w:rPr>
                <w:b/>
                <w:spacing w:val="0"/>
              </w:rPr>
            </w:pPr>
            <w:r>
              <w:rPr>
                <w:b/>
                <w:spacing w:val="0"/>
              </w:rPr>
              <w:t>165,569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165,569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Issuance of ordinary shares for the vested restricted share units and vested share options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2,803,275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811,138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(275,977</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1320" w:type="dxa"/>
            <w:tcBorders/>
            <w:shd w:fill="CCEEFF" w:val="clear"/>
            <w:vAlign w:val="center"/>
          </w:tcPr>
          <w:p>
            <w:pPr>
              <w:pStyle w:val="TableContents"/>
              <w:bidi w:val="0"/>
              <w:spacing w:before="0" w:after="0"/>
              <w:jc w:val="right"/>
              <w:rPr>
                <w:b/>
                <w:spacing w:val="0"/>
              </w:rPr>
            </w:pPr>
            <w:r>
              <w:rPr>
                <w:b/>
                <w:spacing w:val="0"/>
              </w:rPr>
              <w:t>(275,977</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(434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(276,411</w:t>
            </w:r>
          </w:p>
        </w:tc>
        <w:tc>
          <w:tcPr>
            <w:tcW w:w="170" w:type="dxa"/>
            <w:tcBorders/>
            <w:shd w:fill="CCEEFF" w:val="clear"/>
            <w:vAlign w:val="center"/>
          </w:tcPr>
          <w:p>
            <w:pPr>
              <w:pStyle w:val="TableContents"/>
              <w:bidi w:val="0"/>
              <w:spacing w:before="0" w:after="0"/>
              <w:jc w:val="left"/>
              <w:rPr>
                <w:b/>
                <w:spacing w:val="0"/>
              </w:rPr>
            </w:pPr>
            <w:r>
              <w:rPr>
                <w:b/>
                <w:spacing w:val="0"/>
              </w:rPr>
              <w:t>)</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based compensation</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246,158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b/>
                <w:spacing w:val="0"/>
              </w:rPr>
            </w:pPr>
            <w:r>
              <w:rPr>
                <w:b/>
                <w:spacing w:val="0"/>
              </w:rPr>
              <w:t>246,158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246,158</w:t>
            </w:r>
          </w:p>
        </w:tc>
        <w:tc>
          <w:tcPr>
            <w:tcW w:w="170"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Arrangement for employee stock withholding tax</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1320" w:type="dxa"/>
            <w:tcBorders/>
            <w:shd w:fill="CCEEFF" w:val="clear"/>
            <w:vAlign w:val="center"/>
          </w:tcPr>
          <w:p>
            <w:pPr>
              <w:pStyle w:val="TableContents"/>
              <w:bidi w:val="0"/>
              <w:spacing w:before="0" w:after="0"/>
              <w:jc w:val="right"/>
              <w:rPr>
                <w:b/>
                <w:spacing w:val="0"/>
              </w:rPr>
            </w:pPr>
            <w:r>
              <w:rPr>
                <w:b/>
                <w:spacing w:val="0"/>
              </w:rPr>
              <w:t>76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76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injection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by non-controlling interests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70</w:t>
            </w:r>
          </w:p>
        </w:tc>
        <w:tc>
          <w:tcPr>
            <w:tcW w:w="170" w:type="dxa"/>
            <w:tcBorders/>
            <w:vAlign w:val="center"/>
          </w:tcPr>
          <w:p>
            <w:pPr>
              <w:pStyle w:val="TableContents"/>
              <w:bidi w:val="0"/>
              <w:spacing w:before="0" w:after="0"/>
              <w:jc w:val="left"/>
              <w:rPr>
                <w:spacing w:val="0"/>
              </w:rPr>
            </w:pPr>
            <w:r>
              <w:rPr>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Transaction with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1320" w:type="dxa"/>
            <w:tcBorders/>
            <w:shd w:fill="CCEEFF" w:val="clear"/>
            <w:vAlign w:val="center"/>
          </w:tcPr>
          <w:p>
            <w:pPr>
              <w:pStyle w:val="TableContents"/>
              <w:bidi w:val="0"/>
              <w:spacing w:before="0" w:after="0"/>
              <w:jc w:val="right"/>
              <w:rPr>
                <w:b/>
                <w:spacing w:val="0"/>
              </w:rPr>
            </w:pPr>
            <w:r>
              <w:rPr>
                <w:b/>
                <w:spacing w:val="0"/>
              </w:rPr>
              <w:t>392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(22,934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b/>
                <w:spacing w:val="0"/>
              </w:rPr>
            </w:pPr>
            <w:r>
              <w:rPr>
                <w:b/>
                <w:spacing w:val="0"/>
              </w:rPr>
              <w:t>(22,934</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(22,934</w:t>
            </w:r>
          </w:p>
        </w:tc>
        <w:tc>
          <w:tcPr>
            <w:tcW w:w="170" w:type="dxa"/>
            <w:tcBorders/>
            <w:vAlign w:val="center"/>
          </w:tcPr>
          <w:p>
            <w:pPr>
              <w:pStyle w:val="TableContents"/>
              <w:bidi w:val="0"/>
              <w:spacing w:before="0" w:after="0"/>
              <w:jc w:val="left"/>
              <w:rPr>
                <w:b/>
                <w:spacing w:val="0"/>
              </w:rPr>
            </w:pPr>
            <w:r>
              <w:rPr>
                <w:b/>
                <w:spacing w:val="0"/>
              </w:rPr>
              <w:t>) </w:t>
            </w:r>
          </w:p>
        </w:tc>
      </w:tr>
      <w:tr>
        <w:trPr/>
        <w:tc>
          <w:tcPr>
            <w:tcW w:w="2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Appropriation of statutory reserve</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2(ad)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1,530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(1,530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6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single" w:sz="2" w:space="1" w:color="000000"/>
              </w:rPr>
            </w:pPr>
            <w:r>
              <w:rPr>
                <w:bdr w:val="single" w:sz="2" w:space="1" w:color="000000"/>
              </w:rPr>
              <w:t> </w:t>
            </w:r>
          </w:p>
        </w:tc>
        <w:tc>
          <w:tcPr>
            <w:tcW w:w="69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single" w:sz="2" w:space="1" w:color="000000"/>
              </w:rPr>
            </w:pPr>
            <w:r>
              <w:rPr>
                <w:bdr w:val="single" w:sz="2" w:space="1" w:color="000000"/>
              </w:rPr>
              <w:t> </w:t>
            </w:r>
          </w:p>
        </w:tc>
        <w:tc>
          <w:tcPr>
            <w:tcW w:w="89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00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single" w:sz="2" w:space="1" w:color="000000"/>
              </w:rPr>
            </w:pPr>
            <w:r>
              <w:rPr>
                <w:bdr w:val="single" w:sz="2" w:space="1" w:color="000000"/>
              </w:rPr>
              <w:t> </w:t>
            </w:r>
          </w:p>
        </w:tc>
        <w:tc>
          <w:tcPr>
            <w:tcW w:w="655"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13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single" w:sz="2" w:space="1" w:color="000000"/>
              </w:rPr>
            </w:pPr>
            <w:r>
              <w:rPr>
                <w:bdr w:val="single" w:sz="2" w:space="1" w:color="000000"/>
              </w:rPr>
              <w:t> </w:t>
            </w:r>
          </w:p>
        </w:tc>
        <w:tc>
          <w:tcPr>
            <w:tcW w:w="72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b/>
                <w:spacing w:val="0"/>
              </w:rPr>
            </w:pPr>
            <w:r>
              <w:rPr>
                <w:b/>
                <w:spacing w:val="0"/>
              </w:rPr>
              <w:t>111,736,100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rPr>
            </w:pPr>
            <w:r>
              <w:rPr>
                <w:spacing w:val="0"/>
              </w:rPr>
              <w:t> </w:t>
            </w:r>
          </w:p>
        </w:tc>
        <w:tc>
          <w:tcPr>
            <w:tcW w:w="699" w:type="dxa"/>
            <w:tcBorders/>
            <w:vAlign w:val="center"/>
          </w:tcPr>
          <w:p>
            <w:pPr>
              <w:pStyle w:val="TableContents"/>
              <w:bidi w:val="0"/>
              <w:spacing w:before="0" w:after="0"/>
              <w:jc w:val="right"/>
              <w:rPr>
                <w:b/>
                <w:spacing w:val="0"/>
              </w:rPr>
            </w:pPr>
            <w:r>
              <w:rPr>
                <w:b/>
                <w:spacing w:val="0"/>
              </w:rPr>
              <w:t>68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39,026,560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spacing w:val="0"/>
              </w:rPr>
            </w:pPr>
            <w:r>
              <w:rPr>
                <w:spacing w:val="0"/>
              </w:rPr>
              <w:t> </w:t>
            </w:r>
          </w:p>
        </w:tc>
        <w:tc>
          <w:tcPr>
            <w:tcW w:w="699" w:type="dxa"/>
            <w:tcBorders/>
            <w:vAlign w:val="center"/>
          </w:tcPr>
          <w:p>
            <w:pPr>
              <w:pStyle w:val="TableContents"/>
              <w:bidi w:val="0"/>
              <w:spacing w:before="0" w:after="0"/>
              <w:jc w:val="right"/>
              <w:rPr>
                <w:b/>
                <w:spacing w:val="0"/>
              </w:rPr>
            </w:pPr>
            <w:r>
              <w:rPr>
                <w:b/>
                <w:spacing w:val="0"/>
              </w:rPr>
              <w:t>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(520,486</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spacing w:val="0"/>
              </w:rPr>
            </w:pPr>
            <w:r>
              <w:rPr>
                <w:spacing w:val="0"/>
              </w:rPr>
              <w:t> </w:t>
            </w:r>
          </w:p>
        </w:tc>
        <w:tc>
          <w:tcPr>
            <w:tcW w:w="894" w:type="dxa"/>
            <w:tcBorders/>
            <w:vAlign w:val="center"/>
          </w:tcPr>
          <w:p>
            <w:pPr>
              <w:pStyle w:val="TableContents"/>
              <w:bidi w:val="0"/>
              <w:spacing w:before="0" w:after="0"/>
              <w:jc w:val="right"/>
              <w:rPr>
                <w:b/>
                <w:spacing w:val="0"/>
              </w:rPr>
            </w:pPr>
            <w:r>
              <w:rPr>
                <w:b/>
                <w:spacing w:val="0"/>
              </w:rPr>
              <w:t>(10,085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3,335,371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spacing w:val="0"/>
              </w:rPr>
            </w:pPr>
            <w:r>
              <w:rPr>
                <w:spacing w:val="0"/>
              </w:rPr>
              <w:t> </w:t>
            </w:r>
          </w:p>
        </w:tc>
        <w:tc>
          <w:tcPr>
            <w:tcW w:w="1006" w:type="dxa"/>
            <w:tcBorders/>
            <w:vAlign w:val="center"/>
          </w:tcPr>
          <w:p>
            <w:pPr>
              <w:pStyle w:val="TableContents"/>
              <w:bidi w:val="0"/>
              <w:spacing w:before="0" w:after="0"/>
              <w:jc w:val="right"/>
              <w:rPr>
                <w:b/>
                <w:spacing w:val="0"/>
              </w:rPr>
            </w:pPr>
            <w:r>
              <w:rPr>
                <w:b/>
                <w:spacing w:val="0"/>
              </w:rPr>
              <w:t>2,605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spacing w:val="0"/>
              </w:rPr>
            </w:pPr>
            <w:r>
              <w:rPr>
                <w:spacing w:val="0"/>
              </w:rPr>
              <w:t> </w:t>
            </w:r>
          </w:p>
        </w:tc>
        <w:tc>
          <w:tcPr>
            <w:tcW w:w="655" w:type="dxa"/>
            <w:tcBorders/>
            <w:vAlign w:val="center"/>
          </w:tcPr>
          <w:p>
            <w:pPr>
              <w:pStyle w:val="TableContents"/>
              <w:bidi w:val="0"/>
              <w:spacing w:before="0" w:after="0"/>
              <w:jc w:val="right"/>
              <w:rPr>
                <w:b/>
                <w:spacing w:val="0"/>
              </w:rPr>
            </w:pPr>
            <w:r>
              <w:rPr>
                <w:b/>
                <w:spacing w:val="0"/>
              </w:rPr>
              <w:t>3,302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spacing w:val="0"/>
              </w:rPr>
            </w:pPr>
            <w:r>
              <w:rPr>
                <w:spacing w:val="0"/>
              </w:rPr>
              <w:t> </w:t>
            </w:r>
          </w:p>
        </w:tc>
        <w:tc>
          <w:tcPr>
            <w:tcW w:w="1297" w:type="dxa"/>
            <w:tcBorders/>
            <w:vAlign w:val="center"/>
          </w:tcPr>
          <w:p>
            <w:pPr>
              <w:pStyle w:val="TableContents"/>
              <w:bidi w:val="0"/>
              <w:spacing w:before="0" w:after="0"/>
              <w:jc w:val="right"/>
              <w:rPr>
                <w:b/>
                <w:spacing w:val="0"/>
              </w:rPr>
            </w:pPr>
            <w:r>
              <w:rPr>
                <w:b/>
                <w:spacing w:val="0"/>
              </w:rPr>
              <w:t>(2,262,358</w:t>
            </w:r>
          </w:p>
        </w:tc>
        <w:tc>
          <w:tcPr>
            <w:tcW w:w="155" w:type="dxa"/>
            <w:tcBorders/>
            <w:vAlign w:val="center"/>
          </w:tcPr>
          <w:p>
            <w:pPr>
              <w:pStyle w:val="TableContents"/>
              <w:bidi w:val="0"/>
              <w:spacing w:before="0" w:after="0"/>
              <w:jc w:val="left"/>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1320" w:type="dxa"/>
            <w:tcBorders/>
            <w:vAlign w:val="center"/>
          </w:tcPr>
          <w:p>
            <w:pPr>
              <w:pStyle w:val="TableContents"/>
              <w:bidi w:val="0"/>
              <w:spacing w:before="0" w:after="0"/>
              <w:jc w:val="right"/>
              <w:rPr>
                <w:b/>
                <w:spacing w:val="0"/>
              </w:rPr>
            </w:pPr>
            <w:r>
              <w:rPr>
                <w:b/>
                <w:spacing w:val="0"/>
              </w:rPr>
              <w:t>1,068,927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spacing w:val="0"/>
              </w:rPr>
            </w:pPr>
            <w:r>
              <w:rPr>
                <w:spacing w:val="0"/>
              </w:rPr>
              <w:t> </w:t>
            </w:r>
          </w:p>
        </w:tc>
        <w:tc>
          <w:tcPr>
            <w:tcW w:w="721" w:type="dxa"/>
            <w:tcBorders/>
            <w:vAlign w:val="center"/>
          </w:tcPr>
          <w:p>
            <w:pPr>
              <w:pStyle w:val="TableContents"/>
              <w:bidi w:val="0"/>
              <w:spacing w:before="0" w:after="0"/>
              <w:jc w:val="right"/>
              <w:rPr>
                <w:b/>
                <w:spacing w:val="0"/>
              </w:rPr>
            </w:pPr>
            <w:r>
              <w:rPr>
                <w:b/>
                <w:spacing w:val="0"/>
              </w:rPr>
              <w:t>(585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1,068,342</w:t>
            </w:r>
          </w:p>
        </w:tc>
        <w:tc>
          <w:tcPr>
            <w:tcW w:w="170" w:type="dxa"/>
            <w:tcBorders/>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8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0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6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13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double" w:sz="6" w:space="1" w:color="000000"/>
              </w:rPr>
            </w:pPr>
            <w:r>
              <w:rPr>
                <w:bdr w:val="double" w:sz="6" w:space="1" w:color="000000"/>
              </w:rPr>
              <w:t> </w:t>
            </w:r>
          </w:p>
        </w:tc>
        <w:tc>
          <w:tcPr>
            <w:tcW w:w="7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 (US$)</w:t>
            </w:r>
          </w:p>
        </w:tc>
        <w:tc>
          <w:tcPr>
            <w:tcW w:w="12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b/>
                <w:spacing w:val="0"/>
              </w:rPr>
            </w:pPr>
            <w:r>
              <w:rPr>
                <w:b/>
                <w:spacing w:val="0"/>
              </w:rPr>
              <w:t>111,736,100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10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39,026,560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0"/>
              <w:jc w:val="left"/>
              <w:rPr>
                <w:spacing w:val="0"/>
              </w:rPr>
            </w:pPr>
            <w:r>
              <w:rPr>
                <w:spacing w:val="0"/>
              </w:rPr>
              <w:t> </w:t>
            </w:r>
          </w:p>
        </w:tc>
        <w:tc>
          <w:tcPr>
            <w:tcW w:w="699" w:type="dxa"/>
            <w:tcBorders/>
            <w:shd w:fill="CCEEFF" w:val="clear"/>
            <w:vAlign w:val="center"/>
          </w:tcPr>
          <w:p>
            <w:pPr>
              <w:pStyle w:val="TableContents"/>
              <w:bidi w:val="0"/>
              <w:spacing w:before="0" w:after="0"/>
              <w:jc w:val="right"/>
              <w:rPr>
                <w:b/>
                <w:spacing w:val="0"/>
              </w:rPr>
            </w:pPr>
            <w:r>
              <w:rPr>
                <w:b/>
                <w:spacing w:val="0"/>
              </w:rPr>
              <w:t>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(520,486</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0"/>
              <w:jc w:val="left"/>
              <w:rPr>
                <w:spacing w:val="0"/>
              </w:rPr>
            </w:pPr>
            <w:r>
              <w:rPr>
                <w:spacing w:val="0"/>
              </w:rPr>
              <w:t> </w:t>
            </w:r>
          </w:p>
        </w:tc>
        <w:tc>
          <w:tcPr>
            <w:tcW w:w="894" w:type="dxa"/>
            <w:tcBorders/>
            <w:shd w:fill="CCEEFF" w:val="clear"/>
            <w:vAlign w:val="center"/>
          </w:tcPr>
          <w:p>
            <w:pPr>
              <w:pStyle w:val="TableContents"/>
              <w:bidi w:val="0"/>
              <w:spacing w:before="0" w:after="0"/>
              <w:jc w:val="right"/>
              <w:rPr>
                <w:b/>
                <w:spacing w:val="0"/>
              </w:rPr>
            </w:pPr>
            <w:r>
              <w:rPr>
                <w:b/>
                <w:spacing w:val="0"/>
              </w:rPr>
              <w:t>(1,442</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476,952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0"/>
              <w:jc w:val="left"/>
              <w:rPr>
                <w:spacing w:val="0"/>
              </w:rPr>
            </w:pPr>
            <w:r>
              <w:rPr>
                <w:spacing w:val="0"/>
              </w:rPr>
              <w:t> </w:t>
            </w:r>
          </w:p>
        </w:tc>
        <w:tc>
          <w:tcPr>
            <w:tcW w:w="1006" w:type="dxa"/>
            <w:tcBorders/>
            <w:shd w:fill="CCEEFF" w:val="clear"/>
            <w:vAlign w:val="center"/>
          </w:tcPr>
          <w:p>
            <w:pPr>
              <w:pStyle w:val="TableContents"/>
              <w:bidi w:val="0"/>
              <w:spacing w:before="0" w:after="0"/>
              <w:jc w:val="right"/>
              <w:rPr>
                <w:b/>
                <w:spacing w:val="0"/>
              </w:rPr>
            </w:pPr>
            <w:r>
              <w:rPr>
                <w:b/>
                <w:spacing w:val="0"/>
              </w:rPr>
              <w:t>373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0"/>
              <w:jc w:val="left"/>
              <w:rPr>
                <w:spacing w:val="0"/>
              </w:rPr>
            </w:pPr>
            <w:r>
              <w:rPr>
                <w:spacing w:val="0"/>
              </w:rPr>
              <w:t> </w:t>
            </w:r>
          </w:p>
        </w:tc>
        <w:tc>
          <w:tcPr>
            <w:tcW w:w="655" w:type="dxa"/>
            <w:tcBorders/>
            <w:shd w:fill="CCEEFF" w:val="clear"/>
            <w:vAlign w:val="center"/>
          </w:tcPr>
          <w:p>
            <w:pPr>
              <w:pStyle w:val="TableContents"/>
              <w:bidi w:val="0"/>
              <w:spacing w:before="0" w:after="0"/>
              <w:jc w:val="right"/>
              <w:rPr>
                <w:b/>
                <w:spacing w:val="0"/>
              </w:rPr>
            </w:pPr>
            <w:r>
              <w:rPr>
                <w:b/>
                <w:spacing w:val="0"/>
              </w:rPr>
              <w:t>472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0"/>
              <w:jc w:val="left"/>
              <w:rPr>
                <w:spacing w:val="0"/>
              </w:rPr>
            </w:pPr>
            <w:r>
              <w:rPr>
                <w:spacing w:val="0"/>
              </w:rPr>
              <w:t> </w:t>
            </w:r>
          </w:p>
        </w:tc>
        <w:tc>
          <w:tcPr>
            <w:tcW w:w="1297" w:type="dxa"/>
            <w:tcBorders/>
            <w:shd w:fill="CCEEFF" w:val="clear"/>
            <w:vAlign w:val="center"/>
          </w:tcPr>
          <w:p>
            <w:pPr>
              <w:pStyle w:val="TableContents"/>
              <w:bidi w:val="0"/>
              <w:spacing w:before="0" w:after="0"/>
              <w:jc w:val="right"/>
              <w:rPr>
                <w:b/>
                <w:spacing w:val="0"/>
              </w:rPr>
            </w:pPr>
            <w:r>
              <w:rPr>
                <w:b/>
                <w:spacing w:val="0"/>
              </w:rPr>
              <w:t>(323,513</w:t>
            </w:r>
          </w:p>
        </w:tc>
        <w:tc>
          <w:tcPr>
            <w:tcW w:w="155" w:type="dxa"/>
            <w:tcBorders/>
            <w:shd w:fill="CCEEFF" w:val="clear"/>
            <w:vAlign w:val="center"/>
          </w:tcPr>
          <w:p>
            <w:pPr>
              <w:pStyle w:val="TableContents"/>
              <w:bidi w:val="0"/>
              <w:spacing w:before="0" w:after="0"/>
              <w:jc w:val="left"/>
              <w:rPr>
                <w:b/>
                <w:spacing w:val="0"/>
              </w:rPr>
            </w:pPr>
            <w:r>
              <w:rPr>
                <w:b/>
                <w:spacing w:val="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1320" w:type="dxa"/>
            <w:tcBorders/>
            <w:shd w:fill="CCEEFF" w:val="clear"/>
            <w:vAlign w:val="center"/>
          </w:tcPr>
          <w:p>
            <w:pPr>
              <w:pStyle w:val="TableContents"/>
              <w:bidi w:val="0"/>
              <w:spacing w:before="0" w:after="0"/>
              <w:jc w:val="right"/>
              <w:rPr>
                <w:b/>
                <w:spacing w:val="0"/>
              </w:rPr>
            </w:pPr>
            <w:r>
              <w:rPr>
                <w:b/>
                <w:spacing w:val="0"/>
              </w:rPr>
              <w:t>152,855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0"/>
              <w:jc w:val="left"/>
              <w:rPr>
                <w:spacing w:val="0"/>
              </w:rPr>
            </w:pPr>
            <w:r>
              <w:rPr>
                <w:spacing w:val="0"/>
              </w:rPr>
              <w:t> </w:t>
            </w:r>
          </w:p>
        </w:tc>
        <w:tc>
          <w:tcPr>
            <w:tcW w:w="721" w:type="dxa"/>
            <w:tcBorders/>
            <w:shd w:fill="CCEEFF" w:val="clear"/>
            <w:vAlign w:val="center"/>
          </w:tcPr>
          <w:p>
            <w:pPr>
              <w:pStyle w:val="TableContents"/>
              <w:bidi w:val="0"/>
              <w:spacing w:before="0" w:after="0"/>
              <w:jc w:val="right"/>
              <w:rPr>
                <w:b/>
                <w:spacing w:val="0"/>
              </w:rPr>
            </w:pPr>
            <w:r>
              <w:rPr>
                <w:b/>
                <w:spacing w:val="0"/>
              </w:rPr>
              <w:t>(84</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152,771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69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0"/>
              <w:jc w:val="left"/>
              <w:rPr>
                <w:bdr w:val="double" w:sz="6" w:space="1" w:color="000000"/>
              </w:rPr>
            </w:pPr>
            <w:r>
              <w:rPr>
                <w:bdr w:val="double" w:sz="6" w:space="1" w:color="000000"/>
              </w:rPr>
              <w:t> </w:t>
            </w:r>
          </w:p>
        </w:tc>
        <w:tc>
          <w:tcPr>
            <w:tcW w:w="89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0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65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13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0"/>
              <w:jc w:val="left"/>
              <w:rPr>
                <w:bdr w:val="double" w:sz="6" w:space="1" w:color="000000"/>
              </w:rPr>
            </w:pPr>
            <w:r>
              <w:rPr>
                <w:bdr w:val="double" w:sz="6" w:space="1" w:color="000000"/>
              </w:rPr>
              <w:t> </w:t>
            </w:r>
          </w:p>
        </w:tc>
        <w:tc>
          <w:tcPr>
            <w:tcW w:w="72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04"/>
        <w:gridCol w:w="120"/>
        <w:gridCol w:w="93"/>
        <w:gridCol w:w="408"/>
        <w:gridCol w:w="60"/>
        <w:gridCol w:w="120"/>
        <w:gridCol w:w="60"/>
        <w:gridCol w:w="875"/>
        <w:gridCol w:w="155"/>
        <w:gridCol w:w="60"/>
        <w:gridCol w:w="60"/>
        <w:gridCol w:w="875"/>
        <w:gridCol w:w="155"/>
        <w:gridCol w:w="60"/>
        <w:gridCol w:w="60"/>
        <w:gridCol w:w="875"/>
        <w:gridCol w:w="155"/>
        <w:gridCol w:w="60"/>
        <w:gridCol w:w="64"/>
        <w:gridCol w:w="814"/>
        <w:gridCol w:w="172"/>
      </w:tblGrid>
      <w:tr>
        <w:trPr/>
        <w:tc>
          <w:tcPr>
            <w:tcW w:w="49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9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28"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years ended December 31,</w:t>
            </w:r>
          </w:p>
        </w:tc>
        <w:tc>
          <w:tcPr>
            <w:tcW w:w="172" w:type="dxa"/>
            <w:tcBorders/>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2" w:type="dxa"/>
            <w:tcBorders/>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0"/>
              <w:jc w:val="center"/>
              <w:rPr>
                <w:b/>
                <w:spacing w:val="0"/>
              </w:rPr>
            </w:pPr>
            <w:r>
              <w:rPr>
                <w:b/>
                <w:spacing w:val="0"/>
              </w:rPr>
              <w:t>US$</w:t>
            </w:r>
          </w:p>
        </w:tc>
        <w:tc>
          <w:tcPr>
            <w:tcW w:w="172" w:type="dxa"/>
            <w:tcBorders/>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1"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pPr>
            <w:r>
              <w:rPr/>
              <w:t>Note 2(e)</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(302,341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(230,032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(276,411</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(39,527</w:t>
            </w:r>
          </w:p>
        </w:tc>
        <w:tc>
          <w:tcPr>
            <w:tcW w:w="172" w:type="dxa"/>
            <w:tcBorders/>
            <w:vAlign w:val="center"/>
          </w:tcPr>
          <w:p>
            <w:pPr>
              <w:pStyle w:val="TableContents"/>
              <w:bidi w:val="0"/>
              <w:spacing w:before="0" w:after="283"/>
              <w:jc w:val="left"/>
              <w:rPr/>
            </w:pPr>
            <w:r>
              <w:rPr/>
              <w:t>)</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generated from operating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12,442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12,774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18,954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2,710</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139</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8,131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1,440</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8"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151,485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273,124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246,158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35,200</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Losses on disposal of property and equipment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2(l)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debt discounts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and investment income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(6,782</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Losses from equity method investments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750</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expected credit losses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12,790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1,135</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Write-downs of inventories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2(k)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212</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(6,969</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(997</w:t>
            </w:r>
          </w:p>
        </w:tc>
        <w:tc>
          <w:tcPr>
            <w:tcW w:w="172" w:type="dxa"/>
            <w:tcBorders/>
            <w:shd w:fill="CCEEFF" w:val="clear"/>
            <w:vAlign w:val="center"/>
          </w:tcPr>
          <w:p>
            <w:pPr>
              <w:pStyle w:val="TableContents"/>
              <w:bidi w:val="0"/>
              <w:spacing w:before="0" w:after="283"/>
              <w:jc w:val="left"/>
              <w:rPr/>
            </w:pPr>
            <w:r>
              <w:rPr/>
              <w:t>)</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(gains) losses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(53</w:t>
            </w:r>
          </w:p>
        </w:tc>
        <w:tc>
          <w:tcPr>
            <w:tcW w:w="172" w:type="dxa"/>
            <w:tcBorders/>
            <w:vAlign w:val="center"/>
          </w:tcPr>
          <w:p>
            <w:pPr>
              <w:pStyle w:val="TableContents"/>
              <w:bidi w:val="0"/>
              <w:spacing w:before="0" w:after="283"/>
              <w:jc w:val="left"/>
              <w:rPr/>
            </w:pPr>
            <w:r>
              <w:rPr/>
              <w:t>) </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81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(30,089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(61,428</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(8,784</w:t>
            </w:r>
          </w:p>
        </w:tc>
        <w:tc>
          <w:tcPr>
            <w:tcW w:w="172" w:type="dxa"/>
            <w:tcBorders/>
            <w:vAlign w:val="center"/>
          </w:tcPr>
          <w:p>
            <w:pPr>
              <w:pStyle w:val="TableContents"/>
              <w:bidi w:val="0"/>
              <w:spacing w:before="0" w:after="283"/>
              <w:jc w:val="left"/>
              <w:rPr/>
            </w:pPr>
            <w:r>
              <w:rPr/>
              <w:t>)</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(35,667</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(5,100</w:t>
            </w:r>
          </w:p>
        </w:tc>
        <w:tc>
          <w:tcPr>
            <w:tcW w:w="172" w:type="dxa"/>
            <w:tcBorders/>
            <w:shd w:fill="CCEEFF" w:val="clear"/>
            <w:vAlign w:val="center"/>
          </w:tcPr>
          <w:p>
            <w:pPr>
              <w:pStyle w:val="TableContents"/>
              <w:bidi w:val="0"/>
              <w:spacing w:before="0" w:after="283"/>
              <w:jc w:val="left"/>
              <w:rPr/>
            </w:pPr>
            <w:r>
              <w:rPr/>
              <w:t>)</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assets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(29,515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(101,575</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(14,525</w:t>
            </w:r>
          </w:p>
        </w:tc>
        <w:tc>
          <w:tcPr>
            <w:tcW w:w="172" w:type="dxa"/>
            <w:tcBorders/>
            <w:vAlign w:val="center"/>
          </w:tcPr>
          <w:p>
            <w:pPr>
              <w:pStyle w:val="TableContents"/>
              <w:bidi w:val="0"/>
              <w:spacing w:before="0" w:after="283"/>
              <w:jc w:val="left"/>
              <w:rPr/>
            </w:pPr>
            <w:r>
              <w:rPr/>
              <w:t>)</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92,345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718</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17,847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25,392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(1,722</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(246</w:t>
            </w:r>
          </w:p>
        </w:tc>
        <w:tc>
          <w:tcPr>
            <w:tcW w:w="172" w:type="dxa"/>
            <w:tcBorders/>
            <w:vAlign w:val="center"/>
          </w:tcPr>
          <w:p>
            <w:pPr>
              <w:pStyle w:val="TableContents"/>
              <w:bidi w:val="0"/>
              <w:spacing w:before="0" w:after="283"/>
              <w:jc w:val="left"/>
              <w:rPr/>
            </w:pPr>
            <w:r>
              <w:rPr/>
              <w:t>)</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57,551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61,583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8,808</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(3,708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(2,665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(5,825</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(833</w:t>
            </w:r>
          </w:p>
        </w:tc>
        <w:tc>
          <w:tcPr>
            <w:tcW w:w="172" w:type="dxa"/>
            <w:tcBorders/>
            <w:vAlign w:val="center"/>
          </w:tcPr>
          <w:p>
            <w:pPr>
              <w:pStyle w:val="TableContents"/>
              <w:bidi w:val="0"/>
              <w:spacing w:before="0" w:after="283"/>
              <w:jc w:val="left"/>
              <w:rPr/>
            </w:pPr>
            <w:r>
              <w:rPr/>
              <w:t>)</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(687</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(98</w:t>
            </w:r>
          </w:p>
        </w:tc>
        <w:tc>
          <w:tcPr>
            <w:tcW w:w="172" w:type="dxa"/>
            <w:tcBorders/>
            <w:shd w:fill="CCEEFF" w:val="clear"/>
            <w:vAlign w:val="center"/>
          </w:tcPr>
          <w:p>
            <w:pPr>
              <w:pStyle w:val="TableContents"/>
              <w:bidi w:val="0"/>
              <w:spacing w:before="0" w:after="283"/>
              <w:jc w:val="left"/>
              <w:rPr/>
            </w:pPr>
            <w:r>
              <w:rPr/>
              <w:t>)</w:t>
            </w:r>
          </w:p>
        </w:tc>
      </w:tr>
      <w:tr>
        <w:trPr/>
        <w:tc>
          <w:tcPr>
            <w:tcW w:w="49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government subsidies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(526</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right"/>
              <w:rPr/>
            </w:pPr>
            <w:r>
              <w:rPr/>
              <w:t>(75</w:t>
            </w:r>
          </w:p>
        </w:tc>
        <w:tc>
          <w:tcPr>
            <w:tcW w:w="172" w:type="dxa"/>
            <w:tcBorders/>
            <w:vAlign w:val="center"/>
          </w:tcPr>
          <w:p>
            <w:pPr>
              <w:pStyle w:val="TableContents"/>
              <w:bidi w:val="0"/>
              <w:spacing w:before="0" w:after="283"/>
              <w:jc w:val="left"/>
              <w:rPr/>
            </w:pPr>
            <w:r>
              <w:rPr/>
              <w:t>)</w:t>
            </w:r>
          </w:p>
        </w:tc>
      </w:tr>
      <w:tr>
        <w:trPr/>
        <w:tc>
          <w:tcPr>
            <w:tcW w:w="49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239</w:t>
            </w:r>
          </w:p>
        </w:tc>
        <w:tc>
          <w:tcPr>
            <w:tcW w:w="172" w:type="dxa"/>
            <w:tcBorders/>
            <w:shd w:fill="CCEEFF" w:val="clear"/>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8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490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flow (used in) generated from operating activities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(88,410</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157,959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(179,506</w:t>
            </w:r>
          </w:p>
        </w:tc>
        <w:tc>
          <w:tcPr>
            <w:tcW w:w="155" w:type="dxa"/>
            <w:tcBorders/>
            <w:vAlign w:val="center"/>
          </w:tcPr>
          <w:p>
            <w:pPr>
              <w:pStyle w:val="TableContents"/>
              <w:bidi w:val="0"/>
              <w:spacing w:before="0" w:after="0"/>
              <w:jc w:val="left"/>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rPr>
            </w:pPr>
            <w:r>
              <w:rPr>
                <w:spacing w:val="0"/>
              </w:rPr>
              <w:t> </w:t>
            </w:r>
          </w:p>
        </w:tc>
        <w:tc>
          <w:tcPr>
            <w:tcW w:w="814" w:type="dxa"/>
            <w:tcBorders/>
            <w:vAlign w:val="center"/>
          </w:tcPr>
          <w:p>
            <w:pPr>
              <w:pStyle w:val="TableContents"/>
              <w:bidi w:val="0"/>
              <w:spacing w:before="0" w:after="0"/>
              <w:jc w:val="right"/>
              <w:rPr>
                <w:b/>
                <w:spacing w:val="0"/>
              </w:rPr>
            </w:pPr>
            <w:r>
              <w:rPr>
                <w:b/>
                <w:spacing w:val="0"/>
              </w:rPr>
              <w:t>(25,668</w:t>
            </w:r>
          </w:p>
        </w:tc>
        <w:tc>
          <w:tcPr>
            <w:tcW w:w="172" w:type="dxa"/>
            <w:tcBorders/>
            <w:vAlign w:val="center"/>
          </w:tcPr>
          <w:p>
            <w:pPr>
              <w:pStyle w:val="TableContents"/>
              <w:bidi w:val="0"/>
              <w:spacing w:before="0" w:after="0"/>
              <w:jc w:val="left"/>
              <w:rPr>
                <w:b/>
                <w:spacing w:val="0"/>
              </w:rPr>
            </w:pPr>
            <w:r>
              <w:rPr>
                <w:b/>
                <w:spacing w:val="0"/>
              </w:rPr>
              <w:t>)</w:t>
            </w:r>
          </w:p>
        </w:tc>
      </w:tr>
      <w:tr>
        <w:trPr/>
        <w:tc>
          <w:tcPr>
            <w:tcW w:w="49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814" w:type="dxa"/>
            <w:tcBorders/>
            <w:vAlign w:val="center"/>
          </w:tcPr>
          <w:p>
            <w:pPr>
              <w:pStyle w:val="TableContents"/>
              <w:bidi w:val="0"/>
              <w:spacing w:before="0" w:after="0"/>
              <w:jc w:val="left"/>
              <w:rPr>
                <w:bdr w:val="single" w:sz="2" w:space="1" w:color="000000"/>
              </w:rPr>
            </w:pPr>
            <w:r>
              <w:rPr>
                <w:bdr w:val="single" w:sz="2"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50"/>
        <w:gridCol w:w="120"/>
        <w:gridCol w:w="93"/>
        <w:gridCol w:w="407"/>
        <w:gridCol w:w="60"/>
        <w:gridCol w:w="120"/>
        <w:gridCol w:w="60"/>
        <w:gridCol w:w="875"/>
        <w:gridCol w:w="155"/>
        <w:gridCol w:w="60"/>
        <w:gridCol w:w="60"/>
        <w:gridCol w:w="875"/>
        <w:gridCol w:w="155"/>
        <w:gridCol w:w="60"/>
        <w:gridCol w:w="60"/>
        <w:gridCol w:w="875"/>
        <w:gridCol w:w="155"/>
        <w:gridCol w:w="60"/>
        <w:gridCol w:w="60"/>
        <w:gridCol w:w="875"/>
        <w:gridCol w:w="170"/>
      </w:tblGrid>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8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years ended December 31,</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Note 2(e)</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short-term investments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(885,706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(729,153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(104,267</w:t>
            </w:r>
          </w:p>
        </w:tc>
        <w:tc>
          <w:tcPr>
            <w:tcW w:w="170" w:type="dxa"/>
            <w:tcBorders/>
            <w:shd w:fill="CCEEFF" w:val="clear"/>
            <w:vAlign w:val="center"/>
          </w:tcPr>
          <w:p>
            <w:pPr>
              <w:pStyle w:val="TableContents"/>
              <w:bidi w:val="0"/>
              <w:spacing w:before="0" w:after="283"/>
              <w:jc w:val="left"/>
              <w:rPr/>
            </w:pPr>
            <w:r>
              <w:rPr/>
              <w:t>)</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Redemption of short-term investments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444,759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418,728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59,877</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for short-term deposits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(130,071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received from maturity of short-term deposits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143,782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Payments for restricted short-term deposits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(29,126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(4,165</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received from maturity of restricted short-term deposits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29,486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4,216</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(38,966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(147,903</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(21,150</w:t>
            </w:r>
          </w:p>
        </w:tc>
        <w:tc>
          <w:tcPr>
            <w:tcW w:w="170" w:type="dxa"/>
            <w:tcBorders/>
            <w:shd w:fill="CCEEFF" w:val="clear"/>
            <w:vAlign w:val="center"/>
          </w:tcPr>
          <w:p>
            <w:pPr>
              <w:pStyle w:val="TableContents"/>
              <w:bidi w:val="0"/>
              <w:spacing w:before="0" w:after="283"/>
              <w:jc w:val="left"/>
              <w:rPr/>
            </w:pPr>
            <w:r>
              <w:rPr/>
              <w:t>)</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land use rights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(11,409</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(1,631</w:t>
            </w:r>
          </w:p>
        </w:tc>
        <w:tc>
          <w:tcPr>
            <w:tcW w:w="170" w:type="dxa"/>
            <w:tcBorders/>
            <w:vAlign w:val="center"/>
          </w:tcPr>
          <w:p>
            <w:pPr>
              <w:pStyle w:val="TableContents"/>
              <w:bidi w:val="0"/>
              <w:spacing w:before="0" w:after="283"/>
              <w:jc w:val="left"/>
              <w:rPr/>
            </w:pPr>
            <w:r>
              <w:rPr/>
              <w:t>)</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intangible assets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(153</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investments accounted for using equity method and other investments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(19,650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(4,962</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to a related party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(715</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Receipt of loans receivable from a related party</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429</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Receipt of loans receivable from a third party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flow used in investing activities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(128,692</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(482,508</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(507,145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(72,521</w:t>
            </w:r>
          </w:p>
        </w:tc>
        <w:tc>
          <w:tcPr>
            <w:tcW w:w="170" w:type="dxa"/>
            <w:tcBorders/>
            <w:vAlign w:val="center"/>
          </w:tcPr>
          <w:p>
            <w:pPr>
              <w:pStyle w:val="TableContents"/>
              <w:bidi w:val="0"/>
              <w:spacing w:before="0" w:after="0"/>
              <w:jc w:val="left"/>
              <w:rPr>
                <w:b/>
                <w:spacing w:val="0"/>
              </w:rPr>
            </w:pPr>
            <w:r>
              <w:rPr>
                <w:b/>
                <w:spacing w:val="0"/>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short-term bank loans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69,090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64,250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249,143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35,627</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short-term bank loans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(49,794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(69,090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(83,758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(11,977</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long-term bank loans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75,000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10,725</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long-term bank loans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(14,154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(1,930</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short-term debts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90,000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short-term debts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injection by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Repayment of Mandatorily redeemable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(5,720</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of share repurchase</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professional service fee related to financing transactions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(16,334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(2,336</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Class A ordinary shares, net of issuance costs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250,199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698,128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166,810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23,853</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195,480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701,357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337,431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48,252</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(752</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382,627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(354,477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(50,689</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the beginning of the years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249,310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228,250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610,877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87,354</w:t>
            </w:r>
          </w:p>
        </w:tc>
        <w:tc>
          <w:tcPr>
            <w:tcW w:w="170" w:type="dxa"/>
            <w:tcBorders/>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the end of the years</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228,250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610,877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256,400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36,665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14"/>
        <w:gridCol w:w="120"/>
        <w:gridCol w:w="250"/>
        <w:gridCol w:w="250"/>
        <w:gridCol w:w="60"/>
        <w:gridCol w:w="120"/>
        <w:gridCol w:w="64"/>
        <w:gridCol w:w="609"/>
        <w:gridCol w:w="64"/>
        <w:gridCol w:w="130"/>
        <w:gridCol w:w="64"/>
        <w:gridCol w:w="609"/>
        <w:gridCol w:w="64"/>
        <w:gridCol w:w="130"/>
        <w:gridCol w:w="64"/>
        <w:gridCol w:w="739"/>
        <w:gridCol w:w="64"/>
        <w:gridCol w:w="130"/>
        <w:gridCol w:w="84"/>
        <w:gridCol w:w="794"/>
        <w:gridCol w:w="82"/>
      </w:tblGrid>
      <w:tr>
        <w:trPr/>
        <w:tc>
          <w:tcPr>
            <w:tcW w:w="5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57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09"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years ended December 31,</w:t>
            </w:r>
          </w:p>
        </w:tc>
        <w:tc>
          <w:tcPr>
            <w:tcW w:w="82" w:type="dxa"/>
            <w:tcBorders/>
            <w:vAlign w:val="center"/>
          </w:tcPr>
          <w:p>
            <w:pPr>
              <w:pStyle w:val="TableContents"/>
              <w:bidi w:val="0"/>
              <w:spacing w:before="0" w:after="283"/>
              <w:jc w:val="left"/>
              <w:rPr/>
            </w:pPr>
            <w:r>
              <w:rPr/>
              <w:t> </w:t>
            </w:r>
          </w:p>
        </w:tc>
      </w:tr>
      <w:tr>
        <w:trPr/>
        <w:tc>
          <w:tcPr>
            <w:tcW w:w="57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0"/>
              <w:jc w:val="center"/>
              <w:rPr>
                <w:b/>
                <w:spacing w:val="0"/>
              </w:rPr>
            </w:pPr>
            <w:r>
              <w:rPr>
                <w:b/>
                <w:spacing w:val="0"/>
              </w:rPr>
              <w:t>Note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82" w:type="dxa"/>
            <w:tcBorders/>
            <w:vAlign w:val="center"/>
          </w:tcPr>
          <w:p>
            <w:pPr>
              <w:pStyle w:val="TableContents"/>
              <w:bidi w:val="0"/>
              <w:spacing w:before="0" w:after="283"/>
              <w:jc w:val="left"/>
              <w:rPr/>
            </w:pPr>
            <w:r>
              <w:rPr/>
              <w:t> </w:t>
            </w:r>
          </w:p>
        </w:tc>
      </w:tr>
      <w:tr>
        <w:trPr/>
        <w:tc>
          <w:tcPr>
            <w:tcW w:w="57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0"/>
              <w:jc w:val="center"/>
              <w:rPr>
                <w:b/>
                <w:spacing w:val="0"/>
              </w:rPr>
            </w:pPr>
            <w:r>
              <w:rPr>
                <w:b/>
                <w:spacing w:val="0"/>
              </w:rPr>
              <w:t>RMB</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0"/>
              <w:jc w:val="center"/>
              <w:rPr>
                <w:b/>
                <w:spacing w:val="0"/>
              </w:rPr>
            </w:pPr>
            <w:r>
              <w:rPr>
                <w:b/>
                <w:spacing w:val="0"/>
              </w:rPr>
              <w:t>RMB</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0"/>
              <w:jc w:val="center"/>
              <w:rPr>
                <w:b/>
                <w:spacing w:val="0"/>
              </w:rPr>
            </w:pPr>
            <w:r>
              <w:rPr>
                <w:b/>
                <w:spacing w:val="0"/>
              </w:rPr>
              <w:t>RMB</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0"/>
              <w:jc w:val="center"/>
              <w:rPr>
                <w:b/>
                <w:spacing w:val="0"/>
              </w:rPr>
            </w:pPr>
            <w:r>
              <w:rPr>
                <w:b/>
                <w:spacing w:val="0"/>
              </w:rPr>
              <w:t>US$</w:t>
            </w:r>
          </w:p>
        </w:tc>
        <w:tc>
          <w:tcPr>
            <w:tcW w:w="82" w:type="dxa"/>
            <w:tcBorders/>
            <w:vAlign w:val="center"/>
          </w:tcPr>
          <w:p>
            <w:pPr>
              <w:pStyle w:val="TableContents"/>
              <w:bidi w:val="0"/>
              <w:spacing w:before="0" w:after="283"/>
              <w:jc w:val="left"/>
              <w:rPr/>
            </w:pPr>
            <w:r>
              <w:rPr/>
              <w:t> </w:t>
            </w:r>
          </w:p>
        </w:tc>
      </w:tr>
      <w:tr>
        <w:trPr/>
        <w:tc>
          <w:tcPr>
            <w:tcW w:w="5714"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73"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03"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pPr>
            <w:r>
              <w:rPr/>
              <w:t>Note 2(e)</w:t>
            </w:r>
          </w:p>
        </w:tc>
        <w:tc>
          <w:tcPr>
            <w:tcW w:w="82" w:type="dxa"/>
            <w:tcBorders/>
            <w:vAlign w:val="center"/>
          </w:tcPr>
          <w:p>
            <w:pPr>
              <w:pStyle w:val="TableContents"/>
              <w:bidi w:val="0"/>
              <w:spacing w:before="0" w:after="283"/>
              <w:jc w:val="left"/>
              <w:rPr/>
            </w:pPr>
            <w:r>
              <w:rPr/>
              <w:t> </w:t>
            </w:r>
          </w:p>
        </w:tc>
      </w:tr>
      <w:tr>
        <w:trPr/>
        <w:tc>
          <w:tcPr>
            <w:tcW w:w="571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information</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09"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609"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739"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sz w:val="4"/>
                <w:szCs w:val="4"/>
              </w:rPr>
            </w:pPr>
            <w:r>
              <w:rPr>
                <w:sz w:val="4"/>
                <w:szCs w:val="4"/>
              </w:rPr>
            </w:r>
          </w:p>
        </w:tc>
      </w:tr>
      <w:tr>
        <w:trPr/>
        <w:tc>
          <w:tcPr>
            <w:tcW w:w="57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2,183</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3,400</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6,663</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right"/>
              <w:rPr/>
            </w:pPr>
            <w:r>
              <w:rPr/>
              <w:t>953</w:t>
            </w:r>
          </w:p>
        </w:tc>
        <w:tc>
          <w:tcPr>
            <w:tcW w:w="82" w:type="dxa"/>
            <w:tcBorders/>
            <w:vAlign w:val="center"/>
          </w:tcPr>
          <w:p>
            <w:pPr>
              <w:pStyle w:val="TableContents"/>
              <w:bidi w:val="0"/>
              <w:spacing w:before="0" w:after="283"/>
              <w:jc w:val="left"/>
              <w:rPr/>
            </w:pPr>
            <w:r>
              <w:rPr/>
              <w:t> </w:t>
            </w:r>
          </w:p>
        </w:tc>
      </w:tr>
      <w:tr>
        <w:trPr/>
        <w:tc>
          <w:tcPr>
            <w:tcW w:w="57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184</w:t>
            </w:r>
          </w:p>
        </w:tc>
        <w:tc>
          <w:tcPr>
            <w:tcW w:w="6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101</w:t>
            </w:r>
          </w:p>
        </w:tc>
        <w:tc>
          <w:tcPr>
            <w:tcW w:w="6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879</w:t>
            </w:r>
          </w:p>
        </w:tc>
        <w:tc>
          <w:tcPr>
            <w:tcW w:w="6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126</w:t>
            </w:r>
          </w:p>
        </w:tc>
        <w:tc>
          <w:tcPr>
            <w:tcW w:w="82" w:type="dxa"/>
            <w:tcBorders/>
            <w:shd w:fill="CCEEFF" w:val="clear"/>
            <w:vAlign w:val="center"/>
          </w:tcPr>
          <w:p>
            <w:pPr>
              <w:pStyle w:val="TableContents"/>
              <w:bidi w:val="0"/>
              <w:spacing w:before="0" w:after="283"/>
              <w:jc w:val="left"/>
              <w:rPr/>
            </w:pPr>
            <w:r>
              <w:rPr/>
              <w:t> </w:t>
            </w:r>
          </w:p>
        </w:tc>
      </w:tr>
      <w:tr>
        <w:trPr/>
        <w:tc>
          <w:tcPr>
            <w:tcW w:w="5714"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57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Loans receivable settled by accounts payable</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5,800</w:t>
            </w:r>
          </w:p>
        </w:tc>
        <w:tc>
          <w:tcPr>
            <w:tcW w:w="6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57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and equipment included in accrued expenses and other liabilities</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1,401</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1,198</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9" w:type="dxa"/>
            <w:tcBorders/>
            <w:vAlign w:val="center"/>
          </w:tcPr>
          <w:p>
            <w:pPr>
              <w:pStyle w:val="TableContents"/>
              <w:bidi w:val="0"/>
              <w:spacing w:before="0" w:after="283"/>
              <w:jc w:val="right"/>
              <w:rPr/>
            </w:pPr>
            <w:r>
              <w:rPr/>
              <w:t>45,768</w:t>
            </w:r>
          </w:p>
        </w:tc>
        <w:tc>
          <w:tcPr>
            <w:tcW w:w="64"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right"/>
              <w:rPr/>
            </w:pPr>
            <w:r>
              <w:rPr/>
              <w:t>6,545</w:t>
            </w:r>
          </w:p>
        </w:tc>
        <w:tc>
          <w:tcPr>
            <w:tcW w:w="82" w:type="dxa"/>
            <w:tcBorders/>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accompanying notes are an integral part of these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215"/>
        <w:gridCol w:w="3410"/>
      </w:tblGrid>
      <w:tr>
        <w:trPr/>
        <w:tc>
          <w:tcPr>
            <w:tcW w:w="215" w:type="dxa"/>
            <w:tcBorders/>
            <w:vAlign w:val="center"/>
          </w:tcPr>
          <w:p>
            <w:pPr>
              <w:pStyle w:val="TableContents"/>
              <w:bidi w:val="0"/>
              <w:spacing w:before="0" w:after="0"/>
              <w:jc w:val="left"/>
              <w:rPr>
                <w:b/>
                <w:spacing w:val="0"/>
              </w:rPr>
            </w:pPr>
            <w:r>
              <w:rPr>
                <w:b/>
                <w:spacing w:val="0"/>
              </w:rPr>
              <w:t>1.</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305"/>
        <w:gridCol w:w="165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(a)</w:t>
            </w:r>
          </w:p>
        </w:tc>
        <w:tc>
          <w:tcPr>
            <w:tcW w:w="165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EHang Holdings Limited (the ‘‘Company’’) was incorporated in the Cayman Islands on December 23, 2014 under the Cayman Islands Companies Law as an exempted company with limited liability. On December 12, 2019, the Company completed its initial public offering (the “IPO”) and got listed on Nasdaq Global Market. The Company through its consolidated subsidiaries, variable interest entity (the ‘‘VIE’’) and the subsidiaries of the VIE (collectively, the ‘‘Group’’) are principally engaged in the research and development, manufacturing, sales and operations of unmanned aerial vehicles (“UAVs”). The Group established its manufacturing facility in Yunfu City in the People’s Republic of China (“PRC”). </w:t>
      </w:r>
    </w:p>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27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Principal subsidiaries and VIEs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Company’s major subsidiaries, VIE and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subsidiaries</w:t>
      </w:r>
    </w:p>
    <w:p>
      <w:pPr>
        <w:pStyle w:val="TextBody"/>
        <w:bidi w:val="0"/>
        <w:spacing w:before="120" w:after="0"/>
        <w:jc w:val="left"/>
        <w:rPr>
          <w:rFonts w:ascii="Times New Roman" w:hAnsi="Times New Roman"/>
          <w:sz w:val="20"/>
        </w:rPr>
      </w:pPr>
      <w:r>
        <w:rPr>
          <w:rFonts w:ascii="Times New Roman" w:hAnsi="Times New Roman"/>
          <w:sz w:val="20"/>
        </w:rPr>
        <w:t xml:space="preserve">of the VIE (“VIEs”, refer to VIE and its subsidiaries as a whole, where appropriate)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59"/>
        <w:gridCol w:w="120"/>
        <w:gridCol w:w="1261"/>
        <w:gridCol w:w="120"/>
        <w:gridCol w:w="1025"/>
        <w:gridCol w:w="120"/>
        <w:gridCol w:w="598"/>
        <w:gridCol w:w="120"/>
        <w:gridCol w:w="3082"/>
      </w:tblGrid>
      <w:tr>
        <w:trPr/>
        <w:tc>
          <w:tcPr>
            <w:tcW w:w="37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center"/>
          </w:tcPr>
          <w:p>
            <w:pPr>
              <w:pStyle w:val="TableContents"/>
              <w:bidi w:val="0"/>
              <w:spacing w:before="0" w:after="0"/>
              <w:jc w:val="left"/>
              <w:rPr>
                <w:b/>
                <w:spacing w:val="0"/>
              </w:rPr>
            </w:pPr>
            <w:r>
              <w:rPr>
                <w:b/>
                <w:spacing w:val="0"/>
              </w:rPr>
              <w:t>Entities</w:t>
            </w:r>
          </w:p>
        </w:tc>
        <w:tc>
          <w:tcPr>
            <w:tcW w:w="12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incorporation</w:t>
            </w:r>
          </w:p>
          <w:p>
            <w:pPr>
              <w:pStyle w:val="TableContents"/>
              <w:bidi w:val="0"/>
              <w:spacing w:before="0" w:after="20"/>
              <w:jc w:val="center"/>
              <w:rPr>
                <w:rFonts w:ascii="Times New Roman" w:hAnsi="Times New Roman"/>
                <w:b/>
                <w:sz w:val="16"/>
              </w:rPr>
            </w:pPr>
            <w:r>
              <w:rPr>
                <w:rFonts w:ascii="Times New Roman" w:hAnsi="Times New Roman"/>
                <w:b/>
                <w:sz w:val="16"/>
              </w:rPr>
              <w:t>establishment</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Place of</w:t>
            </w:r>
          </w:p>
          <w:p>
            <w:pPr>
              <w:pStyle w:val="TableContents"/>
              <w:bidi w:val="0"/>
              <w:spacing w:before="0" w:after="0"/>
              <w:jc w:val="center"/>
              <w:rPr>
                <w:rFonts w:ascii="Times New Roman" w:hAnsi="Times New Roman"/>
                <w:b/>
                <w:sz w:val="16"/>
              </w:rPr>
            </w:pPr>
            <w:r>
              <w:rPr>
                <w:rFonts w:ascii="Times New Roman" w:hAnsi="Times New Roman"/>
                <w:b/>
                <w:sz w:val="16"/>
              </w:rPr>
              <w:t>incorporation</w:t>
            </w:r>
          </w:p>
          <w:p>
            <w:pPr>
              <w:pStyle w:val="TableContents"/>
              <w:bidi w:val="0"/>
              <w:spacing w:before="0" w:after="20"/>
              <w:jc w:val="center"/>
              <w:rPr>
                <w:rFonts w:ascii="Times New Roman" w:hAnsi="Times New Roman"/>
                <w:b/>
                <w:sz w:val="16"/>
              </w:rPr>
            </w:pPr>
            <w:r>
              <w:rPr>
                <w:rFonts w:ascii="Times New Roman" w:hAnsi="Times New Roman"/>
                <w:b/>
                <w:sz w:val="16"/>
              </w:rPr>
              <w:t>establishment</w:t>
            </w:r>
          </w:p>
        </w:tc>
        <w:tc>
          <w:tcPr>
            <w:tcW w:w="12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Equity</w:t>
            </w:r>
          </w:p>
          <w:p>
            <w:pPr>
              <w:pStyle w:val="TableContents"/>
              <w:bidi w:val="0"/>
              <w:spacing w:before="0" w:after="0"/>
              <w:jc w:val="center"/>
              <w:rPr>
                <w:rFonts w:ascii="Times New Roman" w:hAnsi="Times New Roman"/>
                <w:b/>
                <w:sz w:val="16"/>
              </w:rPr>
            </w:pPr>
            <w:r>
              <w:rPr>
                <w:rFonts w:ascii="Times New Roman" w:hAnsi="Times New Roman"/>
                <w:b/>
                <w:sz w:val="16"/>
              </w:rPr>
              <w:t>interest</w:t>
            </w:r>
          </w:p>
          <w:p>
            <w:pPr>
              <w:pStyle w:val="TableContents"/>
              <w:bidi w:val="0"/>
              <w:spacing w:before="0" w:after="20"/>
              <w:jc w:val="center"/>
              <w:rPr>
                <w:rFonts w:ascii="Times New Roman" w:hAnsi="Times New Roman"/>
                <w:b/>
                <w:sz w:val="16"/>
              </w:rPr>
            </w:pPr>
            <w:r>
              <w:rPr>
                <w:rFonts w:ascii="Times New Roman" w:hAnsi="Times New Roman"/>
                <w:b/>
                <w:sz w:val="16"/>
              </w:rPr>
              <w:t>held</w:t>
            </w:r>
          </w:p>
        </w:tc>
        <w:tc>
          <w:tcPr>
            <w:tcW w:w="120" w:type="dxa"/>
            <w:tcBorders/>
            <w:vAlign w:val="center"/>
          </w:tcPr>
          <w:p>
            <w:pPr>
              <w:pStyle w:val="TableContents"/>
              <w:bidi w:val="0"/>
              <w:spacing w:before="0" w:after="283"/>
              <w:jc w:val="left"/>
              <w:rPr/>
            </w:pPr>
            <w:r>
              <w:rPr/>
              <w:t>  </w:t>
            </w:r>
          </w:p>
        </w:tc>
        <w:tc>
          <w:tcPr>
            <w:tcW w:w="3082" w:type="dxa"/>
            <w:tcBorders/>
            <w:vAlign w:val="center"/>
          </w:tcPr>
          <w:p>
            <w:pPr>
              <w:pStyle w:val="TableContents"/>
              <w:bidi w:val="0"/>
              <w:spacing w:before="0" w:after="0"/>
              <w:jc w:val="center"/>
              <w:rPr>
                <w:b/>
                <w:spacing w:val="0"/>
              </w:rPr>
            </w:pPr>
            <w:r>
              <w:rPr>
                <w:b/>
                <w:spacing w:val="0"/>
              </w:rPr>
              <w:t>Principal activities</w:t>
            </w:r>
          </w:p>
        </w:tc>
      </w:tr>
      <w:tr>
        <w:trPr/>
        <w:tc>
          <w:tcPr>
            <w:tcW w:w="3759" w:type="dxa"/>
            <w:tcBorders/>
            <w:vAlign w:val="center"/>
          </w:tcPr>
          <w:p>
            <w:pPr>
              <w:pStyle w:val="TableContents"/>
              <w:bidi w:val="0"/>
              <w:spacing w:before="0" w:after="0"/>
              <w:jc w:val="left"/>
              <w:rPr>
                <w:spacing w:val="0"/>
                <w:u w:val="single"/>
              </w:rPr>
            </w:pPr>
            <w:r>
              <w:rPr>
                <w:spacing w:val="0"/>
                <w:u w:val="single"/>
              </w:rPr>
              <w:t>Subsidiaries:</w:t>
            </w:r>
          </w:p>
        </w:tc>
        <w:tc>
          <w:tcPr>
            <w:tcW w:w="12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82" w:type="dxa"/>
            <w:tcBorders/>
            <w:vAlign w:val="center"/>
          </w:tcPr>
          <w:p>
            <w:pPr>
              <w:pStyle w:val="TableContents"/>
              <w:bidi w:val="0"/>
              <w:spacing w:before="0" w:after="283"/>
              <w:jc w:val="left"/>
              <w:rPr>
                <w:sz w:val="4"/>
                <w:szCs w:val="4"/>
              </w:rPr>
            </w:pPr>
            <w:r>
              <w:rPr>
                <w:sz w:val="4"/>
                <w:szCs w:val="4"/>
              </w:rPr>
            </w:r>
          </w:p>
        </w:tc>
      </w:tr>
      <w:tr>
        <w:trPr/>
        <w:tc>
          <w:tcPr>
            <w:tcW w:w="37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Ehfly Technology Limited (“Ehfly”)</w:t>
            </w:r>
          </w:p>
        </w:tc>
        <w:tc>
          <w:tcPr>
            <w:tcW w:w="12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5, 2014</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100%</w:t>
            </w:r>
          </w:p>
        </w:tc>
        <w:tc>
          <w:tcPr>
            <w:tcW w:w="120" w:type="dxa"/>
            <w:tcBorders/>
            <w:vAlign w:val="center"/>
          </w:tcPr>
          <w:p>
            <w:pPr>
              <w:pStyle w:val="TableContents"/>
              <w:bidi w:val="0"/>
              <w:spacing w:before="0" w:after="283"/>
              <w:jc w:val="left"/>
              <w:rPr/>
            </w:pPr>
            <w:r>
              <w:rPr/>
              <w:t>  </w:t>
            </w:r>
          </w:p>
        </w:tc>
        <w:tc>
          <w:tcPr>
            <w:tcW w:w="3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 sales, investment holding</w:t>
            </w:r>
          </w:p>
        </w:tc>
      </w:tr>
      <w:tr>
        <w:trPr/>
        <w:tc>
          <w:tcPr>
            <w:tcW w:w="3759" w:type="dxa"/>
            <w:tcBorders/>
            <w:vAlign w:val="center"/>
          </w:tcPr>
          <w:p>
            <w:pPr>
              <w:pStyle w:val="TableContents"/>
              <w:bidi w:val="0"/>
              <w:spacing w:before="0" w:after="283"/>
              <w:jc w:val="left"/>
              <w:rPr>
                <w:sz w:val="4"/>
                <w:szCs w:val="4"/>
              </w:rPr>
            </w:pPr>
            <w:r>
              <w:rPr>
                <w:sz w:val="4"/>
                <w:szCs w:val="4"/>
              </w:rPr>
            </w:r>
          </w:p>
        </w:tc>
        <w:tc>
          <w:tcPr>
            <w:tcW w:w="1381"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EHang Intelligent Equipment Co., Ltd. (“EHang Intelligent” or the “WFOE”)</w:t>
            </w:r>
          </w:p>
        </w:tc>
        <w:tc>
          <w:tcPr>
            <w:tcW w:w="12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15, 2015</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100%</w:t>
            </w:r>
          </w:p>
        </w:tc>
        <w:tc>
          <w:tcPr>
            <w:tcW w:w="120" w:type="dxa"/>
            <w:tcBorders/>
            <w:vAlign w:val="center"/>
          </w:tcPr>
          <w:p>
            <w:pPr>
              <w:pStyle w:val="TableContents"/>
              <w:bidi w:val="0"/>
              <w:spacing w:before="0" w:after="283"/>
              <w:jc w:val="left"/>
              <w:rPr/>
            </w:pPr>
            <w:r>
              <w:rPr/>
              <w:t>  </w:t>
            </w:r>
          </w:p>
        </w:tc>
        <w:tc>
          <w:tcPr>
            <w:tcW w:w="3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manufacturing and product sales</w:t>
            </w:r>
          </w:p>
        </w:tc>
      </w:tr>
      <w:tr>
        <w:trPr/>
        <w:tc>
          <w:tcPr>
            <w:tcW w:w="3759" w:type="dxa"/>
            <w:tcBorders/>
            <w:vAlign w:val="center"/>
          </w:tcPr>
          <w:p>
            <w:pPr>
              <w:pStyle w:val="TableContents"/>
              <w:bidi w:val="0"/>
              <w:spacing w:before="0" w:after="283"/>
              <w:jc w:val="left"/>
              <w:rPr>
                <w:sz w:val="4"/>
                <w:szCs w:val="4"/>
              </w:rPr>
            </w:pPr>
            <w:r>
              <w:rPr>
                <w:sz w:val="4"/>
                <w:szCs w:val="4"/>
              </w:rPr>
            </w:r>
          </w:p>
        </w:tc>
        <w:tc>
          <w:tcPr>
            <w:tcW w:w="1381"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37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Yunfu EHang Intelligent Technology Limited (“EHang Yunfu”)</w:t>
            </w:r>
          </w:p>
        </w:tc>
        <w:tc>
          <w:tcPr>
            <w:tcW w:w="12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June 15, 2020</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96.2%</w:t>
            </w:r>
          </w:p>
        </w:tc>
        <w:tc>
          <w:tcPr>
            <w:tcW w:w="120" w:type="dxa"/>
            <w:tcBorders/>
            <w:vAlign w:val="center"/>
          </w:tcPr>
          <w:p>
            <w:pPr>
              <w:pStyle w:val="TableContents"/>
              <w:bidi w:val="0"/>
              <w:spacing w:before="0" w:after="283"/>
              <w:jc w:val="left"/>
              <w:rPr/>
            </w:pPr>
            <w:r>
              <w:rPr/>
              <w:t>  </w:t>
            </w:r>
          </w:p>
        </w:tc>
        <w:tc>
          <w:tcPr>
            <w:tcW w:w="3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manufacturing and product sales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73"/>
        <w:gridCol w:w="120"/>
        <w:gridCol w:w="1190"/>
        <w:gridCol w:w="120"/>
        <w:gridCol w:w="1025"/>
        <w:gridCol w:w="120"/>
        <w:gridCol w:w="3357"/>
      </w:tblGrid>
      <w:tr>
        <w:trPr/>
        <w:tc>
          <w:tcPr>
            <w:tcW w:w="427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273" w:type="dxa"/>
            <w:tcBorders/>
            <w:vAlign w:val="center"/>
          </w:tcPr>
          <w:p>
            <w:pPr>
              <w:pStyle w:val="TableContents"/>
              <w:bidi w:val="0"/>
              <w:spacing w:before="0" w:after="0"/>
              <w:jc w:val="left"/>
              <w:rPr>
                <w:b/>
                <w:spacing w:val="0"/>
              </w:rPr>
            </w:pPr>
            <w:r>
              <w:rPr>
                <w:b/>
                <w:spacing w:val="0"/>
              </w:rPr>
              <w:t>Entities</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Date of</w:t>
            </w:r>
          </w:p>
          <w:p>
            <w:pPr>
              <w:pStyle w:val="TableContents"/>
              <w:bidi w:val="0"/>
              <w:spacing w:before="0" w:after="0"/>
              <w:jc w:val="center"/>
              <w:rPr>
                <w:rFonts w:ascii="Times New Roman" w:hAnsi="Times New Roman"/>
                <w:b/>
                <w:sz w:val="16"/>
              </w:rPr>
            </w:pPr>
            <w:r>
              <w:rPr>
                <w:rFonts w:ascii="Times New Roman" w:hAnsi="Times New Roman"/>
                <w:b/>
                <w:sz w:val="16"/>
              </w:rPr>
              <w:t>incorporation</w:t>
            </w:r>
          </w:p>
          <w:p>
            <w:pPr>
              <w:pStyle w:val="TableContents"/>
              <w:bidi w:val="0"/>
              <w:spacing w:before="0" w:after="20"/>
              <w:jc w:val="center"/>
              <w:rPr>
                <w:rFonts w:ascii="Times New Roman" w:hAnsi="Times New Roman"/>
                <w:b/>
                <w:sz w:val="16"/>
              </w:rPr>
            </w:pPr>
            <w:r>
              <w:rPr>
                <w:rFonts w:ascii="Times New Roman" w:hAnsi="Times New Roman"/>
                <w:b/>
                <w:sz w:val="16"/>
              </w:rPr>
              <w:t>establishment</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Place of</w:t>
            </w:r>
          </w:p>
          <w:p>
            <w:pPr>
              <w:pStyle w:val="TableContents"/>
              <w:bidi w:val="0"/>
              <w:spacing w:before="0" w:after="0"/>
              <w:jc w:val="center"/>
              <w:rPr>
                <w:rFonts w:ascii="Times New Roman" w:hAnsi="Times New Roman"/>
                <w:b/>
                <w:sz w:val="16"/>
              </w:rPr>
            </w:pPr>
            <w:r>
              <w:rPr>
                <w:rFonts w:ascii="Times New Roman" w:hAnsi="Times New Roman"/>
                <w:b/>
                <w:sz w:val="16"/>
              </w:rPr>
              <w:t>incorporation</w:t>
            </w:r>
          </w:p>
          <w:p>
            <w:pPr>
              <w:pStyle w:val="TableContents"/>
              <w:bidi w:val="0"/>
              <w:spacing w:before="0" w:after="20"/>
              <w:jc w:val="center"/>
              <w:rPr>
                <w:rFonts w:ascii="Times New Roman" w:hAnsi="Times New Roman"/>
                <w:b/>
                <w:sz w:val="16"/>
              </w:rPr>
            </w:pPr>
            <w:r>
              <w:rPr>
                <w:rFonts w:ascii="Times New Roman" w:hAnsi="Times New Roman"/>
                <w:b/>
                <w:sz w:val="16"/>
              </w:rPr>
              <w:t>establishment</w:t>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center"/>
              <w:rPr>
                <w:b/>
                <w:spacing w:val="0"/>
              </w:rPr>
            </w:pPr>
            <w:r>
              <w:rPr>
                <w:b/>
                <w:spacing w:val="0"/>
              </w:rPr>
              <w:t>Principal activities</w:t>
            </w:r>
          </w:p>
        </w:tc>
      </w:tr>
      <w:tr>
        <w:trPr/>
        <w:tc>
          <w:tcPr>
            <w:tcW w:w="4273" w:type="dxa"/>
            <w:tcBorders/>
            <w:vAlign w:val="center"/>
          </w:tcPr>
          <w:p>
            <w:pPr>
              <w:pStyle w:val="TableContents"/>
              <w:bidi w:val="0"/>
              <w:spacing w:before="0" w:after="0"/>
              <w:jc w:val="left"/>
              <w:rPr>
                <w:spacing w:val="0"/>
                <w:u w:val="single"/>
              </w:rPr>
            </w:pPr>
            <w:r>
              <w:rPr>
                <w:spacing w:val="0"/>
                <w:u w:val="single"/>
              </w:rPr>
              <w:t>Variable Interest Entity</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283"/>
              <w:jc w:val="left"/>
              <w:rPr>
                <w:sz w:val="4"/>
                <w:szCs w:val="4"/>
              </w:rPr>
            </w:pPr>
            <w:r>
              <w:rPr>
                <w:sz w:val="4"/>
                <w:szCs w:val="4"/>
              </w:rPr>
            </w:r>
          </w:p>
        </w:tc>
      </w:tr>
      <w:tr>
        <w:trPr/>
        <w:tc>
          <w:tcPr>
            <w:tcW w:w="42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EHang Intelligent Technology Co., Ltd. (“EHang GZ” or the “VIE”)</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8, 2014</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manufacturing and product sales</w:t>
            </w:r>
          </w:p>
        </w:tc>
      </w:tr>
      <w:tr>
        <w:trPr/>
        <w:tc>
          <w:tcPr>
            <w:tcW w:w="4273" w:type="dxa"/>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4273" w:type="dxa"/>
            <w:tcBorders/>
            <w:vAlign w:val="center"/>
          </w:tcPr>
          <w:p>
            <w:pPr>
              <w:pStyle w:val="TableContents"/>
              <w:bidi w:val="0"/>
              <w:spacing w:before="0" w:after="0"/>
              <w:jc w:val="left"/>
              <w:rPr>
                <w:spacing w:val="0"/>
                <w:u w:val="single"/>
              </w:rPr>
            </w:pPr>
            <w:r>
              <w:rPr>
                <w:spacing w:val="0"/>
                <w:u w:val="single"/>
              </w:rPr>
              <w:t>VIE’s Subsidiaries</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283"/>
              <w:jc w:val="left"/>
              <w:rPr>
                <w:sz w:val="4"/>
                <w:szCs w:val="4"/>
              </w:rPr>
            </w:pPr>
            <w:r>
              <w:rPr>
                <w:sz w:val="4"/>
                <w:szCs w:val="4"/>
              </w:rPr>
            </w:r>
          </w:p>
        </w:tc>
      </w:tr>
      <w:tr>
        <w:trPr/>
        <w:tc>
          <w:tcPr>
            <w:tcW w:w="42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Guangdong EHang General Aviation Co., Ltd. (“EHang Aviation”)</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March 11, 2021</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Operational flight services</w:t>
            </w:r>
          </w:p>
        </w:tc>
      </w:tr>
      <w:tr>
        <w:trPr/>
        <w:tc>
          <w:tcPr>
            <w:tcW w:w="4273" w:type="dxa"/>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3477" w:type="dxa"/>
            <w:gridSpan w:val="2"/>
            <w:tcBorders/>
            <w:vAlign w:val="center"/>
          </w:tcPr>
          <w:p>
            <w:pPr>
              <w:pStyle w:val="TableContents"/>
              <w:bidi w:val="0"/>
              <w:spacing w:before="0" w:after="283"/>
              <w:jc w:val="left"/>
              <w:rPr>
                <w:sz w:val="4"/>
                <w:szCs w:val="4"/>
              </w:rPr>
            </w:pPr>
            <w:r>
              <w:rPr>
                <w:sz w:val="4"/>
                <w:szCs w:val="4"/>
              </w:rPr>
            </w:r>
          </w:p>
        </w:tc>
      </w:tr>
      <w:tr>
        <w:trPr/>
        <w:tc>
          <w:tcPr>
            <w:tcW w:w="42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Guangdong EHang Egret Media Technology Co., Ltd (“EHang Egret GD”)</w:t>
            </w:r>
          </w:p>
        </w:tc>
        <w:tc>
          <w:tcPr>
            <w:tcW w:w="12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July 6, 2016</w:t>
            </w:r>
          </w:p>
        </w:tc>
        <w:tc>
          <w:tcPr>
            <w:tcW w:w="12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Operational aerial media solutions</w:t>
            </w:r>
          </w:p>
          <w:p>
            <w:pPr>
              <w:pStyle w:val="TableContents"/>
              <w:bidi w:val="0"/>
              <w:spacing w:before="0" w:after="20"/>
              <w:jc w:val="left"/>
              <w:rPr>
                <w:rFonts w:ascii="Times New Roman" w:hAnsi="Times New Roman"/>
                <w:sz w:val="20"/>
              </w:rPr>
            </w:pPr>
            <w:r>
              <w:rPr>
                <w:rFonts w:ascii="Times New Roman" w:hAnsi="Times New Roman"/>
                <w:sz w:val="20"/>
              </w:rPr>
              <w:t>services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15"/>
        <w:gridCol w:w="4445"/>
      </w:tblGrid>
      <w:tr>
        <w:trPr/>
        <w:tc>
          <w:tcPr>
            <w:tcW w:w="215" w:type="dxa"/>
            <w:tcBorders/>
            <w:vAlign w:val="center"/>
          </w:tcPr>
          <w:p>
            <w:pPr>
              <w:pStyle w:val="TableContents"/>
              <w:bidi w:val="0"/>
              <w:spacing w:before="0" w:after="0"/>
              <w:jc w:val="left"/>
              <w:rPr>
                <w:b/>
                <w:spacing w:val="0"/>
              </w:rPr>
            </w:pPr>
            <w:r>
              <w:rPr>
                <w:b/>
                <w:spacing w:val="0"/>
              </w:rPr>
              <w:t>1.</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(Continued)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375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Principal subsidiaries and VIEs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Summary of the VIE contractual arrangements (the “VIE Contractual Agreements”)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conducts all of its business in China through its subsidiaries and the VIEs in the PRC. The Company’s subsidiary EHang Intelligent, or the WFOE, has entered into contractual arrangements with the VIE and its shareholders described below, which are referred to as the VIE Contractual Agreements. During the years ended December 31, 2023 and 2024, and for the eight-month ended August 31, 2025, the shareholders of the VIE (the “Nominee Shareholders”) are Mr. Shuai Feng and Mr. Weixian Xia, who are the Group’s employees. In September 2025, Mr. Shuai Feng, completed transfer all of his equity interests in the VIE to Mr. Huazhi Hu and concurrently, all rights and obligations of Mr. Shuai Feng under the VIE Contract Agreements were assigned to Mr. Huazhi Hu. After the transfer, Mr. Huazhi Hu and Mr. Weixian Xia has became the Nominee Shareholders. Through the Contractual Agreements, the Nominee Shareholders of the VIE effectively assigned all of their voting rights underlying their equity interests in the VIE to the WFOE, a wholly-owned entity of the Company, which further assigned the voting rights underlying their equity interests in the VIE to the Company. Therefore, the Company has the power to direct the activities of the VIE that most significantly impact their economic performance. The Company also has the right to receive economic benefits via the WFOE, and the obligation to absorb losses of the VIE, that potentially could be significant to the VIE. Through the VIE Contractual Agreements, the Company is considered the primary beneficiary of the VIEs for accounting purposes only and thus consolidates each of these entities under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ASC810-10,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Consolidation: Overall</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is a summary of the Contractual Agreements and its amendments among the Nominee Shareholders, the VIE, the WFOE and the Company: </w:t>
      </w:r>
    </w:p>
    <w:p>
      <w:pPr>
        <w:pStyle w:val="TextBody"/>
        <w:bidi w:val="0"/>
        <w:spacing w:before="240" w:after="0"/>
        <w:ind w:left="0" w:right="0" w:hanging="0"/>
        <w:jc w:val="left"/>
        <w:rPr>
          <w:rFonts w:ascii="Times New Roman" w:hAnsi="Times New Roman"/>
          <w:b/>
          <w:spacing w:val="0"/>
          <w:sz w:val="20"/>
        </w:rPr>
      </w:pPr>
      <w:r>
        <w:rPr>
          <w:rFonts w:ascii="Times New Roman" w:hAnsi="Times New Roman"/>
          <w:b/>
          <w:spacing w:val="0"/>
          <w:sz w:val="20"/>
        </w:rPr>
        <w:t xml:space="preserve">Special Agreement on the Capital Increase Arrangement of the VIE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The WFOE has granted interest-free loans with an aggregate amount of RMB</w:t>
      </w:r>
    </w:p>
    <w:p>
      <w:pPr>
        <w:pStyle w:val="TextBody"/>
        <w:bidi w:val="0"/>
        <w:spacing w:before="120" w:after="0"/>
        <w:jc w:val="left"/>
        <w:rPr>
          <w:rFonts w:ascii="Times New Roman" w:hAnsi="Times New Roman"/>
          <w:sz w:val="20"/>
        </w:rPr>
      </w:pPr>
      <w:r>
        <w:rPr>
          <w:rFonts w:ascii="Times New Roman" w:hAnsi="Times New Roman"/>
          <w:sz w:val="20"/>
        </w:rPr>
        <w:t>60,000</w:t>
      </w:r>
    </w:p>
    <w:p>
      <w:pPr>
        <w:pStyle w:val="TextBody"/>
        <w:bidi w:val="0"/>
        <w:spacing w:before="120" w:after="0"/>
        <w:jc w:val="left"/>
        <w:rPr>
          <w:spacing w:val="0"/>
        </w:rPr>
      </w:pPr>
      <w:r>
        <w:rPr>
          <w:spacing w:val="0"/>
        </w:rPr>
        <w:t> </w:t>
      </w:r>
      <w:r>
        <w:rPr>
          <w:rFonts w:ascii="Times New Roman" w:hAnsi="Times New Roman"/>
          <w:spacing w:val="0"/>
          <w:sz w:val="20"/>
        </w:rPr>
        <w:t xml:space="preserve">to the Nominee Shareholders of the VIE for the sole purpose of providing funds necessary for the capital increase to the VIE. The loans are repayable by such Nominee Shareholders through a transfer of their equity interests in the VIE to the WFOE, in proportion to the amount of the loans to be repaid. </w:t>
      </w:r>
    </w:p>
    <w:p>
      <w:pPr>
        <w:pStyle w:val="TextBody"/>
        <w:bidi w:val="0"/>
        <w:spacing w:before="24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Power of Attorney and Shareholders Voting Proxy 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Power of Attorney and Shareholders Voting Proxy Agreement entered into amongst the Nominee Shareholders, the VIE and the WFOE, the Nominee Shareholders authorized the WFOE to act on behalf of the Nominee Shareholders as exclusive agent and attorney with respect to all matters concerning the VIE’s equity interests, including but not limited to: (1) propose, convene and preside over the shareholders’ meetings of the VIE; (2) attend shareholders’ meetings of the VIE; (3) exercise all the shareholders’ rights, including voting rights; and (4) designate and appoint the senior management members of the VIE. The agreement stipulates that failure to remedy a breach within a reasonable period or ten days after written notice may result in liability. If the Nominee Shareholders or the VIE breach the agreement, the WFOE is entitled to terminate it and claim compensation. If the WFOE breaches,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non-defaulting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party may claim damages but does not have the right to terminate the agreement unless required by law. The proxy is irrevocable and continuously valid from the date of execution. The WFOE is entitled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re-authorize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or assign its rights related to the equity interest to any other person or entity at its own discretion and without giving prior notice to the Nominee Shareholders or obtaining their consents. In 2019, the WFOE reassigned its rights under the Power of Attorney and Shareholders Voting Proxy Agreement to the Company, pursuant to the Commitment Letter below. </w:t>
      </w:r>
    </w:p>
    <w:p>
      <w:pPr>
        <w:pStyle w:val="TextBody"/>
        <w:bidi w:val="0"/>
        <w:spacing w:before="24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Exclusive Option Agreements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Exclusive Option Agreements entered amongst the Nominee Shareholders, the VIE and WFOE, the Nominee Shareholders granted to WFOE or their designees an irrevocable and exclusive right to purchase all or part of the equity interests held by the Nominee Shareholders in the VIE at the WFOE’s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the WFOE or its designated party, to the extent permitted under PRC laws. In addition, the VIE and the Nominee Shareholders have agreed that without prior written consent of the WFOE, they will not: (i) create any pledge or encumbrance on their equity interests in the VIE, (ii) transfer or otherwise dispose of their equity interests in the VIE, or (iii) request any distribution of profits, income or any form of profit sharing, and any such assets that have been transferred to the shareholders of the VIE shall be returned to the WFOE or any entity designated by the WFOE. In addition, the Nominee Shareholders undertake that, upon the winding up of the VIE, all assets obtained by them shall be transferred to the WFOE or any entity designated by the WFOE at nil consideration or at the lowest price permissible under applicable PRC laws. The term of the agreement remains effective as long as each Nominee Shareholder remains a shareholder of the VIE. The WFOE may terminate the agreement at its sole discretion, whereas under no circumstances may the VIE or the Nominee Shareholders terminate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15"/>
        <w:gridCol w:w="4445"/>
      </w:tblGrid>
      <w:tr>
        <w:trPr/>
        <w:tc>
          <w:tcPr>
            <w:tcW w:w="215" w:type="dxa"/>
            <w:tcBorders/>
            <w:vAlign w:val="center"/>
          </w:tcPr>
          <w:p>
            <w:pPr>
              <w:pStyle w:val="TableContents"/>
              <w:bidi w:val="0"/>
              <w:spacing w:before="0" w:after="0"/>
              <w:jc w:val="left"/>
              <w:rPr>
                <w:b/>
                <w:spacing w:val="0"/>
              </w:rPr>
            </w:pPr>
            <w:r>
              <w:rPr>
                <w:b/>
                <w:spacing w:val="0"/>
              </w:rPr>
              <w:t>1.</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(Continued)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375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Principal subsidiaries and VIEs (Continued)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Summary of the VIE contractual arrangements (the “VIE Contractual Agreements”) (Continued) </w:t>
      </w:r>
    </w:p>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Exclusive Technical Consulting and Service 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Exclusive Technical Consulting and Service Agreement and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xclusive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ervices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greement between the WFOE and the VIE, the WFOE has the exclusive right to provide technical consulting and services to the VIE and its subsidiaries including but not limited to those relating to the development, manufacturing and sales of intelligent aerial vehicles. Without the WFOE’s prior written consent, the VIE </w:t>
      </w:r>
    </w:p>
    <w:p>
      <w:pPr>
        <w:pStyle w:val="TextBody"/>
        <w:bidi w:val="0"/>
        <w:spacing w:before="120" w:after="0"/>
        <w:jc w:val="left"/>
        <w:rPr>
          <w:rFonts w:ascii="Times New Roman" w:hAnsi="Times New Roman"/>
          <w:spacing w:val="0"/>
          <w:sz w:val="20"/>
        </w:rPr>
      </w:pPr>
      <w:r>
        <w:rPr>
          <w:rFonts w:ascii="Times New Roman" w:hAnsi="Times New Roman"/>
          <w:spacing w:val="0"/>
          <w:sz w:val="20"/>
        </w:rPr>
        <w:t>shall not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directly or indirectly, </w:t>
      </w:r>
    </w:p>
    <w:p>
      <w:pPr>
        <w:pStyle w:val="TextBody"/>
        <w:bidi w:val="0"/>
        <w:spacing w:before="120" w:after="0"/>
        <w:jc w:val="left"/>
        <w:rPr>
          <w:rFonts w:ascii="Times New Roman" w:hAnsi="Times New Roman"/>
          <w:spacing w:val="0"/>
          <w:sz w:val="20"/>
        </w:rPr>
      </w:pPr>
      <w:r>
        <w:rPr>
          <w:rFonts w:ascii="Times New Roman" w:hAnsi="Times New Roman"/>
          <w:spacing w:val="0"/>
          <w:sz w:val="20"/>
        </w:rPr>
        <w:t>o</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btain the same or similar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technical consulting services</w:t>
      </w:r>
    </w:p>
    <w:p>
      <w:pPr>
        <w:pStyle w:val="TextBody"/>
        <w:bidi w:val="0"/>
        <w:spacing w:before="120" w:after="0"/>
        <w:jc w:val="left"/>
        <w:rPr>
          <w:spacing w:val="0"/>
        </w:rPr>
      </w:pPr>
      <w:r>
        <w:rPr>
          <w:spacing w:val="0"/>
        </w:rPr>
        <w:t> </w:t>
      </w:r>
      <w:r>
        <w:rPr>
          <w:rFonts w:ascii="Times New Roman" w:hAnsi="Times New Roman"/>
          <w:spacing w:val="0"/>
          <w:sz w:val="20"/>
        </w:rPr>
        <w:t xml:space="preserve">as provided under this agreement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any third party. In return, the VIE agrees to pay a service fee equal to </w:t>
      </w:r>
    </w:p>
    <w:p>
      <w:pPr>
        <w:pStyle w:val="TextBody"/>
        <w:bidi w:val="0"/>
        <w:spacing w:before="120" w:after="0"/>
        <w:jc w:val="left"/>
        <w:rPr>
          <w:rFonts w:ascii="Times New Roman" w:hAnsi="Times New Roman"/>
          <w:sz w:val="20"/>
        </w:rPr>
      </w:pPr>
      <w:r>
        <w:rPr>
          <w:rFonts w:ascii="Times New Roman" w:hAnsi="Times New Roman"/>
          <w:sz w:val="20"/>
        </w:rPr>
        <w:t>100</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 of the consolidated net profits of the VIE after the VIE turns cumulative profitable and after certain expenses. The WFOE has sole discretion in determining the service fee charged to the VIE under this agreement. The WFOE will have exclusive ownership of all intellectual property rights created by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Exclusive Technical Consulting and Service Agreement and the Exclusive Services Agreement are valid for 10 years and shall be automatically renewed for successive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ten-year</w:t>
      </w:r>
    </w:p>
    <w:p>
      <w:pPr>
        <w:pStyle w:val="TextBody"/>
        <w:bidi w:val="0"/>
        <w:spacing w:before="120" w:after="0"/>
        <w:jc w:val="left"/>
        <w:rPr>
          <w:rFonts w:ascii="Times New Roman" w:hAnsi="Times New Roman"/>
          <w:sz w:val="20"/>
        </w:rPr>
      </w:pPr>
      <w:r>
        <w:rPr>
          <w:rFonts w:ascii="Times New Roman" w:hAnsi="Times New Roman"/>
          <w:sz w:val="20"/>
        </w:rPr>
        <w:t>periods without limitation on the number of renewals</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This agreement can be terminated by the WFOE at any time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without cause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but cannot be terminated by the VIE. </w:t>
      </w:r>
    </w:p>
    <w:p>
      <w:pPr>
        <w:pStyle w:val="TextBody"/>
        <w:bidi w:val="0"/>
        <w:spacing w:before="24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 Pledge Agreements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Share Pledge Agreements entered amongst the WFOE and the Nominee Shareholders, the Nominee Shareholders have pledged their entire equity interests in the VIE to the WFOE in favor of the WFOE to secure the VIE and their obligations under the various contractual agreements, including the Exclusive Technical Consulting and Service Agreements, the Exclusive Services Agreement, the Shareholders Voting Proxy Agreement and Exclusive Option Agreements described above. The WFOE, as pledgee, shall have the right to collect dividends generated by the pledged equity interests during the term of the pledge. If the Nominee Shareholders breach their respective contractual obligations under the Share Pledge Agreements, the WFOE, as pledgee, will be entitled to rights, including the right to dispose of the pledged equity interests entirely or partially. The Nominee Shareholders of the VIE agree not to create any encumbrance on or otherwise transfer or dispose of their respective equity interests in the VIE, without the prior consent of the WFOE. The Share Pledge Agreements will remain effective until the earlier of: (i) all the contractual obligations under the relevant agreement have been satisfied in full, (ii) the WFOE exercises its unilateral and unconditional right to terminate the share pledge agreements, or (iii) it is terminated as required by applicable PRC laws and regulations. The Company has completed the registration of all such share pledge of Mr. Weixian Xia and Mr. Huazhi Hu in March 2021 and September 2025, respectively, with the relevant office of Administration for the Industry and Commerce in accordance with the PRC Property Rights Law. </w:t>
      </w:r>
    </w:p>
    <w:p>
      <w:pPr>
        <w:pStyle w:val="TextBody"/>
        <w:bidi w:val="0"/>
        <w:spacing w:before="24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Commitment Letter in Respect of Shareholders Voting Proxy and Provision of Financial Support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Commitment Letter in Respect of Shareholders Voting Proxy and Provision of Financial Support (“Commitment Letter”), the WFOE irrevocably and unconditionally commits to execute its rights and obligations under the Power of Attorney and Shareholders Voting Proxy Agreement under the instruction of the Company. In addition, the Company is obligated and undertakes to provide unlimited financial support to the VIE, to the extent permissible under applicable PRC laws and regulations. Such financial support shall be interest-free and without a fixed term, and shall not be subject to early repayment unless with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Based on the opinion of the Company’s PRC legal counsel, the ownership structures of the WFOE and the VIE are in compliance with applicable PRC laws or regulations currently in effect; and each of the VIE Contractual Agreements is valid, legal and binding on the parties thereto under applicable PRC Laws currently in effect, and each party to the VIE Contractual Agreements is entitled to assert its respective rights and is obligated to perform its respective duties in accordance with the terms and conditions of each VIE Contractual Agreement, subject to applicable PRC Laws currently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15"/>
        <w:gridCol w:w="4445"/>
      </w:tblGrid>
      <w:tr>
        <w:trPr/>
        <w:tc>
          <w:tcPr>
            <w:tcW w:w="215" w:type="dxa"/>
            <w:tcBorders/>
            <w:vAlign w:val="center"/>
          </w:tcPr>
          <w:p>
            <w:pPr>
              <w:pStyle w:val="TableContents"/>
              <w:bidi w:val="0"/>
              <w:spacing w:before="0" w:after="0"/>
              <w:jc w:val="left"/>
              <w:rPr>
                <w:b/>
                <w:spacing w:val="0"/>
              </w:rPr>
            </w:pPr>
            <w:r>
              <w:rPr>
                <w:b/>
                <w:spacing w:val="0"/>
              </w:rPr>
              <w:t>1.</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(Continued)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375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Principal subsidiaries and VIEs (Continued)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Summary of the VIE contractual arrangements (the “VIE Contractual Agreements”) (Continued) </w:t>
      </w:r>
    </w:p>
    <w:p>
      <w:pPr>
        <w:pStyle w:val="TextBody"/>
        <w:bidi w:val="0"/>
        <w:spacing w:before="0" w:after="0"/>
        <w:jc w:val="left"/>
        <w:rPr/>
      </w:pPr>
      <w:r>
        <w:rPr/>
        <w:t> </w:t>
      </w:r>
    </w:p>
    <w:p>
      <w:pPr>
        <w:pStyle w:val="TextBody"/>
        <w:bidi w:val="0"/>
        <w:spacing w:lineRule="atLeast" w:line="220" w:before="0" w:after="0"/>
        <w:ind w:left="0" w:right="0" w:hanging="0"/>
        <w:jc w:val="left"/>
        <w:rPr>
          <w:rFonts w:ascii="Times New Roman" w:hAnsi="Times New Roman"/>
          <w:spacing w:val="0"/>
          <w:sz w:val="20"/>
        </w:rPr>
      </w:pPr>
      <w:r>
        <w:rPr>
          <w:rFonts w:ascii="Times New Roman" w:hAnsi="Times New Roman"/>
          <w:spacing w:val="0"/>
          <w:sz w:val="20"/>
        </w:rPr>
        <w:t xml:space="preserve">However, certain uncertainties regarding the interpretation and application of current or future PRC Laws could cause the relevant regulatory authorities to find the current Contractual Agreements and businesses to be in violation of any existing or future PRC laws or regulations. If the Company, the WFOE or any of their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revocation of business and operating licenses, being required to discontinue or restrict its business operations, restriction of the Group’s right to collect revenues, being required to restructure its operations, imposition of additional conditions or requirements with which the Group may not be able to comply, or other regulatory or enforcement actions against the Group that could be harmful to its business. The imposition of any of these or other penalties would result in a material and adverse effect on the Group’s ability to conduct its business. In addition, if the imposition of any of these government actions causes the Company to lose the rights to direct the activities of the VIE or the right to receive substantially all of the economic benefits, and the Group are not able to restructure the ownership structure and operations in a satisfactory manner, the Company would no longer be able to consolidate the VIE. </w:t>
      </w:r>
    </w:p>
    <w:p>
      <w:pPr>
        <w:pStyle w:val="TextBody"/>
        <w:bidi w:val="0"/>
        <w:spacing w:lineRule="atLeast" w:line="220" w:before="80" w:after="0"/>
        <w:ind w:left="0" w:right="0" w:hanging="0"/>
        <w:jc w:val="left"/>
        <w:rPr>
          <w:rFonts w:ascii="Times New Roman" w:hAnsi="Times New Roman"/>
          <w:spacing w:val="0"/>
          <w:sz w:val="20"/>
        </w:rPr>
      </w:pPr>
      <w:r>
        <w:rPr>
          <w:rFonts w:ascii="Times New Roman" w:hAnsi="Times New Roman"/>
          <w:spacing w:val="0"/>
          <w:sz w:val="20"/>
        </w:rPr>
        <w:t xml:space="preserve">The following financial statement balances and amounts of the Group’s VIEs were included in the accompanying consolidated </w:t>
      </w:r>
    </w:p>
    <w:p>
      <w:pPr>
        <w:pStyle w:val="TextBody"/>
        <w:bidi w:val="0"/>
        <w:spacing w:lineRule="atLeast" w:line="220" w:before="80" w:after="0"/>
        <w:jc w:val="left"/>
        <w:rPr>
          <w:rFonts w:ascii="Times New Roman" w:hAnsi="Times New Roman"/>
          <w:spacing w:val="0"/>
          <w:sz w:val="20"/>
        </w:rPr>
      </w:pPr>
      <w:r>
        <w:rPr>
          <w:rFonts w:ascii="Times New Roman" w:hAnsi="Times New Roman"/>
          <w:spacing w:val="0"/>
          <w:sz w:val="20"/>
        </w:rPr>
        <w:t xml:space="preserve">financial </w:t>
      </w:r>
    </w:p>
    <w:p>
      <w:pPr>
        <w:pStyle w:val="TextBody"/>
        <w:bidi w:val="0"/>
        <w:spacing w:lineRule="atLeast" w:line="220" w:before="80" w:after="0"/>
        <w:jc w:val="left"/>
        <w:rPr>
          <w:rFonts w:ascii="Times New Roman" w:hAnsi="Times New Roman"/>
          <w:spacing w:val="0"/>
          <w:sz w:val="20"/>
        </w:rPr>
      </w:pPr>
      <w:r>
        <w:rPr>
          <w:rFonts w:ascii="Times New Roman" w:hAnsi="Times New Roman"/>
          <w:spacing w:val="0"/>
          <w:sz w:val="20"/>
        </w:rPr>
        <w:t xml:space="preserve">statements: </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4265"/>
        <w:gridCol w:w="120"/>
        <w:gridCol w:w="60"/>
        <w:gridCol w:w="800"/>
        <w:gridCol w:w="60"/>
        <w:gridCol w:w="120"/>
        <w:gridCol w:w="60"/>
        <w:gridCol w:w="800"/>
        <w:gridCol w:w="60"/>
        <w:gridCol w:w="120"/>
        <w:gridCol w:w="60"/>
        <w:gridCol w:w="680"/>
        <w:gridCol w:w="75"/>
      </w:tblGrid>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8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0"/>
              <w:jc w:val="left"/>
              <w:rPr>
                <w:spacing w:val="0"/>
              </w:rPr>
            </w:pPr>
            <w:r>
              <w:rPr>
                <w:spacing w:val="0"/>
              </w:rPr>
              <w:t> </w:t>
            </w:r>
          </w:p>
        </w:tc>
      </w:tr>
      <w:tr>
        <w:trPr/>
        <w:tc>
          <w:tcPr>
            <w:tcW w:w="4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42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0"/>
              <w:jc w:val="left"/>
              <w:rPr>
                <w:spacing w:val="0"/>
              </w:rPr>
            </w:pPr>
            <w:r>
              <w:rPr>
                <w:spacing w:val="0"/>
              </w:rPr>
              <w:t> </w:t>
            </w:r>
          </w:p>
        </w:tc>
      </w:tr>
      <w:tr>
        <w:trPr/>
        <w:tc>
          <w:tcPr>
            <w:tcW w:w="4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2,963</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889</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2,319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332</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28,495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4,075</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the Company and its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86,496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11,414</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61,259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8,760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equity method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17,622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2,520</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Deferred tax assets - non-current</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right"/>
              <w:rPr/>
            </w:pPr>
            <w:r>
              <w:rPr/>
              <w:t>3,305</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right"/>
              <w:rPr/>
            </w:pPr>
            <w:r>
              <w:rPr/>
              <w:t>473</w:t>
            </w:r>
          </w:p>
        </w:tc>
        <w:tc>
          <w:tcPr>
            <w:tcW w:w="75" w:type="dxa"/>
            <w:tcBorders/>
            <w:vAlign w:val="center"/>
          </w:tcPr>
          <w:p>
            <w:pPr>
              <w:pStyle w:val="TableContents"/>
              <w:bidi w:val="0"/>
              <w:spacing w:before="0" w:after="0"/>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pPr>
            <w:r>
              <w:rPr/>
              <w:t>15,310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right"/>
              <w:rPr/>
            </w:pPr>
            <w:r>
              <w:rPr/>
              <w:t>2,189</w:t>
            </w:r>
          </w:p>
        </w:tc>
        <w:tc>
          <w:tcPr>
            <w:tcW w:w="75" w:type="dxa"/>
            <w:tcBorders/>
            <w:shd w:fill="CCEEFF" w:val="clear"/>
            <w:vAlign w:val="center"/>
          </w:tcPr>
          <w:p>
            <w:pPr>
              <w:pStyle w:val="TableContents"/>
              <w:bidi w:val="0"/>
              <w:spacing w:before="0" w:after="0"/>
              <w:jc w:val="left"/>
              <w:rPr/>
            </w:pPr>
            <w:r>
              <w:rPr/>
              <w:t> </w:t>
            </w:r>
          </w:p>
        </w:tc>
      </w:tr>
      <w:tr>
        <w:trPr/>
        <w:tc>
          <w:tcPr>
            <w:tcW w:w="42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123,492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235,469</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b/>
              </w:rPr>
            </w:pPr>
            <w:r>
              <w:rPr>
                <w:b/>
              </w:rPr>
              <w:t>33,673</w:t>
            </w:r>
          </w:p>
        </w:tc>
        <w:tc>
          <w:tcPr>
            <w:tcW w:w="75" w:type="dxa"/>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294</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long-term bank loans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286</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current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39,877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5,702</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to the Company and its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82,179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99,244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14,192</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right"/>
              <w:rPr/>
            </w:pPr>
            <w:r>
              <w:rPr/>
              <w:t>8</w:t>
            </w:r>
          </w:p>
        </w:tc>
        <w:tc>
          <w:tcPr>
            <w:tcW w:w="75" w:type="dxa"/>
            <w:tcBorders/>
            <w:shd w:fill="CCEEFF" w:val="clear"/>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bank loans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715</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Unrecognized tax benefit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84</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128,604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right"/>
              <w:rPr>
                <w:b/>
              </w:rPr>
            </w:pPr>
            <w:r>
              <w:rPr>
                <w:b/>
              </w:rPr>
              <w:t>150,117</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right"/>
              <w:rPr>
                <w:b/>
              </w:rPr>
            </w:pPr>
            <w:r>
              <w:rPr>
                <w:b/>
              </w:rPr>
              <w:t>21,466</w:t>
            </w:r>
          </w:p>
        </w:tc>
        <w:tc>
          <w:tcPr>
            <w:tcW w:w="75" w:type="dxa"/>
            <w:tcBorders/>
            <w:vAlign w:val="center"/>
          </w:tcPr>
          <w:p>
            <w:pPr>
              <w:pStyle w:val="TableContents"/>
              <w:bidi w:val="0"/>
              <w:spacing w:before="0" w:after="0"/>
              <w:jc w:val="left"/>
              <w:rPr/>
            </w:pPr>
            <w:r>
              <w:rPr/>
              <w:t> </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F- 1</w:t>
      </w:r>
    </w:p>
    <w:p>
      <w:pPr>
        <w:pStyle w:val="TextBody"/>
        <w:bidi w:val="0"/>
        <w:spacing w:before="0" w:after="0"/>
        <w:jc w:val="center"/>
        <w:rPr>
          <w:rFonts w:ascii="Times New Roman" w:hAnsi="Times New Roman"/>
          <w:spacing w:val="0"/>
          <w:sz w:val="20"/>
        </w:rPr>
      </w:pPr>
      <w:r>
        <w:rPr>
          <w:rFonts w:ascii="Times New Roman" w:hAnsi="Times New Roman"/>
          <w:spacing w:val="0"/>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15"/>
        <w:gridCol w:w="4445"/>
      </w:tblGrid>
      <w:tr>
        <w:trPr/>
        <w:tc>
          <w:tcPr>
            <w:tcW w:w="215" w:type="dxa"/>
            <w:tcBorders/>
            <w:vAlign w:val="center"/>
          </w:tcPr>
          <w:p>
            <w:pPr>
              <w:pStyle w:val="TableContents"/>
              <w:bidi w:val="0"/>
              <w:spacing w:before="0" w:after="0"/>
              <w:jc w:val="left"/>
              <w:rPr>
                <w:b/>
                <w:spacing w:val="0"/>
              </w:rPr>
            </w:pPr>
            <w:r>
              <w:rPr>
                <w:b/>
                <w:spacing w:val="0"/>
              </w:rPr>
              <w:t>1.</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(Continued)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375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Principal subsidiaries and VIEs (Continued) </w:t>
            </w:r>
          </w:p>
        </w:tc>
      </w:tr>
    </w:tbl>
    <w:p>
      <w:pPr>
        <w:pStyle w:val="TextBody"/>
        <w:bidi w:val="0"/>
        <w:spacing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4235"/>
        <w:gridCol w:w="120"/>
        <w:gridCol w:w="60"/>
        <w:gridCol w:w="755"/>
        <w:gridCol w:w="155"/>
        <w:gridCol w:w="120"/>
        <w:gridCol w:w="60"/>
        <w:gridCol w:w="800"/>
        <w:gridCol w:w="155"/>
        <w:gridCol w:w="120"/>
        <w:gridCol w:w="60"/>
        <w:gridCol w:w="800"/>
        <w:gridCol w:w="95"/>
        <w:gridCol w:w="120"/>
        <w:gridCol w:w="60"/>
        <w:gridCol w:w="680"/>
        <w:gridCol w:w="110"/>
      </w:tblGrid>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4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1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1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32,808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123,960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160,250</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22,915</w:t>
            </w:r>
          </w:p>
        </w:tc>
        <w:tc>
          <w:tcPr>
            <w:tcW w:w="11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Third-party revenue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9,225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5,553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6,671</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954</w:t>
            </w:r>
          </w:p>
        </w:tc>
        <w:tc>
          <w:tcPr>
            <w:tcW w:w="11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Inter-company revenue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23,583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118,407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153,579</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21,961</w:t>
            </w:r>
          </w:p>
        </w:tc>
        <w:tc>
          <w:tcPr>
            <w:tcW w:w="11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(5,234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66,234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68,366</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9,776</w:t>
            </w:r>
          </w:p>
        </w:tc>
        <w:tc>
          <w:tcPr>
            <w:tcW w:w="11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14,870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33,738</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4,824</w:t>
            </w:r>
          </w:p>
        </w:tc>
        <w:tc>
          <w:tcPr>
            <w:tcW w:w="11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(17,007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(14,096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(17,885</w:t>
            </w:r>
          </w:p>
        </w:tc>
        <w:tc>
          <w:tcPr>
            <w:tcW w:w="95"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(2,557</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w:t>
            </w:r>
          </w:p>
        </w:tc>
        <w:tc>
          <w:tcPr>
            <w:tcW w:w="110"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13,853</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1,981</w:t>
            </w:r>
          </w:p>
        </w:tc>
        <w:tc>
          <w:tcPr>
            <w:tcW w:w="11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than the amounts due to the Company and its subsidiaries (which are eliminated upon consolidation), all remaining liabilities of the VIE are without recourse to the primary beneficiary. The Company did not provide or intend to provide financial or other supports that are not previously contractually required to the VIEs during the years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revenue-producing assets that are held by the VIEs comprise mainly of permits, domain names, intellectual property rights, operating licenses, intangible assets and fixed assets. The VIEs contributed an aggregate of 7.86%, 1.22% and 1.60% of the Group’s consolidated revenues for the years ended December 31, 2023, 2024 and 2025, respectively, after elimination of inter-company transactions.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VIEs contributed net loss of </w:t>
      </w:r>
    </w:p>
    <w:p>
      <w:pPr>
        <w:pStyle w:val="TextBody"/>
        <w:bidi w:val="0"/>
        <w:spacing w:before="120" w:after="0"/>
        <w:jc w:val="left"/>
        <w:rPr>
          <w:rFonts w:ascii="Times New Roman" w:hAnsi="Times New Roman"/>
          <w:sz w:val="20"/>
        </w:rPr>
      </w:pPr>
      <w:r>
        <w:rPr>
          <w:rFonts w:ascii="Times New Roman" w:hAnsi="Times New Roman"/>
          <w:sz w:val="20"/>
        </w:rPr>
        <w:t>RMB26,013, RMB51,893 and</w:t>
      </w:r>
    </w:p>
    <w:p>
      <w:pPr>
        <w:pStyle w:val="TextBody"/>
        <w:bidi w:val="0"/>
        <w:spacing w:before="120" w:after="0"/>
        <w:ind w:left="0" w:right="0" w:hanging="0"/>
        <w:jc w:val="left"/>
        <w:rPr>
          <w:spacing w:val="0"/>
        </w:rPr>
      </w:pPr>
      <w:r>
        <w:rPr>
          <w:spacing w:val="0"/>
        </w:rPr>
        <w:t> </w:t>
      </w:r>
      <w:r>
        <w:rPr>
          <w:rFonts w:ascii="Times New Roman" w:hAnsi="Times New Roman"/>
          <w:spacing w:val="0"/>
          <w:sz w:val="20"/>
        </w:rPr>
        <w:t>net profit of</w:t>
      </w:r>
    </w:p>
    <w:p>
      <w:pPr>
        <w:pStyle w:val="TextBody"/>
        <w:bidi w:val="0"/>
        <w:spacing w:before="120" w:after="0"/>
        <w:jc w:val="left"/>
        <w:rPr/>
      </w:pPr>
      <w:r>
        <w:rPr/>
        <w:t> </w:t>
      </w:r>
      <w:r>
        <w:rPr>
          <w:rFonts w:ascii="Times New Roman" w:hAnsi="Times New Roman"/>
          <w:sz w:val="20"/>
        </w:rPr>
        <w:t xml:space="preserve">RMB52,435 (US$7,498) of the Group’s consolidated net loss for the years ended December 31, 2023, 2024 and 2025, respectively, after elimination of inter-company transactions. There are no consolidated VIE’s assets that are pledged or collateralized for the VIE’s obligations which can only be used to settle the VIE’s obligations, except for the registered capital and the statutory reserves. Relevant PRC laws and regulations restrict the VIE from transferring a portion of its net assets, equivalent to the balance of its statutory reserves and its share capital, to the Company in the form of loans and advances or cash dividends (Note 22). Creditors of the VIE do not have recourse to the general credit of the Company for any of the liabilities of the VIE. </w:t>
      </w:r>
    </w:p>
    <w:p>
      <w:pPr>
        <w:pStyle w:val="TextBody"/>
        <w:bidi w:val="0"/>
        <w:spacing w:before="0" w:after="0"/>
        <w:jc w:val="left"/>
        <w:rPr/>
      </w:pPr>
      <w:r>
        <w:rPr/>
        <w:t> </w:t>
      </w:r>
    </w:p>
    <w:tbl>
      <w:tblPr>
        <w:tblW w:w="2860" w:type="dxa"/>
        <w:jc w:val="left"/>
        <w:tblInd w:w="0" w:type="dxa"/>
        <w:tblLayout w:type="fixed"/>
        <w:tblCellMar>
          <w:top w:w="0" w:type="dxa"/>
          <w:left w:w="0" w:type="dxa"/>
          <w:bottom w:w="0" w:type="dxa"/>
          <w:right w:w="0" w:type="dxa"/>
        </w:tblCellMar>
      </w:tblPr>
      <w:tblGrid>
        <w:gridCol w:w="290"/>
        <w:gridCol w:w="2570"/>
      </w:tblGrid>
      <w:tr>
        <w:trPr/>
        <w:tc>
          <w:tcPr>
            <w:tcW w:w="290" w:type="dxa"/>
            <w:tcBorders/>
            <w:vAlign w:val="center"/>
          </w:tcPr>
          <w:p>
            <w:pPr>
              <w:pStyle w:val="TableContents"/>
              <w:bidi w:val="0"/>
              <w:spacing w:before="0" w:after="0"/>
              <w:jc w:val="left"/>
              <w:rPr>
                <w:b/>
                <w:spacing w:val="0"/>
              </w:rPr>
            </w:pPr>
            <w:r>
              <w:rPr>
                <w:b/>
                <w:spacing w:val="0"/>
              </w:rPr>
              <w:t>(c)</w:t>
            </w:r>
          </w:p>
        </w:tc>
        <w:tc>
          <w:tcPr>
            <w:tcW w:w="25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Liquidity and Going Concern </w:t>
            </w:r>
          </w:p>
        </w:tc>
      </w:tr>
    </w:tbl>
    <w:p>
      <w:pPr>
        <w:pStyle w:val="TextBody"/>
        <w:bidi w:val="0"/>
        <w:spacing w:before="120" w:after="0"/>
        <w:jc w:val="left"/>
        <w:rPr>
          <w:rFonts w:ascii="Times New Roman" w:hAnsi="Times New Roman"/>
          <w:sz w:val="20"/>
        </w:rPr>
      </w:pPr>
      <w:r>
        <w:rPr>
          <w:rFonts w:ascii="Times New Roman" w:hAnsi="Times New Roman"/>
          <w:sz w:val="20"/>
        </w:rPr>
        <w:t>The Group has been incurring losses from operations since inception. For the years ended December 31, 2023, 2024 and 2025, the Group incurred net losses of RMB302,341, RMB230,032 and RMB276,411 (US$39,527</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respectively</w:t>
      </w:r>
    </w:p>
    <w:p>
      <w:pPr>
        <w:pStyle w:val="TextBody"/>
        <w:bidi w:val="0"/>
        <w:spacing w:before="120" w:after="0"/>
        <w:jc w:val="left"/>
        <w:rPr>
          <w:rFonts w:ascii="Times New Roman" w:hAnsi="Times New Roman"/>
          <w:sz w:val="20"/>
        </w:rPr>
      </w:pPr>
      <w:r>
        <w:rPr>
          <w:rFonts w:ascii="Times New Roman" w:hAnsi="Times New Roman"/>
          <w:sz w:val="20"/>
        </w:rPr>
        <w:t>. As of December 31, 2024 and 2025, accumulated deficits amounted to RMB1,984,851 and RMB2,262,358 (US$323,513</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respectively. Net cash used in operating activities was RMB</w:t>
      </w:r>
    </w:p>
    <w:p>
      <w:pPr>
        <w:pStyle w:val="TextBody"/>
        <w:bidi w:val="0"/>
        <w:spacing w:before="120" w:after="0"/>
        <w:jc w:val="left"/>
        <w:rPr>
          <w:rFonts w:ascii="Times New Roman" w:hAnsi="Times New Roman"/>
          <w:sz w:val="20"/>
        </w:rPr>
      </w:pPr>
      <w:r>
        <w:rPr>
          <w:rFonts w:ascii="Times New Roman" w:hAnsi="Times New Roman"/>
          <w:sz w:val="20"/>
        </w:rPr>
        <w:t>88,410 and RMB179,506 (US$25,668</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for the years ended December 31, 2023 and 2025, and net cash generated from operating activities was RMB</w:t>
      </w:r>
    </w:p>
    <w:p>
      <w:pPr>
        <w:pStyle w:val="TextBody"/>
        <w:bidi w:val="0"/>
        <w:spacing w:before="120" w:after="0"/>
        <w:jc w:val="left"/>
        <w:rPr>
          <w:rFonts w:ascii="Times New Roman" w:hAnsi="Times New Roman"/>
          <w:sz w:val="20"/>
        </w:rPr>
      </w:pPr>
      <w:r>
        <w:rPr>
          <w:rFonts w:ascii="Times New Roman" w:hAnsi="Times New Roman"/>
          <w:sz w:val="20"/>
        </w:rPr>
        <w:t xml:space="preserve">157,959 for the year ended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 Group’s balance of cash and cash equivalents, short-term investments and restricted short-term deposits were RMB256,400 (US$36,665), RMB843,232 (US$120,581) and RMB29,655 (US$4,241),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215"/>
        <w:gridCol w:w="4445"/>
      </w:tblGrid>
      <w:tr>
        <w:trPr/>
        <w:tc>
          <w:tcPr>
            <w:tcW w:w="215" w:type="dxa"/>
            <w:tcBorders/>
            <w:vAlign w:val="center"/>
          </w:tcPr>
          <w:p>
            <w:pPr>
              <w:pStyle w:val="TableContents"/>
              <w:bidi w:val="0"/>
              <w:spacing w:before="0" w:after="0"/>
              <w:jc w:val="left"/>
              <w:rPr>
                <w:b/>
                <w:spacing w:val="0"/>
              </w:rPr>
            </w:pPr>
            <w:r>
              <w:rPr>
                <w:b/>
                <w:spacing w:val="0"/>
              </w:rPr>
              <w:t>1.</w:t>
            </w:r>
          </w:p>
        </w:tc>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Nature of Operations (Continued)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290"/>
        <w:gridCol w:w="3545"/>
      </w:tblGrid>
      <w:tr>
        <w:trPr/>
        <w:tc>
          <w:tcPr>
            <w:tcW w:w="290" w:type="dxa"/>
            <w:tcBorders/>
            <w:vAlign w:val="center"/>
          </w:tcPr>
          <w:p>
            <w:pPr>
              <w:pStyle w:val="TableContents"/>
              <w:bidi w:val="0"/>
              <w:spacing w:before="0" w:after="0"/>
              <w:jc w:val="left"/>
              <w:rPr>
                <w:b/>
                <w:i/>
                <w:caps w:val="false"/>
                <w:smallCaps w:val="false"/>
                <w:spacing w:val="0"/>
              </w:rPr>
            </w:pPr>
            <w:r>
              <w:rPr>
                <w:b/>
                <w:i/>
                <w:caps w:val="false"/>
                <w:smallCaps w:val="false"/>
                <w:spacing w:val="0"/>
              </w:rPr>
              <w:t>(c)</w:t>
            </w:r>
          </w:p>
        </w:tc>
        <w:tc>
          <w:tcPr>
            <w:tcW w:w="354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Group’s liquidity is based on its ability to enhance its operating cash flow position, obtain capital financing from equity interest investors and borrow funds to fund its general operations, research and development activities and capital expenditures. The Group’s ability to continue as a going concern is dependent on management’s ability to execute its business plan successfully, which includes increasing market acceptance of the Group’s products to boost its sales volume to achieve economies of scale while applying more effective marketing strategies and cost control measures to better manage operating cash flow position and obtaining funds from outside sources of financing to generate positive financing cash flows.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concluded that its existing balance of cash and cash equivalents, short-term investments and restricted short-term deposits as of December 31, 2025 provide the Group with sufficient liquidity to meet its working capital requirements and contractual (including debt) obligations for the next twelve months following the issuance of the consolidated financial statements. Accordingly, the consolidated financial statements have been prepared on a going concern basis, which contemplates the realization of assets and liquidation of liabilities during the normal course of operations.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2.</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305"/>
        <w:gridCol w:w="182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(a)</w:t>
            </w:r>
          </w:p>
        </w:tc>
        <w:tc>
          <w:tcPr>
            <w:tcW w:w="18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financial statements have been prepared in accordance with accounting principles generally accepted in the United States of America (“U.S. GAAP”) to reflect the financial position, results of operations and cash flows of the Group. Significant accounting policies followed by the Group in the preparation of the accompanying consolidated financial statements are summarized below.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305"/>
        <w:gridCol w:w="231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231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its subsidiaries and the VIEs, for which the Company is the ultimate primary beneficiary. All significant inter-company transactions and balances between the Company, its subsidiaries, and the VIEs have been eliminated upon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 </w:t>
      </w:r>
    </w:p>
    <w:p>
      <w:pPr>
        <w:pStyle w:val="TextBody"/>
        <w:bidi w:val="0"/>
        <w:spacing w:before="120" w:after="0"/>
        <w:jc w:val="left"/>
        <w:rPr>
          <w:rFonts w:ascii="Times New Roman" w:hAnsi="Times New Roman"/>
          <w:sz w:val="20"/>
        </w:rPr>
      </w:pPr>
      <w:r>
        <w:rPr>
          <w:rFonts w:ascii="Times New Roman" w:hAnsi="Times New Roman"/>
          <w:sz w:val="20"/>
        </w:rPr>
        <w:t xml:space="preserve">A VIE is an entity in which the Company, or its subsidiary, through contractual arrangements, bears the risks of, and enjoys the rewards normally associated with, ownership of the entity, and therefore the Company or its subsidiary is the primary beneficiary of the entity. In determining whether the Company or its subsidiaries are the primary beneficiary, the Company considered whether it has the power to direct activities that are significant to the VIE’s economic performance, and also the Company’s obligation to absorb losses of the VIE that could potentially be significant to the VIE or the right to receive benefits from the VIE that could potentially be significant to the VIE.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2</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15"/>
        <w:gridCol w:w="3755"/>
      </w:tblGrid>
      <w:tr>
        <w:trPr/>
        <w:tc>
          <w:tcPr>
            <w:tcW w:w="215" w:type="dxa"/>
            <w:tcBorders/>
            <w:vAlign w:val="center"/>
          </w:tcPr>
          <w:p>
            <w:pPr>
              <w:pStyle w:val="TableContents"/>
              <w:bidi w:val="0"/>
              <w:spacing w:before="0" w:after="0"/>
              <w:jc w:val="left"/>
              <w:rPr>
                <w:b/>
                <w:spacing w:val="0"/>
              </w:rPr>
            </w:pPr>
            <w:r>
              <w:rPr>
                <w:b/>
                <w:spacing w:val="0"/>
              </w:rPr>
              <w:t>2.</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Summary of Significant Accounting Policies</w:t>
            </w:r>
          </w:p>
          <w:p>
            <w:pPr>
              <w:pStyle w:val="TableContents"/>
              <w:bidi w:val="0"/>
              <w:spacing w:before="0" w:after="0"/>
              <w:jc w:val="left"/>
              <w:rPr>
                <w:spacing w:val="0"/>
              </w:rPr>
            </w:pPr>
            <w:r>
              <w:rPr>
                <w:spacing w:val="0"/>
              </w:rPr>
              <w:t> </w:t>
            </w:r>
            <w:r>
              <w:rPr>
                <w:rFonts w:ascii="Times New Roman" w:hAnsi="Times New Roman"/>
                <w:b/>
                <w:spacing w:val="0"/>
                <w:sz w:val="20"/>
              </w:rPr>
              <w:t>(Continued)</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290"/>
        <w:gridCol w:w="1400"/>
      </w:tblGrid>
      <w:tr>
        <w:trPr/>
        <w:tc>
          <w:tcPr>
            <w:tcW w:w="290" w:type="dxa"/>
            <w:tcBorders/>
            <w:vAlign w:val="center"/>
          </w:tcPr>
          <w:p>
            <w:pPr>
              <w:pStyle w:val="TableContents"/>
              <w:bidi w:val="0"/>
              <w:spacing w:before="0" w:after="0"/>
              <w:jc w:val="left"/>
              <w:rPr>
                <w:b/>
                <w:i/>
                <w:caps w:val="false"/>
                <w:smallCaps w:val="false"/>
                <w:spacing w:val="0"/>
              </w:rPr>
            </w:pPr>
            <w:r>
              <w:rPr>
                <w:b/>
                <w:i/>
                <w:caps w:val="false"/>
                <w:smallCaps w:val="false"/>
                <w:spacing w:val="0"/>
              </w:rPr>
              <w:t>(c)</w:t>
            </w:r>
          </w:p>
        </w:tc>
        <w:tc>
          <w:tcPr>
            <w:tcW w:w="140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Use of estimates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preparation of financial statements in conformity with U.S. GAAP requires management to make estimates and assumptions that affect the reported amounts of assets and liabilities at the balance sheet date and revenues and expenses during the reporting periods in the consolidated financial statements and accompanying notes. Significant estimates and assumptions reflected in the Group’s consolidated financial statements include, but not limited to expected credit losses, the determination of warranty cost, lower of cost and net realizable value of inventories, useful lives of long-lived assets, impairment of long-lived assets, valuation allowance for deferred tax assets, uncertain tax positions, fair value of share-based awards, fair value of short-term investments, incremental borrowing rates for operating lease liabilities and determination of the fair value of debt investments accounted for under the fair value option model as well as subsequent adjustments for equity investments without readily determinable fair values and not accounted for by the equity method. Management bases the estimates on historical experience and on various other assumptions that are believed to be reasonable, the results of which form the basis for making judgments about the carrying values of assets and liabilities. Changes in facts and circumstances may result in revised estimates. Actual results could differ from those estimates, and as such, differences may be material to the consolidated financial statements. </w:t>
      </w:r>
    </w:p>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305"/>
        <w:gridCol w:w="152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(d)</w:t>
            </w:r>
          </w:p>
        </w:tc>
        <w:tc>
          <w:tcPr>
            <w:tcW w:w="15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 Ehfly, and EHANG Investment (HK) Limited (“EHang HK”) is the United States dollar (“US$”). The functional currency of EHang Holding GmbH (“EHang GmbH”), EHANG TECHNOLOGIES SPAIN &amp; LATAM, S.L. (“EHang Spain”) and Ehang EUROPE SAS (“EHang France”) is the Euro. The functional currency of the Company’s PRC subsidiaries and the VIEs is the Renminbi (“RMB”). The Group uses the RMB as its reporting currency. The determination of the respective functional currency is based on the criteria set out by ASC 830,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Foreign Currency Matters</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Transactions denominated in foreign currencies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re-measured</w:t>
      </w:r>
    </w:p>
    <w:p>
      <w:pPr>
        <w:pStyle w:val="TextBody"/>
        <w:bidi w:val="0"/>
        <w:spacing w:before="120" w:after="0"/>
        <w:jc w:val="left"/>
        <w:rPr>
          <w:rFonts w:ascii="Times New Roman" w:hAnsi="Times New Roman"/>
          <w:sz w:val="20"/>
        </w:rPr>
      </w:pPr>
      <w:r>
        <w:rPr>
          <w:rFonts w:ascii="Times New Roman" w:hAnsi="Times New Roman"/>
          <w:sz w:val="20"/>
        </w:rPr>
        <w:t xml:space="preserve">into the functional currency at the exchange rates prevailing on the transaction dates. Monetary assets and liabilities denominated in foreign currencies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re-measured</w:t>
      </w:r>
    </w:p>
    <w:p>
      <w:pPr>
        <w:pStyle w:val="TextBody"/>
        <w:bidi w:val="0"/>
        <w:spacing w:before="120" w:after="0"/>
        <w:jc w:val="left"/>
        <w:rPr>
          <w:rFonts w:ascii="Times New Roman" w:hAnsi="Times New Roman"/>
          <w:sz w:val="20"/>
        </w:rPr>
      </w:pPr>
      <w:r>
        <w:rPr>
          <w:rFonts w:ascii="Times New Roman" w:hAnsi="Times New Roman"/>
          <w:sz w:val="20"/>
        </w:rPr>
        <w:t xml:space="preserve">at the exchange rates prevailing at the balance sheet date.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Non-monetary</w:t>
      </w:r>
    </w:p>
    <w:p>
      <w:pPr>
        <w:pStyle w:val="TextBody"/>
        <w:bidi w:val="0"/>
        <w:spacing w:before="120" w:after="0"/>
        <w:jc w:val="left"/>
        <w:rPr>
          <w:rFonts w:ascii="Times New Roman" w:hAnsi="Times New Roman"/>
          <w:sz w:val="20"/>
        </w:rPr>
      </w:pPr>
      <w:r>
        <w:rPr>
          <w:rFonts w:ascii="Times New Roman" w:hAnsi="Times New Roman"/>
          <w:sz w:val="20"/>
        </w:rPr>
        <w:t xml:space="preserve">items that are measured in terms of historical cost in foreign currency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re-measured</w:t>
      </w:r>
    </w:p>
    <w:p>
      <w:pPr>
        <w:pStyle w:val="TextBody"/>
        <w:bidi w:val="0"/>
        <w:spacing w:before="120" w:after="0"/>
        <w:jc w:val="left"/>
        <w:rPr>
          <w:rFonts w:ascii="Times New Roman" w:hAnsi="Times New Roman"/>
          <w:sz w:val="20"/>
        </w:rPr>
      </w:pPr>
      <w:r>
        <w:rPr>
          <w:rFonts w:ascii="Times New Roman" w:hAnsi="Times New Roman"/>
          <w:sz w:val="20"/>
        </w:rPr>
        <w:t xml:space="preserve">using the exchange rates at the dates of the initial transactions. Exchange gains and losses are included in the consolidated statements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of the Group’ entities of which the functional currency is not RMB use the periodic average exchange rates and the exchange rate at the balance sheet date to translate the operating results and financial position, respectively. Translation differences are recorded in accumulated other comprehensive income, a component of shareholders’ equity. </w:t>
      </w:r>
    </w:p>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0"/>
              <w:jc w:val="left"/>
              <w:rPr>
                <w:b/>
                <w:i/>
                <w:caps w:val="false"/>
                <w:smallCaps w:val="false"/>
                <w:spacing w:val="0"/>
              </w:rPr>
            </w:pPr>
            <w:r>
              <w:rPr>
                <w:b/>
                <w:i/>
                <w:caps w:val="false"/>
                <w:smallCaps w:val="false"/>
                <w:spacing w:val="0"/>
              </w:rPr>
              <w:t>(e)</w:t>
            </w:r>
          </w:p>
        </w:tc>
        <w:tc>
          <w:tcPr>
            <w:tcW w:w="210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Convenience translation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Amounts in US$ are presented for the convenience of the reader and are translated at the noon buying rate of US$1.00 to RMB6.9931 as set forth in the H.10 statistical release of the U.S. Federal Reserve Board on December 31, 2025. No representation is made that the RMB amounts represent or could have been, or could be, converted, realized or settled into US$ at that rate on December 31, 2025 or any other rate.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60"/>
        <w:gridCol w:w="2270"/>
      </w:tblGrid>
      <w:tr>
        <w:trPr/>
        <w:tc>
          <w:tcPr>
            <w:tcW w:w="260" w:type="dxa"/>
            <w:tcBorders/>
            <w:vAlign w:val="center"/>
          </w:tcPr>
          <w:p>
            <w:pPr>
              <w:pStyle w:val="TableContents"/>
              <w:bidi w:val="0"/>
              <w:spacing w:before="0" w:after="0"/>
              <w:jc w:val="left"/>
              <w:rPr>
                <w:b/>
                <w:i/>
                <w:caps w:val="false"/>
                <w:smallCaps w:val="false"/>
                <w:spacing w:val="0"/>
              </w:rPr>
            </w:pPr>
            <w:r>
              <w:rPr>
                <w:b/>
                <w:i/>
                <w:caps w:val="false"/>
                <w:smallCaps w:val="false"/>
                <w:spacing w:val="0"/>
              </w:rPr>
              <w:t>(f)</w:t>
            </w:r>
          </w:p>
        </w:tc>
        <w:tc>
          <w:tcPr>
            <w:tcW w:w="227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of deposits and highly liquid investments placed with banks and other financial institutions, which are unrestricted as to withdrawal or use, and which have original maturities of three months or less when purchased.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305"/>
        <w:gridCol w:w="254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(g)</w:t>
            </w:r>
          </w:p>
        </w:tc>
        <w:tc>
          <w:tcPr>
            <w:tcW w:w="254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short-term deposits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restricted short-term deposits represent time deposits placed with a reputable bank in the PRC with original maturities between three months and one year, which are pledged for issuance of letter of credit. Interest earned is classified as “interest and investment income” in the consolidated statements of comprehensive loss during the years presented. </w:t>
      </w:r>
    </w:p>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320"/>
        <w:gridCol w:w="1940"/>
      </w:tblGrid>
      <w:tr>
        <w:trPr/>
        <w:tc>
          <w:tcPr>
            <w:tcW w:w="320" w:type="dxa"/>
            <w:tcBorders/>
            <w:vAlign w:val="center"/>
          </w:tcPr>
          <w:p>
            <w:pPr>
              <w:pStyle w:val="TableContents"/>
              <w:bidi w:val="0"/>
              <w:spacing w:before="0" w:after="0"/>
              <w:jc w:val="left"/>
              <w:rPr>
                <w:b/>
                <w:i/>
                <w:caps w:val="false"/>
                <w:smallCaps w:val="false"/>
                <w:spacing w:val="0"/>
              </w:rPr>
            </w:pPr>
            <w:r>
              <w:rPr>
                <w:b/>
                <w:i/>
                <w:caps w:val="false"/>
                <w:smallCaps w:val="false"/>
                <w:spacing w:val="0"/>
              </w:rPr>
              <w:t>(h)</w:t>
            </w:r>
          </w:p>
        </w:tc>
        <w:tc>
          <w:tcPr>
            <w:tcW w:w="194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Derivative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derivative instruments are carried at fair value, which primarily consisted of foreign exchange forward contract. The fair values of the derivative instruments generally represent the estimated amounts expect to receive or pay upon termination of the contracts as of the reporting date. The Group selectively uses financial instruments to mitigate the risk of foreign currency exchange (losses) gains arose from the Group’s cash and cash equivalent denominated in US$ and Euro. As the derivative instruments of foreign exchange forward contract does not qualify for hedge accounting treatment, changes in the fair value are reflected in “interest and investment income” of the consolidated statements of comprehensive loss. As of December 31, 2024 and 2025, the notional principal amounts of the outstanding foreign exchange forward contract were approximately RMB31,215 and RMB30,000 (US$4,290), respectively. Total changes in fair value of the derivatives recorded in interest and investment income, were incomes of RMB8 and RMB314 (US$45) for the years ended December 31, 2024 and 2025.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245"/>
        <w:gridCol w:w="1970"/>
      </w:tblGrid>
      <w:tr>
        <w:trPr/>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(i)</w:t>
            </w:r>
          </w:p>
        </w:tc>
        <w:tc>
          <w:tcPr>
            <w:tcW w:w="197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highly liquid investments with original maturities of greater than three months but less than twelve months, are classified as short-term investments. Investments that are expected to be realized in cash during the next twelve months are also included in short-term investments. </w:t>
      </w:r>
    </w:p>
    <w:p>
      <w:pPr>
        <w:pStyle w:val="TextBody"/>
        <w:bidi w:val="0"/>
        <w:spacing w:before="120" w:after="0"/>
        <w:jc w:val="left"/>
        <w:rPr>
          <w:rFonts w:ascii="Times New Roman" w:hAnsi="Times New Roman"/>
          <w:sz w:val="20"/>
        </w:rPr>
      </w:pPr>
      <w:r>
        <w:rPr>
          <w:rFonts w:ascii="Times New Roman" w:hAnsi="Times New Roman"/>
          <w:sz w:val="20"/>
        </w:rPr>
        <w:t xml:space="preserve">Short-term investments consist primarily of investments in wealth management products, which are redeemable within one year. These investments are all designated as trading and measured at fair value and the change in fair value is recognized in “interest and investment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(j)</w:t>
            </w:r>
          </w:p>
        </w:tc>
        <w:tc>
          <w:tcPr>
            <w:tcW w:w="239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Current expected credit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cash and cash equivalents, restricted short-term deposits, accounts receivable, loans receivable, other receivables and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are within the scope of ASC Topic 326. The Group adopted ASC Topic 326 and several associated ASUs on January 1, 2023 using a modified retrospective approach with a cumulative effect recorded as an decrease of shareholders’ equity in the amount of RMB2,422. </w:t>
      </w:r>
    </w:p>
    <w:p>
      <w:pPr>
        <w:pStyle w:val="TextBody"/>
        <w:bidi w:val="0"/>
        <w:spacing w:before="120" w:after="0"/>
        <w:jc w:val="left"/>
        <w:rPr>
          <w:rFonts w:ascii="Times New Roman" w:hAnsi="Times New Roman"/>
          <w:sz w:val="20"/>
        </w:rPr>
      </w:pPr>
      <w:r>
        <w:rPr>
          <w:rFonts w:ascii="Times New Roman" w:hAnsi="Times New Roman"/>
          <w:sz w:val="20"/>
        </w:rPr>
        <w:t xml:space="preserve">The Group has identified the relevant risk characteristics of its customers and the related receivables which include the products the Group provides, the type of business, the scale of transactions on credit terms, the nature of counterparties and the level of credit risk of the customers,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payment terms offered in the normal course of business to customers and industry-specific factors that could impact the Group’s receivables. Additionally, external data and macroeconomic factors are also considered. When facts and circumstances indicate that the receivable no longer shares similar risk characteristics, the Group evaluates the receivables for expected credit losses on an individual basis with expected future cash flow. This is assessed at each quarter based on the Group’s specific facts and circumstances. For the years ended December 31, 2023, 2024 and 2025, the Group recorded RMB 13,691, RMB12,790 and RMB7,938 (US$1,135) of expected credit loss, net within general and administrative expenses,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Group considers historical credit loss rates for each category of loan receivables, other receivables and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assets and also considers forward looking macroeconomic data in making its loss accrual determinations. The Group has made specific credit loss provisions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 case-by-case</w:t>
      </w:r>
    </w:p>
    <w:p>
      <w:pPr>
        <w:pStyle w:val="TextBody"/>
        <w:bidi w:val="0"/>
        <w:spacing w:before="120" w:after="0"/>
        <w:jc w:val="left"/>
        <w:rPr>
          <w:rFonts w:ascii="Times New Roman" w:hAnsi="Times New Roman"/>
          <w:sz w:val="20"/>
        </w:rPr>
      </w:pPr>
      <w:r>
        <w:rPr>
          <w:rFonts w:ascii="Times New Roman" w:hAnsi="Times New Roman"/>
          <w:sz w:val="20"/>
        </w:rPr>
        <w:t xml:space="preserve">basis for particular aged receivable balances.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activity in the allowance for credit losses related to accounts receivable, loans receivable and other receivables for the years ended December 31, 2023, 2024 and 2025: </w:t>
      </w:r>
    </w:p>
    <w:p>
      <w:pPr>
        <w:pStyle w:val="TextBody"/>
        <w:bidi w:val="0"/>
        <w:spacing w:before="0" w:after="0"/>
        <w:jc w:val="left"/>
        <w:rPr/>
      </w:pPr>
      <w:r>
        <w:rPr/>
        <w:t> </w:t>
      </w:r>
    </w:p>
    <w:tbl>
      <w:tblPr>
        <w:tblW w:w="7365" w:type="dxa"/>
        <w:jc w:val="left"/>
        <w:tblInd w:w="0" w:type="dxa"/>
        <w:tblLayout w:type="fixed"/>
        <w:tblCellMar>
          <w:top w:w="0" w:type="dxa"/>
          <w:left w:w="0" w:type="dxa"/>
          <w:bottom w:w="0" w:type="dxa"/>
          <w:right w:w="0" w:type="dxa"/>
        </w:tblCellMar>
      </w:tblPr>
      <w:tblGrid>
        <w:gridCol w:w="3050"/>
        <w:gridCol w:w="120"/>
        <w:gridCol w:w="60"/>
        <w:gridCol w:w="800"/>
        <w:gridCol w:w="155"/>
        <w:gridCol w:w="120"/>
        <w:gridCol w:w="60"/>
        <w:gridCol w:w="800"/>
        <w:gridCol w:w="155"/>
        <w:gridCol w:w="120"/>
        <w:gridCol w:w="60"/>
        <w:gridCol w:w="800"/>
        <w:gridCol w:w="95"/>
        <w:gridCol w:w="120"/>
        <w:gridCol w:w="60"/>
        <w:gridCol w:w="680"/>
        <w:gridCol w:w="11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8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 prior to ASC 326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117,035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0"/>
              <w:jc w:val="left"/>
              <w:rPr>
                <w:spacing w:val="0"/>
              </w:rPr>
            </w:pPr>
            <w:r>
              <w:rPr>
                <w:spacing w:val="0"/>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Adoption of ASC Topic 326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beginning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119,457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132,806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110,422</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15,790</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period provision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19,262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11,294</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1,615</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Reversal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(3,356</w:t>
            </w:r>
          </w:p>
        </w:tc>
        <w:tc>
          <w:tcPr>
            <w:tcW w:w="9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(480</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Write-off</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(35,194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148</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w:t>
            </w:r>
          </w:p>
        </w:tc>
        <w:tc>
          <w:tcPr>
            <w:tcW w:w="11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end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132,806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110,422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118,508</w:t>
            </w:r>
          </w:p>
        </w:tc>
        <w:tc>
          <w:tcPr>
            <w:tcW w:w="9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16,946</w:t>
            </w:r>
          </w:p>
        </w:tc>
        <w:tc>
          <w:tcPr>
            <w:tcW w:w="110" w:type="dxa"/>
            <w:tcBorders/>
            <w:shd w:fill="CCEEFF" w:val="clear"/>
            <w:vAlign w:val="center"/>
          </w:tcPr>
          <w:p>
            <w:pPr>
              <w:pStyle w:val="TableContents"/>
              <w:bidi w:val="0"/>
              <w:spacing w:before="0" w:after="0"/>
              <w:jc w:val="left"/>
              <w:rPr>
                <w:spacing w:val="0"/>
              </w:rPr>
            </w:pPr>
            <w:r>
              <w:rPr>
                <w:spacing w:val="0"/>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Group’s expected credit loss of cash and cash equivalents, restricted short-term deposits in banks and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assets within the scope of ASC Topic 326 were immaterial.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305"/>
        <w:gridCol w:w="101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(k)</w:t>
            </w:r>
          </w:p>
        </w:tc>
        <w:tc>
          <w:tcPr>
            <w:tcW w:w="101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are comprised of raw materials, work in progress and finished goods. The Group’s raw materials consist of accessories and hardware parts used to produce UAVs and hardware for building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centers. Work in progress primarily consist of UAVs and hardware parts in production which will be transferred into production cost when incurred. Finished goods primarily consist of UAVs. Cost is determined using the weighted average method and includes all costs to acquire and other costs to bring the inventories to their present location and condition. Inventories are stated at the lower of cost or net realizable value. This requires the determination of the estimated selling price of the vehicles less the estimated cost to convert inventory on hand into a finished product. Once inventory is written down, a new, lower-cost basis for that inventory is established and subsequent changes in facts and circumstances do not result in the restoration or increase in that newly established cost basis. Adjustments to reduce the cost of inventory to its net realizable value are made, if required, to record the decreases in sales prices, obsolescence or similar reductions in the estimated net realizable value. Inventory write-downs of RMB460, RMB921 and RMB1,482 (US$212) were recognized in “cost of revenues” for the years ended December 31, 2023, 2024 and 2025.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(l)</w:t>
            </w:r>
          </w:p>
        </w:tc>
        <w:tc>
          <w:tcPr>
            <w:tcW w:w="24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and are depreciated using the straight-line method over the estimated useful lives of the assets, as follows: </w:t>
      </w:r>
    </w:p>
    <w:p>
      <w:pPr>
        <w:pStyle w:val="TextBody"/>
        <w:bidi w:val="0"/>
        <w:spacing w:before="0" w:after="0"/>
        <w:ind w:left="0" w:right="0" w:hanging="0"/>
        <w:jc w:val="left"/>
        <w:rPr>
          <w:spacing w:val="0"/>
        </w:rPr>
      </w:pPr>
      <w:r>
        <w:rPr>
          <w:spacing w:val="0"/>
        </w:rPr>
        <w:t> </w:t>
      </w:r>
    </w:p>
    <w:tbl>
      <w:tblPr>
        <w:tblW w:w="10025" w:type="dxa"/>
        <w:jc w:val="left"/>
        <w:tblInd w:w="0" w:type="dxa"/>
        <w:tblLayout w:type="fixed"/>
        <w:tblCellMar>
          <w:top w:w="0" w:type="dxa"/>
          <w:left w:w="0" w:type="dxa"/>
          <w:bottom w:w="0" w:type="dxa"/>
          <w:right w:w="0" w:type="dxa"/>
        </w:tblCellMar>
      </w:tblPr>
      <w:tblGrid>
        <w:gridCol w:w="2150"/>
        <w:gridCol w:w="120"/>
        <w:gridCol w:w="5840"/>
        <w:gridCol w:w="120"/>
        <w:gridCol w:w="451"/>
        <w:gridCol w:w="1054"/>
        <w:gridCol w:w="290"/>
      </w:tblGrid>
      <w:tr>
        <w:trPr/>
        <w:tc>
          <w:tcPr>
            <w:tcW w:w="2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Category</w:t>
            </w:r>
          </w:p>
        </w:tc>
        <w:tc>
          <w:tcPr>
            <w:tcW w:w="120" w:type="dxa"/>
            <w:tcBorders/>
            <w:vAlign w:val="center"/>
          </w:tcPr>
          <w:p>
            <w:pPr>
              <w:pStyle w:val="TableContents"/>
              <w:bidi w:val="0"/>
              <w:spacing w:before="0" w:after="0"/>
              <w:jc w:val="left"/>
              <w:rPr>
                <w:spacing w:val="0"/>
              </w:rPr>
            </w:pPr>
            <w:r>
              <w:rPr>
                <w:spacing w:val="0"/>
              </w:rPr>
              <w:t>  </w:t>
            </w:r>
          </w:p>
        </w:tc>
        <w:tc>
          <w:tcPr>
            <w:tcW w:w="58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Estimated useful life</w:t>
            </w:r>
          </w:p>
        </w:tc>
        <w:tc>
          <w:tcPr>
            <w:tcW w:w="120" w:type="dxa"/>
            <w:tcBorders/>
            <w:vAlign w:val="center"/>
          </w:tcPr>
          <w:p>
            <w:pPr>
              <w:pStyle w:val="TableContents"/>
              <w:bidi w:val="0"/>
              <w:spacing w:before="0" w:after="0"/>
              <w:jc w:val="left"/>
              <w:rPr>
                <w:spacing w:val="0"/>
              </w:rPr>
            </w:pPr>
            <w:r>
              <w:rPr>
                <w:spacing w:val="0"/>
              </w:rPr>
              <w:t>  </w:t>
            </w:r>
          </w:p>
        </w:tc>
        <w:tc>
          <w:tcPr>
            <w:tcW w:w="15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Residual value</w:t>
            </w:r>
          </w:p>
        </w:tc>
        <w:tc>
          <w:tcPr>
            <w:tcW w:w="290" w:type="dxa"/>
            <w:tcBorders/>
            <w:vAlign w:val="center"/>
          </w:tcPr>
          <w:p>
            <w:pPr>
              <w:pStyle w:val="TableContents"/>
              <w:bidi w:val="0"/>
              <w:spacing w:before="0" w:after="0"/>
              <w:jc w:val="left"/>
              <w:rPr>
                <w:spacing w:val="0"/>
              </w:rPr>
            </w:pPr>
            <w:r>
              <w:rPr>
                <w:spacing w:val="0"/>
              </w:rPr>
              <w:t> </w:t>
            </w:r>
          </w:p>
        </w:tc>
      </w:tr>
      <w:tr>
        <w:trPr/>
        <w:tc>
          <w:tcPr>
            <w:tcW w:w="2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w:t>
            </w:r>
          </w:p>
        </w:tc>
        <w:tc>
          <w:tcPr>
            <w:tcW w:w="120" w:type="dxa"/>
            <w:tcBorders/>
            <w:shd w:fill="CCEEFF" w:val="clear"/>
            <w:vAlign w:val="center"/>
          </w:tcPr>
          <w:p>
            <w:pPr>
              <w:pStyle w:val="TableContents"/>
              <w:bidi w:val="0"/>
              <w:spacing w:before="0" w:after="283"/>
              <w:jc w:val="left"/>
              <w:rPr/>
            </w:pPr>
            <w:r>
              <w:rPr/>
              <w:t>  </w:t>
            </w:r>
          </w:p>
        </w:tc>
        <w:tc>
          <w:tcPr>
            <w:tcW w:w="5840" w:type="dxa"/>
            <w:tcBorders/>
            <w:shd w:fill="CCEEFF" w:val="clear"/>
            <w:vAlign w:val="center"/>
          </w:tcPr>
          <w:p>
            <w:pPr>
              <w:pStyle w:val="TableContents"/>
              <w:bidi w:val="0"/>
              <w:spacing w:before="0" w:after="283"/>
              <w:jc w:val="center"/>
              <w:rPr/>
            </w:pPr>
            <w:r>
              <w:rPr/>
              <w:t>18 years</w:t>
            </w:r>
          </w:p>
        </w:tc>
        <w:tc>
          <w:tcPr>
            <w:tcW w:w="12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Mold and tooling</w:t>
            </w:r>
          </w:p>
        </w:tc>
        <w:tc>
          <w:tcPr>
            <w:tcW w:w="12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center"/>
              <w:rPr/>
            </w:pPr>
            <w:r>
              <w:rPr/>
              <w:t>2-5 years</w:t>
            </w:r>
          </w:p>
        </w:tc>
        <w:tc>
          <w:tcPr>
            <w:tcW w:w="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Office equipment</w:t>
            </w:r>
          </w:p>
        </w:tc>
        <w:tc>
          <w:tcPr>
            <w:tcW w:w="120" w:type="dxa"/>
            <w:tcBorders/>
            <w:shd w:fill="CCEEFF" w:val="clear"/>
            <w:vAlign w:val="center"/>
          </w:tcPr>
          <w:p>
            <w:pPr>
              <w:pStyle w:val="TableContents"/>
              <w:bidi w:val="0"/>
              <w:spacing w:before="0" w:after="283"/>
              <w:jc w:val="left"/>
              <w:rPr/>
            </w:pPr>
            <w:r>
              <w:rPr/>
              <w:t>  </w:t>
            </w:r>
          </w:p>
        </w:tc>
        <w:tc>
          <w:tcPr>
            <w:tcW w:w="5840" w:type="dxa"/>
            <w:tcBorders/>
            <w:shd w:fill="CCEEFF" w:val="clear"/>
            <w:vAlign w:val="center"/>
          </w:tcPr>
          <w:p>
            <w:pPr>
              <w:pStyle w:val="TableContents"/>
              <w:bidi w:val="0"/>
              <w:spacing w:before="0" w:after="283"/>
              <w:jc w:val="center"/>
              <w:rPr/>
            </w:pPr>
            <w:r>
              <w:rPr/>
              <w:t>5 years</w:t>
            </w:r>
          </w:p>
        </w:tc>
        <w:tc>
          <w:tcPr>
            <w:tcW w:w="12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Electronic equipment</w:t>
            </w:r>
          </w:p>
        </w:tc>
        <w:tc>
          <w:tcPr>
            <w:tcW w:w="12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center"/>
              <w:rPr/>
            </w:pPr>
            <w:r>
              <w:rPr/>
              <w:t>3-5 years</w:t>
            </w:r>
          </w:p>
        </w:tc>
        <w:tc>
          <w:tcPr>
            <w:tcW w:w="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Machinery equipment</w:t>
            </w:r>
          </w:p>
        </w:tc>
        <w:tc>
          <w:tcPr>
            <w:tcW w:w="120" w:type="dxa"/>
            <w:tcBorders/>
            <w:shd w:fill="CCEEFF" w:val="clear"/>
            <w:vAlign w:val="center"/>
          </w:tcPr>
          <w:p>
            <w:pPr>
              <w:pStyle w:val="TableContents"/>
              <w:bidi w:val="0"/>
              <w:spacing w:before="0" w:after="283"/>
              <w:jc w:val="left"/>
              <w:rPr/>
            </w:pPr>
            <w:r>
              <w:rPr/>
              <w:t>  </w:t>
            </w:r>
          </w:p>
        </w:tc>
        <w:tc>
          <w:tcPr>
            <w:tcW w:w="5840" w:type="dxa"/>
            <w:tcBorders/>
            <w:shd w:fill="CCEEFF" w:val="clear"/>
            <w:vAlign w:val="center"/>
          </w:tcPr>
          <w:p>
            <w:pPr>
              <w:pStyle w:val="TableContents"/>
              <w:bidi w:val="0"/>
              <w:spacing w:before="0" w:after="0"/>
              <w:jc w:val="center"/>
              <w:rPr>
                <w:spacing w:val="0"/>
              </w:rPr>
            </w:pPr>
            <w:r>
              <w:rPr>
                <w:spacing w:val="0"/>
              </w:rPr>
              <w:t>5-10</w:t>
            </w:r>
          </w:p>
          <w:p>
            <w:pPr>
              <w:pStyle w:val="TableContents"/>
              <w:bidi w:val="0"/>
              <w:spacing w:before="0" w:after="0"/>
              <w:jc w:val="center"/>
              <w:rPr/>
            </w:pPr>
            <w:r>
              <w:rPr/>
              <w:t>years</w:t>
            </w:r>
          </w:p>
        </w:tc>
        <w:tc>
          <w:tcPr>
            <w:tcW w:w="12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5</w:t>
            </w:r>
          </w:p>
        </w:tc>
        <w:tc>
          <w:tcPr>
            <w:tcW w:w="290"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Transportation equipment</w:t>
            </w:r>
          </w:p>
        </w:tc>
        <w:tc>
          <w:tcPr>
            <w:tcW w:w="12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283"/>
              <w:jc w:val="center"/>
              <w:rPr/>
            </w:pPr>
            <w:r>
              <w:rPr/>
              <w:t>4 years</w:t>
            </w:r>
          </w:p>
        </w:tc>
        <w:tc>
          <w:tcPr>
            <w:tcW w:w="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5</w:t>
            </w:r>
          </w:p>
        </w:tc>
        <w:tc>
          <w:tcPr>
            <w:tcW w:w="290"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5840" w:type="dxa"/>
            <w:tcBorders/>
            <w:shd w:fill="CCEEFF" w:val="clear"/>
            <w:vAlign w:val="center"/>
          </w:tcPr>
          <w:p>
            <w:pPr>
              <w:pStyle w:val="TableContents"/>
              <w:bidi w:val="0"/>
              <w:spacing w:before="0" w:after="283"/>
              <w:jc w:val="center"/>
              <w:rPr/>
            </w:pPr>
            <w:r>
              <w:rPr/>
              <w:t>Shorter of lease term or the estimated useful lives of the assets</w:t>
            </w:r>
          </w:p>
        </w:tc>
        <w:tc>
          <w:tcPr>
            <w:tcW w:w="120" w:type="dxa"/>
            <w:tcBorders/>
            <w:shd w:fill="CCEEFF" w:val="clear"/>
            <w:vAlign w:val="center"/>
          </w:tcPr>
          <w:p>
            <w:pPr>
              <w:pStyle w:val="TableContents"/>
              <w:bidi w:val="0"/>
              <w:spacing w:before="0" w:after="283"/>
              <w:jc w:val="left"/>
              <w:rPr/>
            </w:pPr>
            <w:r>
              <w:rPr/>
              <w:t>  </w:t>
            </w:r>
          </w:p>
        </w:tc>
        <w:tc>
          <w:tcPr>
            <w:tcW w:w="45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0</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Repair and maintenance costs are charged to expense as incurred, whereas the costs of renewals and betterments that extend the useful lives of property and equipment are capitalized as additions to the related assets. Retirements, sales and disposals of assets are recorded by removing the cost and accumulated depreciation from the asset and accumulated depreciation accounts with any resulting gain or loss reflected in the consolidated statements of comprehensive loss. The losses on the disposal of property and equipment amounted to RMB138, RMB682 and RMB34 (US$5) were recognized in the consolidated statements of comprehensive loss for the years ended December 31, 2023, 2024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Direct costs that are related to the construction of property and equipment and incurred in connection with bringing the assets to their intended use are capitalized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construction-in-progress.</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Construction-in-progress</w:t>
      </w:r>
    </w:p>
    <w:p>
      <w:pPr>
        <w:pStyle w:val="TextBody"/>
        <w:bidi w:val="0"/>
        <w:spacing w:before="120" w:after="0"/>
        <w:jc w:val="left"/>
        <w:rPr>
          <w:rFonts w:ascii="Times New Roman" w:hAnsi="Times New Roman"/>
          <w:sz w:val="20"/>
        </w:rPr>
      </w:pPr>
      <w:r>
        <w:rPr>
          <w:rFonts w:ascii="Times New Roman" w:hAnsi="Times New Roman"/>
          <w:sz w:val="20"/>
        </w:rPr>
        <w:t xml:space="preserve">is transferred to specific property and equipment accounts and commences depreciation when these assets are ready for their intended use. </w:t>
      </w:r>
    </w:p>
    <w:p>
      <w:pPr>
        <w:pStyle w:val="TextBody"/>
        <w:bidi w:val="0"/>
        <w:spacing w:before="0" w:after="0"/>
        <w:jc w:val="left"/>
        <w:rPr/>
      </w:pPr>
      <w:r>
        <w:rPr/>
        <w:t> </w:t>
      </w:r>
    </w:p>
    <w:tbl>
      <w:tblPr>
        <w:tblW w:w="1990" w:type="dxa"/>
        <w:jc w:val="left"/>
        <w:tblInd w:w="0" w:type="dxa"/>
        <w:tblLayout w:type="fixed"/>
        <w:tblCellMar>
          <w:top w:w="0" w:type="dxa"/>
          <w:left w:w="0" w:type="dxa"/>
          <w:bottom w:w="0" w:type="dxa"/>
          <w:right w:w="0" w:type="dxa"/>
        </w:tblCellMar>
      </w:tblPr>
      <w:tblGrid>
        <w:gridCol w:w="365"/>
        <w:gridCol w:w="1625"/>
      </w:tblGrid>
      <w:tr>
        <w:trPr/>
        <w:tc>
          <w:tcPr>
            <w:tcW w:w="365" w:type="dxa"/>
            <w:tcBorders/>
            <w:vAlign w:val="center"/>
          </w:tcPr>
          <w:p>
            <w:pPr>
              <w:pStyle w:val="TableContents"/>
              <w:bidi w:val="0"/>
              <w:spacing w:before="0" w:after="0"/>
              <w:jc w:val="left"/>
              <w:rPr>
                <w:b/>
                <w:i/>
                <w:caps w:val="false"/>
                <w:smallCaps w:val="false"/>
                <w:spacing w:val="0"/>
              </w:rPr>
            </w:pPr>
            <w:r>
              <w:rPr>
                <w:b/>
                <w:i/>
                <w:caps w:val="false"/>
                <w:smallCaps w:val="false"/>
                <w:spacing w:val="0"/>
              </w:rPr>
              <w:t>(m)</w:t>
            </w:r>
          </w:p>
        </w:tc>
        <w:tc>
          <w:tcPr>
            <w:tcW w:w="162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Land use right,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Land use right is recorded at cost less accumulated amortization. Amortization is provided on a straight-line basis over the estimated useful lives which is 46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320"/>
        <w:gridCol w:w="1820"/>
      </w:tblGrid>
      <w:tr>
        <w:trPr/>
        <w:tc>
          <w:tcPr>
            <w:tcW w:w="320" w:type="dxa"/>
            <w:tcBorders/>
            <w:vAlign w:val="center"/>
          </w:tcPr>
          <w:p>
            <w:pPr>
              <w:pStyle w:val="TableContents"/>
              <w:bidi w:val="0"/>
              <w:spacing w:before="0" w:after="0"/>
              <w:jc w:val="left"/>
              <w:rPr>
                <w:b/>
                <w:i/>
                <w:caps w:val="false"/>
                <w:smallCaps w:val="false"/>
                <w:spacing w:val="0"/>
              </w:rPr>
            </w:pPr>
            <w:r>
              <w:rPr>
                <w:b/>
                <w:i/>
                <w:caps w:val="false"/>
                <w:smallCaps w:val="false"/>
                <w:spacing w:val="0"/>
              </w:rPr>
              <w:t>(n)</w:t>
            </w:r>
          </w:p>
        </w:tc>
        <w:tc>
          <w:tcPr>
            <w:tcW w:w="182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Intangible assets,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Intangible assets consist of software, patents and trademarks. Intangible assets with finite lives, including software, patents and trademarks are carried at acquisition cost less accumulated amortization and impairment, if any. Finite lived intangible assets are tested for impairment if impairment indicators arise.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of intangible assets with finite lives are computed using the straight-line method over the estimated useful lives as below: </w:t>
      </w:r>
    </w:p>
    <w:p>
      <w:pPr>
        <w:pStyle w:val="TextBody"/>
        <w:bidi w:val="0"/>
        <w:spacing w:before="0" w:after="0"/>
        <w:ind w:left="0" w:right="0" w:hanging="0"/>
        <w:jc w:val="left"/>
        <w:rPr>
          <w:spacing w:val="0"/>
        </w:rPr>
      </w:pPr>
      <w:r>
        <w:rPr>
          <w:spacing w:val="0"/>
        </w:rPr>
        <w:t> </w:t>
      </w:r>
    </w:p>
    <w:tbl>
      <w:tblPr>
        <w:tblW w:w="3505" w:type="dxa"/>
        <w:jc w:val="left"/>
        <w:tblInd w:w="0" w:type="dxa"/>
        <w:tblLayout w:type="fixed"/>
        <w:tblCellMar>
          <w:top w:w="0" w:type="dxa"/>
          <w:left w:w="0" w:type="dxa"/>
          <w:bottom w:w="0" w:type="dxa"/>
          <w:right w:w="0" w:type="dxa"/>
        </w:tblCellMar>
      </w:tblPr>
      <w:tblGrid>
        <w:gridCol w:w="1895"/>
        <w:gridCol w:w="120"/>
        <w:gridCol w:w="1490"/>
      </w:tblGrid>
      <w:tr>
        <w:trPr/>
        <w:tc>
          <w:tcPr>
            <w:tcW w:w="1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189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pacing w:val="0"/>
                <w:sz w:val="16"/>
              </w:rPr>
            </w:pPr>
            <w:r>
              <w:rPr>
                <w:rFonts w:ascii="Times New Roman" w:hAnsi="Times New Roman"/>
                <w:b/>
                <w:spacing w:val="0"/>
                <w:sz w:val="16"/>
              </w:rPr>
              <w:t>Category</w:t>
            </w:r>
          </w:p>
        </w:tc>
        <w:tc>
          <w:tcPr>
            <w:tcW w:w="120" w:type="dxa"/>
            <w:tcBorders/>
            <w:vAlign w:val="center"/>
          </w:tcPr>
          <w:p>
            <w:pPr>
              <w:pStyle w:val="TableContents"/>
              <w:bidi w:val="0"/>
              <w:spacing w:before="0" w:after="0"/>
              <w:jc w:val="left"/>
              <w:rPr>
                <w:spacing w:val="0"/>
              </w:rPr>
            </w:pPr>
            <w:r>
              <w:rPr>
                <w:spacing w:val="0"/>
              </w:rPr>
              <w:t>  </w:t>
            </w:r>
          </w:p>
        </w:tc>
        <w:tc>
          <w:tcPr>
            <w:tcW w:w="14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Estimated useful life</w:t>
            </w:r>
          </w:p>
        </w:tc>
      </w:tr>
      <w:tr>
        <w:trPr/>
        <w:tc>
          <w:tcPr>
            <w:tcW w:w="1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jc w:val="center"/>
              <w:rPr>
                <w:spacing w:val="0"/>
              </w:rPr>
            </w:pPr>
            <w:r>
              <w:rPr>
                <w:spacing w:val="0"/>
              </w:rPr>
              <w:t>3-5</w:t>
            </w:r>
          </w:p>
          <w:p>
            <w:pPr>
              <w:pStyle w:val="TableContents"/>
              <w:bidi w:val="0"/>
              <w:spacing w:before="0" w:after="0"/>
              <w:jc w:val="center"/>
              <w:rPr/>
            </w:pPr>
            <w:r>
              <w:rPr/>
              <w:t>years</w:t>
            </w:r>
          </w:p>
        </w:tc>
      </w:tr>
      <w:tr>
        <w:trPr/>
        <w:tc>
          <w:tcPr>
            <w:tcW w:w="1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Patents and trademarks</w:t>
            </w:r>
          </w:p>
        </w:tc>
        <w:tc>
          <w:tcPr>
            <w:tcW w:w="12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center"/>
              <w:rPr/>
            </w:pPr>
            <w:r>
              <w:rPr/>
              <w:t>5 years</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of intangible assets with finite lives are reassessed if circumstances occur that indicate the original estimated useful lives have changed. </w:t>
      </w:r>
    </w:p>
    <w:p>
      <w:pPr>
        <w:pStyle w:val="TextBody"/>
        <w:bidi w:val="0"/>
        <w:spacing w:before="120" w:after="0"/>
        <w:jc w:val="left"/>
        <w:rPr>
          <w:rFonts w:ascii="Times New Roman" w:hAnsi="Times New Roman"/>
          <w:sz w:val="20"/>
        </w:rPr>
      </w:pPr>
      <w:r>
        <w:rPr>
          <w:rFonts w:ascii="Times New Roman" w:hAnsi="Times New Roman"/>
          <w:sz w:val="20"/>
        </w:rPr>
        <w:t xml:space="preserve">There were no intangible assets with indefinite lives as of December 31, 2024 and 2025.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305"/>
        <w:gridCol w:w="435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(o)</w:t>
            </w:r>
          </w:p>
        </w:tc>
        <w:tc>
          <w:tcPr>
            <w:tcW w:w="435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other than 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evaluates its long-lived assets or asset group, including intangible assets with finite lives, for impairment whenever events or changes in circumstances (such as a significant adverse change to market conditions that will impact the future use of the assets) indicate that the carrying amount of an asset or a group of long-lived assets may not be recoverable. When these events occur, the Group evaluates for impairment by comparing the carrying amount of the assets to future undiscounted net cash flows expected to result from the use of the assets and their eventual disposition. If the sum of the expected undiscounted cash flow is less than the carrying amount of the assets, the Group would recognize an impairment loss based on the excess of the carrying amount of the asset group over its fair value. Fair value is generally determined by discounting the cash flows expected to be generated by the long-lived assets or asset group, when the market prices are not readily available. No impairment loss was charged for long-lived assets in any of the presented periods. </w:t>
      </w:r>
    </w:p>
    <w:p>
      <w:pPr>
        <w:pStyle w:val="TextBody"/>
        <w:bidi w:val="0"/>
        <w:spacing w:before="0" w:after="0"/>
        <w:jc w:val="left"/>
        <w:rPr/>
      </w:pPr>
      <w:r>
        <w:rPr/>
        <w:t> </w:t>
      </w:r>
    </w:p>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(p)</w:t>
            </w:r>
          </w:p>
        </w:tc>
        <w:tc>
          <w:tcPr>
            <w:tcW w:w="395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Investments accounted for using equity method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Investments in equity investees represent investments in entities in which the Group can exercise significant influence but does not own a majority equity interest or control are accounted for using the equity method of accounting in accordance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323-10,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Investments-Equity Method and Joint Ventures: Overall</w:t>
      </w:r>
    </w:p>
    <w:p>
      <w:pPr>
        <w:pStyle w:val="TextBody"/>
        <w:bidi w:val="0"/>
        <w:spacing w:before="120" w:after="0"/>
        <w:jc w:val="left"/>
        <w:rPr>
          <w:rFonts w:ascii="Times New Roman" w:hAnsi="Times New Roman"/>
          <w:sz w:val="20"/>
        </w:rPr>
      </w:pPr>
      <w:r>
        <w:rPr>
          <w:rFonts w:ascii="Times New Roman" w:hAnsi="Times New Roman"/>
          <w:sz w:val="20"/>
        </w:rPr>
        <w:t xml:space="preserve">(“ASC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323-10”).</w:t>
      </w:r>
    </w:p>
    <w:p>
      <w:pPr>
        <w:pStyle w:val="TextBody"/>
        <w:bidi w:val="0"/>
        <w:spacing w:before="120" w:after="0"/>
        <w:jc w:val="left"/>
        <w:rPr>
          <w:rFonts w:ascii="Times New Roman" w:hAnsi="Times New Roman"/>
          <w:sz w:val="20"/>
        </w:rPr>
      </w:pPr>
      <w:r>
        <w:rPr>
          <w:rFonts w:ascii="Times New Roman" w:hAnsi="Times New Roman"/>
          <w:sz w:val="20"/>
        </w:rPr>
        <w:t xml:space="preserve">Under the equity method, the Group initially records its investment at cost and prospectively recognizes its proportionate share of each equity investee’s net profit or loss. The difference between the cost of the equity investee and the amount of the underlying equity in the net assets of the equity investee is recognized as goodwill included in long-term investments on the consolidated balance sheets. The Group evaluates its equity method investments for impairment under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323-10.</w:t>
      </w:r>
    </w:p>
    <w:p>
      <w:pPr>
        <w:pStyle w:val="TextBody"/>
        <w:bidi w:val="0"/>
        <w:spacing w:before="120" w:after="0"/>
        <w:jc w:val="left"/>
        <w:rPr>
          <w:rFonts w:ascii="Times New Roman" w:hAnsi="Times New Roman"/>
          <w:sz w:val="20"/>
        </w:rPr>
      </w:pPr>
      <w:r>
        <w:rPr>
          <w:rFonts w:ascii="Times New Roman" w:hAnsi="Times New Roman"/>
          <w:sz w:val="20"/>
        </w:rPr>
        <w:t xml:space="preserve">An impairment loss on equity method investments is recognized in the consolidated statements of comprehensive loss when the decline in value is determined to be other-than-temporary. No impairment was charged in any of the presented periods. </w:t>
      </w:r>
    </w:p>
    <w:p>
      <w:pPr>
        <w:pStyle w:val="TextBody"/>
        <w:bidi w:val="0"/>
        <w:spacing w:before="120" w:after="0"/>
        <w:jc w:val="left"/>
        <w:rPr>
          <w:rFonts w:ascii="Times New Roman" w:hAnsi="Times New Roman"/>
          <w:sz w:val="20"/>
        </w:rPr>
      </w:pPr>
      <w:r>
        <w:rPr>
          <w:rFonts w:ascii="Times New Roman" w:hAnsi="Times New Roman"/>
          <w:sz w:val="20"/>
        </w:rPr>
        <w:t xml:space="preserve">The Group eliminates its intercompany profits or losses related to transactions with investees until profits or losses are realized through transactions with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305"/>
        <w:gridCol w:w="155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(q)</w:t>
            </w:r>
          </w:p>
        </w:tc>
        <w:tc>
          <w:tcPr>
            <w:tcW w:w="155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other investments consist of equity investments without readily determinable fair value and debt security investments.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Investments without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According to ASC 321, the Group elected to use the measurement alternative to measure the investment at cost, less any impairment, plus or minus changes resulting from observable price changes in orderly transactions for identical or similar investments of the same issuer, if any. The Group’s management regularly evaluates the impairment of its investments based on the performance and financial position of the investee as well as other evidence of estimated market values. Such evaluation includes, but is not limited to, reviewing the investee’s cash position, recent financing, projected and historical financial performance, cash flow forecasts and current and future financing needs. An impairment loss is recognized in the consolidated statements of comprehensive loss equal to the excess of the investment’s cost over its fair value at the balance sheet dates of the reporting periods for which the assessment is made. The fair value would then become the new cost basis of the investment.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Debt Security Investment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the Group’s long term debt security investment represented minority equity interest with redemption right in an investee. The Group elected to account for the debt investment under the fair value option model including preferred stock redeemable merely by the passage of time and at the option of the Group as a holder. The fair value option model permits the irrevocable election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instrument-by-instrument</w:t>
      </w:r>
    </w:p>
    <w:p>
      <w:pPr>
        <w:pStyle w:val="TextBody"/>
        <w:bidi w:val="0"/>
        <w:spacing w:before="120" w:after="0"/>
        <w:jc w:val="left"/>
        <w:rPr>
          <w:rFonts w:ascii="Times New Roman" w:hAnsi="Times New Roman"/>
          <w:sz w:val="20"/>
        </w:rPr>
      </w:pPr>
      <w:r>
        <w:rPr>
          <w:rFonts w:ascii="Times New Roman" w:hAnsi="Times New Roman"/>
          <w:sz w:val="20"/>
        </w:rPr>
        <w:t xml:space="preserve">basis at initial recognition or upon an event that gives rise to a new basis of accounting for that instrument. The investment accounted for under the fair value option model is carried at fair value with unrealized gains and losses recorded in “interest and investment income” in the consolidated statements of comprehensive loss. </w:t>
      </w:r>
    </w:p>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275"/>
        <w:gridCol w:w="4175"/>
      </w:tblGrid>
      <w:tr>
        <w:trPr/>
        <w:tc>
          <w:tcPr>
            <w:tcW w:w="275" w:type="dxa"/>
            <w:tcBorders/>
            <w:vAlign w:val="center"/>
          </w:tcPr>
          <w:p>
            <w:pPr>
              <w:pStyle w:val="TableContents"/>
              <w:bidi w:val="0"/>
              <w:spacing w:before="0" w:after="0"/>
              <w:jc w:val="left"/>
              <w:rPr>
                <w:b/>
                <w:i/>
                <w:caps w:val="false"/>
                <w:smallCaps w:val="false"/>
                <w:spacing w:val="0"/>
              </w:rPr>
            </w:pPr>
            <w:r>
              <w:rPr>
                <w:b/>
                <w:i/>
                <w:caps w:val="false"/>
                <w:smallCaps w:val="false"/>
                <w:spacing w:val="0"/>
              </w:rPr>
              <w:t>(r)</w:t>
            </w:r>
          </w:p>
        </w:tc>
        <w:tc>
          <w:tcPr>
            <w:tcW w:w="417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applies ASC 820 (“ASC 820”),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Measurements and Disclosures</w:t>
      </w:r>
    </w:p>
    <w:p>
      <w:pPr>
        <w:pStyle w:val="TextBody"/>
        <w:bidi w:val="0"/>
        <w:spacing w:before="120" w:after="0"/>
        <w:jc w:val="left"/>
        <w:rPr>
          <w:rFonts w:ascii="Times New Roman" w:hAnsi="Times New Roman"/>
          <w:sz w:val="20"/>
        </w:rPr>
      </w:pPr>
      <w:r>
        <w:rPr>
          <w:rFonts w:ascii="Times New Roman" w:hAnsi="Times New Roman"/>
          <w:sz w:val="20"/>
        </w:rPr>
        <w:t xml:space="preserve">. ASC 820 defines fair value, establishes a framework for measuring fair value and expands disclosures about fair value measurements. ASC 820 requires disclosures to be provided on 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ASC 820 establishes a three-tier fair value hierarchy, which prioritizes the inputs used in measuring fair value as follows: </w:t>
      </w:r>
    </w:p>
    <w:p>
      <w:pPr>
        <w:pStyle w:val="TextBody"/>
        <w:bidi w:val="0"/>
        <w:spacing w:before="120" w:after="0"/>
        <w:jc w:val="left"/>
        <w:rPr>
          <w:rFonts w:ascii="Times New Roman" w:hAnsi="Times New Roman"/>
          <w:sz w:val="20"/>
        </w:rPr>
      </w:pPr>
      <w:r>
        <w:rPr>
          <w:rFonts w:ascii="Times New Roman" w:hAnsi="Times New Roman"/>
          <w:sz w:val="20"/>
        </w:rPr>
        <w:t xml:space="preserve">Level 1 — Observable inputs that reflect quoted prices (unadjusted) for identical assets or liabilities in active markets. </w:t>
      </w:r>
    </w:p>
    <w:p>
      <w:pPr>
        <w:pStyle w:val="TextBody"/>
        <w:bidi w:val="0"/>
        <w:spacing w:before="120" w:after="0"/>
        <w:jc w:val="left"/>
        <w:rPr>
          <w:rFonts w:ascii="Times New Roman" w:hAnsi="Times New Roman"/>
          <w:sz w:val="20"/>
        </w:rPr>
      </w:pPr>
      <w:r>
        <w:rPr>
          <w:rFonts w:ascii="Times New Roman" w:hAnsi="Times New Roman"/>
          <w:sz w:val="20"/>
        </w:rPr>
        <w:t xml:space="preserve">Level 2 — Other inputs that are directly or indirectly observable in the marketplace. </w:t>
      </w:r>
    </w:p>
    <w:p>
      <w:pPr>
        <w:pStyle w:val="TextBody"/>
        <w:bidi w:val="0"/>
        <w:spacing w:before="120" w:after="0"/>
        <w:jc w:val="left"/>
        <w:rPr>
          <w:rFonts w:ascii="Times New Roman" w:hAnsi="Times New Roman"/>
          <w:sz w:val="20"/>
        </w:rPr>
      </w:pPr>
      <w:r>
        <w:rPr>
          <w:rFonts w:ascii="Times New Roman" w:hAnsi="Times New Roman"/>
          <w:sz w:val="20"/>
        </w:rPr>
        <w:t xml:space="preserve">Level 3 — Unobservable inputs which are supported by little or no market activity. </w:t>
      </w:r>
    </w:p>
    <w:p>
      <w:pPr>
        <w:pStyle w:val="TextBody"/>
        <w:bidi w:val="0"/>
        <w:spacing w:before="120" w:after="0"/>
        <w:jc w:val="left"/>
        <w:rPr>
          <w:rFonts w:ascii="Times New Roman" w:hAnsi="Times New Roman"/>
          <w:sz w:val="20"/>
        </w:rPr>
      </w:pPr>
      <w:r>
        <w:rPr>
          <w:rFonts w:ascii="Times New Roman" w:hAnsi="Times New Roman"/>
          <w:sz w:val="20"/>
        </w:rPr>
        <w:t xml:space="preserve">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 </w:t>
      </w:r>
    </w:p>
    <w:p>
      <w:pPr>
        <w:pStyle w:val="TextBody"/>
        <w:bidi w:val="0"/>
        <w:spacing w:before="120" w:after="0"/>
        <w:jc w:val="left"/>
        <w:rPr>
          <w:rFonts w:ascii="Times New Roman" w:hAnsi="Times New Roman"/>
          <w:sz w:val="20"/>
        </w:rPr>
      </w:pPr>
      <w:r>
        <w:rPr>
          <w:rFonts w:ascii="Times New Roman" w:hAnsi="Times New Roman"/>
          <w:sz w:val="20"/>
        </w:rPr>
        <w:t xml:space="preserve">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275"/>
        <w:gridCol w:w="5210"/>
      </w:tblGrid>
      <w:tr>
        <w:trPr/>
        <w:tc>
          <w:tcPr>
            <w:tcW w:w="275" w:type="dxa"/>
            <w:tcBorders/>
            <w:vAlign w:val="center"/>
          </w:tcPr>
          <w:p>
            <w:pPr>
              <w:pStyle w:val="TableContents"/>
              <w:bidi w:val="0"/>
              <w:spacing w:before="0" w:after="0"/>
              <w:jc w:val="left"/>
              <w:rPr>
                <w:b/>
                <w:i/>
                <w:caps w:val="false"/>
                <w:smallCaps w:val="false"/>
                <w:spacing w:val="0"/>
              </w:rPr>
            </w:pPr>
            <w:r>
              <w:rPr>
                <w:b/>
                <w:i/>
                <w:caps w:val="false"/>
                <w:smallCaps w:val="false"/>
                <w:spacing w:val="0"/>
              </w:rPr>
              <w:t>(r)</w:t>
            </w:r>
          </w:p>
        </w:tc>
        <w:tc>
          <w:tcPr>
            <w:tcW w:w="521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of financial instruments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Group’s financial instruments primarily consist of cash and cash equivalents, restricted short-term deposits, short-term investments, loans receivable, accounts receivable and payable, other current assets, bank loans, accrued expenses and other liabilities and mandatorily redeemable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0" w:after="0"/>
        <w:jc w:val="left"/>
        <w:rPr>
          <w:rFonts w:ascii="Times New Roman" w:hAnsi="Times New Roman"/>
          <w:sz w:val="20"/>
        </w:rPr>
      </w:pPr>
      <w:r>
        <w:rPr>
          <w:rFonts w:ascii="Times New Roman" w:hAnsi="Times New Roman"/>
          <w:sz w:val="20"/>
        </w:rPr>
        <w:t xml:space="preserve">interests. The carrying values of these financial instruments, except for short-term investments, long-term bank loans and mandatorily redeemable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0" w:after="0"/>
        <w:jc w:val="left"/>
        <w:rPr>
          <w:rFonts w:ascii="Times New Roman" w:hAnsi="Times New Roman"/>
          <w:sz w:val="20"/>
        </w:rPr>
      </w:pPr>
      <w:r>
        <w:rPr>
          <w:rFonts w:ascii="Times New Roman" w:hAnsi="Times New Roman"/>
          <w:sz w:val="20"/>
        </w:rPr>
        <w:t xml:space="preserve">interests, are approximated to their fair values due to their short-term maturities.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financial assets that are measured at fair value on a recurring basis consist of foreign exchange forward contract, short term investments and long-term debt security investment. Foreign exchange forward contract was classified within Level 2 of the fair value hierarchy because the quoted market price of underlying asset is not fully observable. Short term investments with observable inputs that reflected quoted prices for identical assets in active markets were categorized as Level 1, while short term investments without fully observable quoted market price of underlying asset were categorized as Level 2. </w:t>
      </w:r>
    </w:p>
    <w:p>
      <w:pPr>
        <w:pStyle w:val="TextBody"/>
        <w:bidi w:val="0"/>
        <w:spacing w:before="120" w:after="0"/>
        <w:jc w:val="left"/>
        <w:rPr>
          <w:rFonts w:ascii="Times New Roman" w:hAnsi="Times New Roman"/>
          <w:spacing w:val="0"/>
          <w:sz w:val="20"/>
        </w:rPr>
      </w:pPr>
      <w:r>
        <w:rPr>
          <w:rFonts w:ascii="Times New Roman" w:hAnsi="Times New Roman"/>
          <w:spacing w:val="0"/>
          <w:sz w:val="20"/>
        </w:rPr>
        <w:t>Long-term</w:t>
      </w:r>
    </w:p>
    <w:p>
      <w:pPr>
        <w:pStyle w:val="TextBody"/>
        <w:bidi w:val="0"/>
        <w:spacing w:before="120" w:after="0"/>
        <w:jc w:val="left"/>
        <w:rPr>
          <w:rFonts w:ascii="Times New Roman" w:hAnsi="Times New Roman"/>
          <w:sz w:val="20"/>
        </w:rPr>
      </w:pPr>
      <w:r>
        <w:rPr>
          <w:rFonts w:ascii="Times New Roman" w:hAnsi="Times New Roman"/>
          <w:sz w:val="20"/>
        </w:rPr>
        <w:t xml:space="preserve">debt security investment did not have readily determinable market values and was categorized as Level 3 in the fair value hierarchy. The Group measures investments without readily determinable fair values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120" w:after="0"/>
        <w:jc w:val="left"/>
        <w:rPr>
          <w:rFonts w:ascii="Times New Roman" w:hAnsi="Times New Roman"/>
          <w:sz w:val="20"/>
        </w:rPr>
      </w:pPr>
      <w:r>
        <w:rPr>
          <w:rFonts w:ascii="Times New Roman" w:hAnsi="Times New Roman"/>
          <w:sz w:val="20"/>
        </w:rPr>
        <w:t xml:space="preserve">basis when fair value adjustments can be supported by observable market data. Observable price changes generally arise from new financing rounds of the investee companies. As of December 31, 2024 and 2025, certain equity investments without determinable fair values were categorized within Level 2 of the fair value hierarchy when measured based on qualifying observable price changes. Those measured using significant unobservable inputs were categorized within Level 3. Under these circumstances, the Group has adopted certain valuation techniques using unobservable inputs to measure their respective fair values.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0"/>
              <w:jc w:val="left"/>
              <w:rPr>
                <w:b/>
                <w:i/>
                <w:caps w:val="false"/>
                <w:smallCaps w:val="false"/>
                <w:spacing w:val="0"/>
              </w:rPr>
            </w:pPr>
            <w:r>
              <w:rPr>
                <w:b/>
                <w:i/>
                <w:caps w:val="false"/>
                <w:smallCaps w:val="false"/>
                <w:spacing w:val="0"/>
              </w:rPr>
              <w:t>(s)</w:t>
            </w:r>
          </w:p>
        </w:tc>
        <w:tc>
          <w:tcPr>
            <w:tcW w:w="179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Group’s revenues are primarily derived from the sale of UAVs and related commercial solutions, mainly including air mobility solutions, smart city management solutions, and aerial media solutions.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enters into legally enforceable and binding agreements with its customers with fixed terms and conditions, including pricing. The Group recognizes revenue in the amount that reflects the consideration to which it expects to be entitled in exchange for the products or services are transferred to its customers. Revenues are presented net of taxes collected on behalf of the government.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When either party to a contract has performed, the Group presents the contract in the consolidated balance sheets as a contract asset or a contract liability, depending on the relationship between the entity’s performance and the customer’s payment.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contract asset is the Group’s right to consideration in exchange for goods and services that the Group has transferred to a customer when the consideration is conditioned other than the passage of time. A receivable is recorded when the Group has an unconditional right to consideration, but for only the passage of time.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If a customer pays consideration or the Group has receivable,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primarily result from the advance received of sales of UAVs and related commercial solutions, which are recognized as revenue based on the consumption of the services or the delivery of the goods. </w:t>
      </w:r>
    </w:p>
    <w:p>
      <w:pPr>
        <w:pStyle w:val="TextBody"/>
        <w:bidi w:val="0"/>
        <w:spacing w:before="120" w:after="0"/>
        <w:jc w:val="left"/>
        <w:rPr>
          <w:rFonts w:ascii="Times New Roman" w:hAnsi="Times New Roman"/>
          <w:sz w:val="20"/>
        </w:rPr>
      </w:pPr>
      <w:r>
        <w:rPr>
          <w:rFonts w:ascii="Times New Roman" w:hAnsi="Times New Roman"/>
          <w:sz w:val="20"/>
        </w:rPr>
        <w:t xml:space="preserve">The Group generally does not separately bill its customers for shipping and handling fees and charges. The Group elects to record the costs incurred for shipping and handling in “sales and marketing expenses” in its consolidated statements of comprehensive loss. The shipping and handling costs for the years ended December 31, 2023, 2024 and 2025 were RMB1,427, RMB2,438 and RMB1,208 (US$173),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275"/>
        <w:gridCol w:w="2825"/>
      </w:tblGrid>
      <w:tr>
        <w:trPr/>
        <w:tc>
          <w:tcPr>
            <w:tcW w:w="275" w:type="dxa"/>
            <w:tcBorders/>
            <w:vAlign w:val="center"/>
          </w:tcPr>
          <w:p>
            <w:pPr>
              <w:pStyle w:val="TableContents"/>
              <w:bidi w:val="0"/>
              <w:spacing w:before="0" w:after="0"/>
              <w:jc w:val="left"/>
              <w:rPr>
                <w:b/>
                <w:i/>
                <w:caps w:val="false"/>
                <w:smallCaps w:val="false"/>
                <w:spacing w:val="0"/>
              </w:rPr>
            </w:pPr>
            <w:r>
              <w:rPr>
                <w:b/>
                <w:i/>
                <w:caps w:val="false"/>
                <w:smallCaps w:val="false"/>
                <w:spacing w:val="0"/>
              </w:rPr>
              <w:t>(s)</w:t>
            </w:r>
          </w:p>
        </w:tc>
        <w:tc>
          <w:tcPr>
            <w:tcW w:w="282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(Continued)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u w:val="single"/>
        </w:rPr>
      </w:pPr>
      <w:r>
        <w:rPr>
          <w:rFonts w:ascii="Times New Roman" w:hAnsi="Times New Roman"/>
          <w:spacing w:val="0"/>
          <w:sz w:val="20"/>
          <w:u w:val="single"/>
        </w:rPr>
        <w:t>Practical Expedients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transaction price allocated to the performance obligations that are unsatisfied, or partially unsatisfied, has not been disclosed as substantially all of the Group contracts have a duration of one year or less. </w:t>
      </w:r>
    </w:p>
    <w:p>
      <w:pPr>
        <w:pStyle w:val="TextBody"/>
        <w:bidi w:val="0"/>
        <w:spacing w:before="120" w:after="0"/>
        <w:ind w:left="0" w:right="0" w:hanging="0"/>
        <w:jc w:val="left"/>
        <w:rPr>
          <w:rFonts w:ascii="Times New Roman" w:hAnsi="Times New Roman"/>
          <w:spacing w:val="0"/>
          <w:sz w:val="20"/>
          <w:u w:val="single"/>
        </w:rPr>
      </w:pPr>
      <w:r>
        <w:rPr>
          <w:rFonts w:ascii="Times New Roman" w:hAnsi="Times New Roman"/>
          <w:spacing w:val="0"/>
          <w:sz w:val="20"/>
          <w:u w:val="single"/>
        </w:rPr>
        <w:t>Air mobility solutions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Revenues from air mobility solutions are primarily product revenues from the sales of passenger-grade UAVs and its software. As the UAVs and software are highly interdependent, the entire bundle of promised goods is considered one performance obligation within the context of the contract. The Group recognizes revenue for this single performance obligation at a point in time when control to the bundle of goods transfers to the customer and other conditions as set out in ASC 606 are met. For domestic sales, control transfers upon delivery to the customer as evidenced by the customer’s acknowledgement of receipt and proof of delivery documentation. For international sales, control transfers at shipping point consistent with the terms of the sales agreements. The transaction price is the amount of consideration the Group expects to receive under the arrangement.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When the Group contracts with a customer and determines that it is not probable to collect substantially all of the consideration for the sales transaction at contract inception and no contract is established, any consideration received is recognized as a liability by the Group, subsequently recorded as revenue only when the Group has transferred control of the corresponding goods or services, has no obligation under the contract to transfer additional goods or services, and the consideration received is nonrefundable. The Group will record an asset in “Prepayments and other current assets” representing the value of the inventories recovered should the sale not happen.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only provides the right of return for defective goods in connection with its warranty policy which is accounted for as an assurance-type warranty. For the extended warranty beyond the standard policy, the Group considers it provides a level of protection beyond defects that existed at the time and accounts for it as a separate performance obligation.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Service revenues from air mobility solutions are primarily provision of exhibition income which is satisfied over time. </w:t>
      </w:r>
    </w:p>
    <w:p>
      <w:pPr>
        <w:pStyle w:val="TextBody"/>
        <w:bidi w:val="0"/>
        <w:spacing w:before="120" w:after="0"/>
        <w:ind w:left="0" w:right="0" w:hanging="0"/>
        <w:jc w:val="left"/>
        <w:rPr>
          <w:rFonts w:ascii="Times New Roman" w:hAnsi="Times New Roman"/>
          <w:spacing w:val="0"/>
          <w:sz w:val="20"/>
          <w:u w:val="single"/>
        </w:rPr>
      </w:pPr>
      <w:r>
        <w:rPr>
          <w:rFonts w:ascii="Times New Roman" w:hAnsi="Times New Roman"/>
          <w:spacing w:val="0"/>
          <w:sz w:val="20"/>
          <w:u w:val="single"/>
        </w:rPr>
        <w:t>Others</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Smart city management solutions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enters into contracts with its customers for designing, building and delivering customized integrated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centers. The duration of the contracts depends on the contract size and ranges from three months to one year, excluding the duration of warranty accounted for as an assurance-type warranty, which ranges from one year to three years. The Group provides a significant service of integrating goods and services including the project design, hardware and software promised in the contract into a combined output; therefore, the goods and services in the contracts are not distinct from each other and the Group determines there is one performance obligation, which is the delivery of the customized integrated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 The performance obligation is satisfied, and control is transferred to the customer over time because there is no alternative use for the highly customized and integrated command-control-center and the Group has an enforceable right to payment for performance completed to date. The Group has determined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cost-to-cost</w:t>
      </w:r>
    </w:p>
    <w:p>
      <w:pPr>
        <w:pStyle w:val="TextBody"/>
        <w:bidi w:val="0"/>
        <w:spacing w:before="120" w:after="0"/>
        <w:jc w:val="left"/>
        <w:rPr>
          <w:rFonts w:ascii="Times New Roman" w:hAnsi="Times New Roman"/>
          <w:sz w:val="20"/>
        </w:rPr>
      </w:pPr>
      <w:r>
        <w:rPr>
          <w:rFonts w:ascii="Times New Roman" w:hAnsi="Times New Roman"/>
          <w:sz w:val="20"/>
        </w:rPr>
        <w:t xml:space="preserve">method best depicts the measure of progress towards fulfilling the performance obligation. Under this method, revenue is recognized based on the estimated extent of progress, which is determined by dividing costs incurred to date by the total amount of costs expected to be incurred for designing, building and delivering a customized integrated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 Revisions in the estimated total costs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 contracts are made in the period in which the circumstances requiring the revision become known. Provisions, if any, are made in the period when anticipated losses become evident on uncompleted contracts. The Group reviews and updates the estimated total costs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 contracts periodically. The Group accounts for revisions to contract revenue and estimated total costs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command-and-control</w:t>
      </w:r>
    </w:p>
    <w:p>
      <w:pPr>
        <w:pStyle w:val="TextBody"/>
        <w:bidi w:val="0"/>
        <w:spacing w:before="120" w:after="0"/>
        <w:jc w:val="left"/>
        <w:rPr>
          <w:rFonts w:ascii="Times New Roman" w:hAnsi="Times New Roman"/>
          <w:sz w:val="20"/>
        </w:rPr>
      </w:pPr>
      <w:r>
        <w:rPr>
          <w:rFonts w:ascii="Times New Roman" w:hAnsi="Times New Roman"/>
          <w:sz w:val="20"/>
        </w:rPr>
        <w:t xml:space="preserve">center contracts, in the period in which the facts that cause the revision become known as changes in estimates. Unapproved change orders are considered claims. Claims are recognized only when they have been awarded by customers.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also provides products for smart city management solutions. Product revenues are recognized at a point in time upon customer acceptance of the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F- 2</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275"/>
        <w:gridCol w:w="2825"/>
      </w:tblGrid>
      <w:tr>
        <w:trPr/>
        <w:tc>
          <w:tcPr>
            <w:tcW w:w="275" w:type="dxa"/>
            <w:tcBorders/>
            <w:vAlign w:val="center"/>
          </w:tcPr>
          <w:p>
            <w:pPr>
              <w:pStyle w:val="TableContents"/>
              <w:bidi w:val="0"/>
              <w:spacing w:before="0" w:after="0"/>
              <w:jc w:val="left"/>
              <w:rPr>
                <w:b/>
                <w:i/>
                <w:caps w:val="false"/>
                <w:smallCaps w:val="false"/>
                <w:spacing w:val="0"/>
              </w:rPr>
            </w:pPr>
            <w:r>
              <w:rPr>
                <w:b/>
                <w:i/>
                <w:caps w:val="false"/>
                <w:smallCaps w:val="false"/>
                <w:spacing w:val="0"/>
              </w:rPr>
              <w:t>(s)</w:t>
            </w:r>
          </w:p>
        </w:tc>
        <w:tc>
          <w:tcPr>
            <w:tcW w:w="282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Aerial media solutions </w:t>
      </w:r>
    </w:p>
    <w:p>
      <w:pPr>
        <w:pStyle w:val="TextBody"/>
        <w:bidi w:val="0"/>
        <w:spacing w:before="120" w:after="0"/>
        <w:jc w:val="left"/>
        <w:rPr>
          <w:rFonts w:ascii="Times New Roman" w:hAnsi="Times New Roman"/>
          <w:sz w:val="20"/>
        </w:rPr>
      </w:pPr>
      <w:r>
        <w:rPr>
          <w:rFonts w:ascii="Times New Roman" w:hAnsi="Times New Roman"/>
          <w:sz w:val="20"/>
        </w:rPr>
        <w:t xml:space="preserve">The Group generates revenue by providing aerial media performance services and related products. Aerial media performance services allow multiple smart control-based drones to demonstrate and transform their formation to display diversified messages and images in specific airspace, that is tailor made based on different branding or advertising requirements. The Group uses self-produced and purchased drones and customizes the fleet formation performances based on customer’s needs and availability of airspace approval in the area. The performance is usually completed within a day and revenue is recognized when the service is delivered. While the aerial media performance services are delivered to customers over a period of time, the customer simultaneously receives and consumes the benefits of the Group’s performance as and when each service is delivered and revenue is recognized over time. </w:t>
      </w:r>
    </w:p>
    <w:p>
      <w:pPr>
        <w:pStyle w:val="TextBody"/>
        <w:bidi w:val="0"/>
        <w:spacing w:before="120" w:after="0"/>
        <w:jc w:val="left"/>
        <w:rPr>
          <w:rFonts w:ascii="Times New Roman" w:hAnsi="Times New Roman"/>
          <w:sz w:val="20"/>
        </w:rPr>
      </w:pPr>
      <w:r>
        <w:rPr>
          <w:rFonts w:ascii="Times New Roman" w:hAnsi="Times New Roman"/>
          <w:sz w:val="20"/>
        </w:rPr>
        <w:t xml:space="preserve">The Group also sells hardware and software components of the aerial media performance drones. As the hardware and software components are highly interdependent, the entire bundle of promised goods is considered one performance obligation within the context of the contract. The single performance obligation is satisfied at a point in time, which is upon customer acceptance of the products.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generates other revenues mainly from stand-alone sales of consumer drones and their components and spare parts. Revenues are recognized for consumer drones upon shipment which is when control of the drones is transferred to the customers. </w:t>
      </w:r>
    </w:p>
    <w:p>
      <w:pPr>
        <w:pStyle w:val="TextBody"/>
        <w:bidi w:val="0"/>
        <w:spacing w:before="120" w:after="0"/>
        <w:jc w:val="left"/>
        <w:rPr>
          <w:rFonts w:ascii="Times New Roman" w:hAnsi="Times New Roman"/>
          <w:sz w:val="20"/>
        </w:rPr>
      </w:pPr>
      <w:r>
        <w:rPr>
          <w:rFonts w:ascii="Times New Roman" w:hAnsi="Times New Roman"/>
          <w:sz w:val="20"/>
        </w:rPr>
        <w:t xml:space="preserve">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Contract modifications, if any, will be accounting for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goods or services that are distinct and the price of the contract increases by an amount of consideration that reflects the Group’s standalone selling prices of the additional promised goods or services. When a contract modification is not considered a separate contract and the remaining goods or services are distinct from the goods or services transferred on or before the date of the contract modification, the Group accounts for the contract modification as a termination of the existing contract and a creation of a new contract. When a contract modification is not considered a separate contract and the remaining goods or services are not distinct, the Group accounts for the contract modification as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add-on</w:t>
      </w:r>
    </w:p>
    <w:p>
      <w:pPr>
        <w:pStyle w:val="TextBody"/>
        <w:bidi w:val="0"/>
        <w:spacing w:before="120" w:after="0"/>
        <w:jc w:val="left"/>
        <w:rPr>
          <w:rFonts w:ascii="Times New Roman" w:hAnsi="Times New Roman"/>
          <w:sz w:val="20"/>
        </w:rPr>
      </w:pPr>
      <w:r>
        <w:rPr>
          <w:rFonts w:ascii="Times New Roman" w:hAnsi="Times New Roman"/>
          <w:sz w:val="20"/>
        </w:rPr>
        <w:t xml:space="preserve">to the existing contract and as an adjustment to revenue on a cumulative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catch-up</w:t>
      </w:r>
    </w:p>
    <w:p>
      <w:pPr>
        <w:pStyle w:val="TextBody"/>
        <w:bidi w:val="0"/>
        <w:spacing w:before="120" w:after="0"/>
        <w:jc w:val="left"/>
        <w:rPr>
          <w:rFonts w:ascii="Times New Roman" w:hAnsi="Times New Roman"/>
          <w:sz w:val="20"/>
        </w:rPr>
      </w:pPr>
      <w:r>
        <w:rPr>
          <w:rFonts w:ascii="Times New Roman" w:hAnsi="Times New Roman"/>
          <w:sz w:val="20"/>
        </w:rPr>
        <w:t xml:space="preserve">basis. </w:t>
      </w:r>
    </w:p>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245"/>
        <w:gridCol w:w="1430"/>
      </w:tblGrid>
      <w:tr>
        <w:trPr/>
        <w:tc>
          <w:tcPr>
            <w:tcW w:w="245" w:type="dxa"/>
            <w:tcBorders/>
            <w:vAlign w:val="center"/>
          </w:tcPr>
          <w:p>
            <w:pPr>
              <w:pStyle w:val="TableContents"/>
              <w:bidi w:val="0"/>
              <w:spacing w:before="0" w:after="0"/>
              <w:jc w:val="left"/>
              <w:rPr>
                <w:b/>
                <w:i/>
                <w:caps w:val="false"/>
                <w:smallCaps w:val="false"/>
                <w:spacing w:val="0"/>
              </w:rPr>
            </w:pPr>
            <w:r>
              <w:rPr>
                <w:b/>
                <w:i/>
                <w:caps w:val="false"/>
                <w:smallCaps w:val="false"/>
                <w:spacing w:val="0"/>
              </w:rPr>
              <w:t>(t)</w:t>
            </w:r>
          </w:p>
        </w:tc>
        <w:tc>
          <w:tcPr>
            <w:tcW w:w="143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 of revenues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Cost of revenues consists primarily of autonomous aerial vehicle material and manufacturing costs, construction costs of smart city management solutions, product warranty costs, provision for inventories, payroll, employee benefits, rental fees, depreciation and related costs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320"/>
        <w:gridCol w:w="2240"/>
      </w:tblGrid>
      <w:tr>
        <w:trPr/>
        <w:tc>
          <w:tcPr>
            <w:tcW w:w="320" w:type="dxa"/>
            <w:tcBorders/>
            <w:vAlign w:val="center"/>
          </w:tcPr>
          <w:p>
            <w:pPr>
              <w:pStyle w:val="TableContents"/>
              <w:bidi w:val="0"/>
              <w:spacing w:before="0" w:after="0"/>
              <w:jc w:val="left"/>
              <w:rPr>
                <w:b/>
                <w:i/>
                <w:caps w:val="false"/>
                <w:smallCaps w:val="false"/>
                <w:spacing w:val="0"/>
              </w:rPr>
            </w:pPr>
            <w:r>
              <w:rPr>
                <w:b/>
                <w:i/>
                <w:caps w:val="false"/>
                <w:smallCaps w:val="false"/>
                <w:spacing w:val="0"/>
              </w:rPr>
              <w:t>(u)</w:t>
            </w:r>
          </w:p>
        </w:tc>
        <w:tc>
          <w:tcPr>
            <w:tcW w:w="224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Product warranty liability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offers standard warranties to replace or repair defects on certain hardware parts of its passenger-grade UAVs for a period of six months to three years typically. The Group does not provide warranties to guarantee that the UAVs will perform as expected or in accordance with published specifications or provide expected benefits. The Group accrues for the estimated costs to repair or replace defective hardware parts and costs to assure software effectiveness as costs of revenues when revenue is recognized. The Group estimates its warranty costs by considering its historical experience of having to replace or repair hardware parts and for software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de-bugging</w:t>
      </w:r>
    </w:p>
    <w:p>
      <w:pPr>
        <w:pStyle w:val="TextBody"/>
        <w:bidi w:val="0"/>
        <w:spacing w:before="120" w:after="0"/>
        <w:jc w:val="left"/>
        <w:rPr>
          <w:rFonts w:ascii="Times New Roman" w:hAnsi="Times New Roman"/>
          <w:sz w:val="20"/>
        </w:rPr>
      </w:pPr>
      <w:r>
        <w:rPr>
          <w:rFonts w:ascii="Times New Roman" w:hAnsi="Times New Roman"/>
          <w:sz w:val="20"/>
        </w:rPr>
        <w:t xml:space="preserve">and the historical costs incurred have been insignificant to date. The estimates of warranties are inherently uncertain given the Group’s relatively short history of sales, and changes to the Group’s historical or projected warranty experience may cause material changes to the warranty reserve in the future. The Group reassesses whether warranty accruals are adequate based on actual experience as it becomes available and adjusts its estimates on a prospective basis. </w:t>
      </w:r>
    </w:p>
    <w:p>
      <w:pPr>
        <w:pStyle w:val="TextBody"/>
        <w:bidi w:val="0"/>
        <w:spacing w:before="120" w:after="0"/>
        <w:jc w:val="left"/>
        <w:rPr>
          <w:rFonts w:ascii="Times New Roman" w:hAnsi="Times New Roman"/>
          <w:sz w:val="20"/>
        </w:rPr>
      </w:pPr>
      <w:r>
        <w:rPr>
          <w:rFonts w:ascii="Times New Roman" w:hAnsi="Times New Roman"/>
          <w:sz w:val="20"/>
        </w:rPr>
        <w:t xml:space="preserve">Product warranty accrual is included in accrued expenses and other current liabilities (Note 11) and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liabilities in the consolidated balance sheets.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290"/>
        <w:gridCol w:w="2150"/>
      </w:tblGrid>
      <w:tr>
        <w:trPr/>
        <w:tc>
          <w:tcPr>
            <w:tcW w:w="290" w:type="dxa"/>
            <w:tcBorders/>
            <w:vAlign w:val="center"/>
          </w:tcPr>
          <w:p>
            <w:pPr>
              <w:pStyle w:val="TableContents"/>
              <w:bidi w:val="0"/>
              <w:spacing w:before="0" w:after="0"/>
              <w:jc w:val="left"/>
              <w:rPr>
                <w:b/>
                <w:i/>
                <w:caps w:val="false"/>
                <w:smallCaps w:val="false"/>
                <w:spacing w:val="0"/>
              </w:rPr>
            </w:pPr>
            <w:r>
              <w:rPr>
                <w:b/>
                <w:i/>
                <w:caps w:val="false"/>
                <w:smallCaps w:val="false"/>
                <w:spacing w:val="0"/>
              </w:rPr>
              <w:t>(v)</w:t>
            </w:r>
          </w:p>
        </w:tc>
        <w:tc>
          <w:tcPr>
            <w:tcW w:w="215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Advertising expenditures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Advertising expenditures are expensed as incurred and are included in “sales and marketing expenses”, which amounted to RMB2,918, RMB3,645 and RMB3,385 (US$484) for the years ended December 31, 2023, 2024 and 2025, respectively.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350"/>
        <w:gridCol w:w="3125"/>
      </w:tblGrid>
      <w:tr>
        <w:trPr/>
        <w:tc>
          <w:tcPr>
            <w:tcW w:w="350" w:type="dxa"/>
            <w:tcBorders/>
            <w:vAlign w:val="center"/>
          </w:tcPr>
          <w:p>
            <w:pPr>
              <w:pStyle w:val="TableContents"/>
              <w:bidi w:val="0"/>
              <w:spacing w:before="0" w:after="0"/>
              <w:jc w:val="left"/>
              <w:rPr>
                <w:b/>
                <w:i/>
                <w:caps w:val="false"/>
                <w:smallCaps w:val="false"/>
                <w:spacing w:val="0"/>
              </w:rPr>
            </w:pPr>
            <w:r>
              <w:rPr>
                <w:b/>
                <w:i/>
                <w:caps w:val="false"/>
                <w:smallCaps w:val="false"/>
                <w:spacing w:val="0"/>
              </w:rPr>
              <w:t>(w)</w:t>
            </w:r>
          </w:p>
        </w:tc>
        <w:tc>
          <w:tcPr>
            <w:tcW w:w="312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payroll, employee benefits, share-based compensation, legal and other professional services fees, expected credit losses provision, and other general corporate related expenses.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305"/>
        <w:gridCol w:w="308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(x)</w:t>
            </w:r>
          </w:p>
        </w:tc>
        <w:tc>
          <w:tcPr>
            <w:tcW w:w="308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Research and development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include materials and supplies, design and development expenses with new technology, payroll, employee benefits, share-based compensation and other operating expenses such as rent, depreciation and other related expenses. </w:t>
      </w:r>
    </w:p>
    <w:p>
      <w:pPr>
        <w:pStyle w:val="TextBody"/>
        <w:bidi w:val="0"/>
        <w:spacing w:before="120" w:after="0"/>
        <w:jc w:val="left"/>
        <w:rPr>
          <w:rFonts w:ascii="Times New Roman" w:hAnsi="Times New Roman"/>
          <w:sz w:val="20"/>
        </w:rPr>
      </w:pPr>
      <w:r>
        <w:rPr>
          <w:rFonts w:ascii="Times New Roman" w:hAnsi="Times New Roman"/>
          <w:sz w:val="20"/>
        </w:rPr>
        <w:t xml:space="preserve">The Group capitalizes costs to develop or obtain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120" w:after="0"/>
        <w:jc w:val="left"/>
        <w:rPr>
          <w:rFonts w:ascii="Times New Roman" w:hAnsi="Times New Roman"/>
          <w:sz w:val="20"/>
        </w:rPr>
      </w:pPr>
      <w:r>
        <w:rPr>
          <w:rFonts w:ascii="Times New Roman" w:hAnsi="Times New Roman"/>
          <w:sz w:val="20"/>
        </w:rPr>
        <w:t xml:space="preserve">software and costs of significant upgrades and enhancements resulting in additional functionality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120" w:after="0"/>
        <w:jc w:val="left"/>
        <w:rPr>
          <w:rFonts w:ascii="Times New Roman" w:hAnsi="Times New Roman"/>
          <w:sz w:val="20"/>
        </w:rPr>
      </w:pPr>
      <w:r>
        <w:rPr>
          <w:rFonts w:ascii="Times New Roman" w:hAnsi="Times New Roman"/>
          <w:sz w:val="20"/>
        </w:rPr>
        <w:t xml:space="preserve">software in accordance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350-40</w:t>
      </w:r>
    </w:p>
    <w:p>
      <w:pPr>
        <w:pStyle w:val="TextBody"/>
        <w:bidi w:val="0"/>
        <w:spacing w:before="120" w:after="0"/>
        <w:jc w:val="left"/>
        <w:rPr>
          <w:rFonts w:ascii="Times New Roman" w:hAnsi="Times New Roman"/>
          <w:sz w:val="20"/>
        </w:rPr>
      </w:pPr>
      <w:r>
        <w:rPr>
          <w:rFonts w:ascii="Times New Roman" w:hAnsi="Times New Roman"/>
          <w:sz w:val="20"/>
        </w:rPr>
        <w:t xml:space="preserve">(“ASC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350-40”),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Internal-Use</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Software</w:t>
      </w:r>
    </w:p>
    <w:p>
      <w:pPr>
        <w:pStyle w:val="TextBody"/>
        <w:bidi w:val="0"/>
        <w:spacing w:before="120" w:after="0"/>
        <w:jc w:val="left"/>
        <w:rPr>
          <w:rFonts w:ascii="Times New Roman" w:hAnsi="Times New Roman"/>
          <w:sz w:val="20"/>
        </w:rPr>
      </w:pPr>
      <w:r>
        <w:rPr>
          <w:rFonts w:ascii="Times New Roman" w:hAnsi="Times New Roman"/>
          <w:sz w:val="20"/>
        </w:rPr>
        <w:t xml:space="preserve">. Costs incurred for internally developed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120" w:after="0"/>
        <w:jc w:val="left"/>
        <w:rPr>
          <w:rFonts w:ascii="Times New Roman" w:hAnsi="Times New Roman"/>
          <w:sz w:val="20"/>
        </w:rPr>
      </w:pPr>
      <w:r>
        <w:rPr>
          <w:rFonts w:ascii="Times New Roman" w:hAnsi="Times New Roman"/>
          <w:sz w:val="20"/>
        </w:rPr>
        <w:t xml:space="preserve">software used for a particular research and development project are expensed as incurred, regardless of whether the software has alternative future uses. Costs incurred for maintenance, training, and minor modifications or enhancements are also expensed as incurred. Capitalized software development costs are amortized on a straight-line basis over the estimated useful life of the applicable software. Capitalized software development costs have not been material for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Group also incurs cost to develop software embedded in its products. The software components cannot function or be sold separately from the UAV as a whole. The Group accounts for costs incurred in the development of software embedded in its products in accordance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985-20</w:t>
      </w:r>
    </w:p>
    <w:p>
      <w:pPr>
        <w:pStyle w:val="TextBody"/>
        <w:bidi w:val="0"/>
        <w:spacing w:before="120" w:after="0"/>
        <w:jc w:val="left"/>
        <w:rPr>
          <w:rFonts w:ascii="Times New Roman" w:hAnsi="Times New Roman"/>
          <w:sz w:val="20"/>
        </w:rPr>
      </w:pPr>
      <w:r>
        <w:rPr>
          <w:rFonts w:ascii="Times New Roman" w:hAnsi="Times New Roman"/>
          <w:sz w:val="20"/>
        </w:rPr>
        <w:t xml:space="preserve">(“ASC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985-20”),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Costs of Software to be Sold, Leased, or Marketed</w:t>
      </w:r>
    </w:p>
    <w:p>
      <w:pPr>
        <w:pStyle w:val="TextBody"/>
        <w:bidi w:val="0"/>
        <w:spacing w:before="120" w:after="0"/>
        <w:jc w:val="left"/>
        <w:rPr>
          <w:rFonts w:ascii="Times New Roman" w:hAnsi="Times New Roman"/>
          <w:sz w:val="20"/>
        </w:rPr>
      </w:pPr>
      <w:r>
        <w:rPr>
          <w:rFonts w:ascii="Times New Roman" w:hAnsi="Times New Roman"/>
          <w:sz w:val="20"/>
        </w:rPr>
        <w:t xml:space="preserve">. Such software development costs consist primarily of salaries and related payroll costs and are capitalized once technological feasibility is established, which is when a completed detail program design or in the absence of a completed detail program design, a working model of the product is available. As a result, capitalized software development costs were immaterial for the years ended December 31, 2023, 2024 and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925" w:type="dxa"/>
        <w:jc w:val="left"/>
        <w:tblInd w:w="0" w:type="dxa"/>
        <w:tblLayout w:type="fixed"/>
        <w:tblCellMar>
          <w:top w:w="0" w:type="dxa"/>
          <w:left w:w="0" w:type="dxa"/>
          <w:bottom w:w="0" w:type="dxa"/>
          <w:right w:w="0" w:type="dxa"/>
        </w:tblCellMar>
      </w:tblPr>
      <w:tblGrid>
        <w:gridCol w:w="290"/>
        <w:gridCol w:w="635"/>
      </w:tblGrid>
      <w:tr>
        <w:trPr/>
        <w:tc>
          <w:tcPr>
            <w:tcW w:w="290" w:type="dxa"/>
            <w:tcBorders/>
            <w:vAlign w:val="center"/>
          </w:tcPr>
          <w:p>
            <w:pPr>
              <w:pStyle w:val="TableContents"/>
              <w:bidi w:val="0"/>
              <w:spacing w:before="0" w:after="0"/>
              <w:jc w:val="left"/>
              <w:rPr>
                <w:b/>
                <w:i/>
                <w:spacing w:val="0"/>
              </w:rPr>
            </w:pPr>
            <w:r>
              <w:rPr>
                <w:b/>
                <w:i/>
                <w:spacing w:val="0"/>
              </w:rPr>
              <w:t>(y)</w:t>
            </w:r>
          </w:p>
        </w:tc>
        <w:tc>
          <w:tcPr>
            <w:tcW w:w="63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leases facilities under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120" w:after="0"/>
        <w:jc w:val="left"/>
        <w:rPr>
          <w:rFonts w:ascii="Times New Roman" w:hAnsi="Times New Roman"/>
          <w:sz w:val="20"/>
        </w:rPr>
      </w:pPr>
      <w:r>
        <w:rPr>
          <w:rFonts w:ascii="Times New Roman" w:hAnsi="Times New Roman"/>
          <w:sz w:val="20"/>
        </w:rPr>
        <w:t xml:space="preserve">operating leases expiring on different dates. Under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No.2016-02(Topic</w:t>
      </w:r>
    </w:p>
    <w:p>
      <w:pPr>
        <w:pStyle w:val="TextBody"/>
        <w:bidi w:val="0"/>
        <w:spacing w:before="120" w:after="0"/>
        <w:jc w:val="left"/>
        <w:rPr>
          <w:rFonts w:ascii="Times New Roman" w:hAnsi="Times New Roman"/>
          <w:sz w:val="20"/>
        </w:rPr>
      </w:pPr>
      <w:r>
        <w:rPr>
          <w:rFonts w:ascii="Times New Roman" w:hAnsi="Times New Roman"/>
          <w:sz w:val="20"/>
        </w:rPr>
        <w:t xml:space="preserve">842) “Leases”, lessees are required to recognize assets and liabilities on the balance sheet for most leases. A contract is or contains a lease if the contract conveys the right to control the use of identified property or equipment (an identified asset) for a period of time in exchange for consideration. The Group determines whether a contract conveys the right to control the use of an identified asset for a period of time by assessing whether the Group has both the right to obtain substantially all of the economic benefits from use of the identified asset and the right to direct the use of the identified asset. </w:t>
      </w:r>
    </w:p>
    <w:p>
      <w:pPr>
        <w:pStyle w:val="TextBody"/>
        <w:bidi w:val="0"/>
        <w:spacing w:before="120" w:after="0"/>
        <w:jc w:val="left"/>
        <w:rPr>
          <w:rFonts w:ascii="Times New Roman" w:hAnsi="Times New Roman"/>
          <w:sz w:val="20"/>
        </w:rPr>
      </w:pPr>
      <w:r>
        <w:rPr>
          <w:rFonts w:ascii="Times New Roman" w:hAnsi="Times New Roman"/>
          <w:sz w:val="20"/>
        </w:rPr>
        <w:t xml:space="preserve">The Group has elected not to present short-term leases on the consolidated balance sheet as these leases have a lease term of 12 months or less at commencement date of the lease and do not include options to purchase or renew that the Group is reasonably certain to exercise. The Group accounts for short-term leases with terms less than 12 months in accordance with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842-20-25-2</w:t>
      </w:r>
    </w:p>
    <w:p>
      <w:pPr>
        <w:pStyle w:val="TextBody"/>
        <w:bidi w:val="0"/>
        <w:spacing w:before="120" w:after="0"/>
        <w:jc w:val="left"/>
        <w:rPr>
          <w:rFonts w:ascii="Times New Roman" w:hAnsi="Times New Roman"/>
          <w:sz w:val="20"/>
        </w:rPr>
      </w:pPr>
      <w:r>
        <w:rPr>
          <w:rFonts w:ascii="Times New Roman" w:hAnsi="Times New Roman"/>
          <w:sz w:val="20"/>
        </w:rPr>
        <w:t xml:space="preserve">to recognize the lease payments in profit or loss on a straight-line basis over the lease term and variable lease payments in the period in which the obligation for those payments is incurred. </w:t>
      </w:r>
    </w:p>
    <w:p>
      <w:pPr>
        <w:pStyle w:val="TextBody"/>
        <w:bidi w:val="0"/>
        <w:spacing w:before="120" w:after="0"/>
        <w:jc w:val="left"/>
        <w:rPr>
          <w:rFonts w:ascii="Times New Roman" w:hAnsi="Times New Roman"/>
          <w:sz w:val="20"/>
        </w:rPr>
      </w:pPr>
      <w:r>
        <w:rPr>
          <w:rFonts w:ascii="Times New Roman" w:hAnsi="Times New Roman"/>
          <w:sz w:val="20"/>
        </w:rPr>
        <w:t xml:space="preserve">Operating leases are included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current lease liabilities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lease liabilities on the consolidated balance sheet. Renewal options are considered within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and lease liability when it is reasonably certain that the Group will exercise that option. </w:t>
      </w:r>
    </w:p>
    <w:p>
      <w:pPr>
        <w:pStyle w:val="TextBody"/>
        <w:bidi w:val="0"/>
        <w:spacing w:before="120" w:after="0"/>
        <w:jc w:val="left"/>
        <w:rPr>
          <w:rFonts w:ascii="Times New Roman" w:hAnsi="Times New Roman"/>
          <w:sz w:val="20"/>
        </w:rPr>
      </w:pPr>
      <w:r>
        <w:rPr>
          <w:rFonts w:ascii="Times New Roman" w:hAnsi="Times New Roman"/>
          <w:sz w:val="20"/>
        </w:rPr>
        <w:t xml:space="preserve">The Group elected the package of practical expedients permitted under the transition guidance within the new standard, which allowed the Group to carry forward the historical determination of contracts as leases, lease classification and not reassess initial direct costs for historical lease arrangements. In addition, the Group also elected the practical expedient to apply consistently to all of the Group’s leases to use hindsight in determining the lease term (that is, when considering lessee options to extend or terminate the lease and to purchase the underlying asset) and in assessing impairment of the Group’s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lease agreements with lease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and has elected to utilize the practical expedient to account for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together with the associated lease component as a single combined lease component. </w:t>
      </w:r>
    </w:p>
    <w:p>
      <w:pPr>
        <w:pStyle w:val="TextBody"/>
        <w:bidi w:val="0"/>
        <w:spacing w:before="120" w:after="0"/>
        <w:jc w:val="left"/>
        <w:rPr>
          <w:rFonts w:ascii="Times New Roman" w:hAnsi="Times New Roman"/>
          <w:sz w:val="20"/>
        </w:rPr>
      </w:pPr>
      <w:r>
        <w:rPr>
          <w:rFonts w:ascii="Times New Roman" w:hAnsi="Times New Roman"/>
          <w:sz w:val="20"/>
        </w:rPr>
        <w:t xml:space="preserve">As most of the Group’s leases do not provide an implicit rate, the Group uses its incremental borrowing rate based on the information available at lease commencement date in determining the present value of lease payments. The incremental borrowing rate is a hypothetical rate based on the Group’s understanding of what its credit rating would be to borrow and resulting interest the Group would pay to borrow an amount equal to the lease payments in a similar economic environment over the lease term on a collateralized basis. </w:t>
      </w:r>
    </w:p>
    <w:p>
      <w:pPr>
        <w:pStyle w:val="TextBody"/>
        <w:bidi w:val="0"/>
        <w:spacing w:before="120" w:after="0"/>
        <w:jc w:val="left"/>
        <w:rPr>
          <w:rFonts w:ascii="Times New Roman" w:hAnsi="Times New Roman"/>
          <w:sz w:val="20"/>
        </w:rPr>
      </w:pPr>
      <w:r>
        <w:rPr>
          <w:rFonts w:ascii="Times New Roman" w:hAnsi="Times New Roman"/>
          <w:sz w:val="20"/>
        </w:rPr>
        <w:t xml:space="preserve">(i)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which mainly comprise of office and production facilities, are initially measured at the present value of the lease payments. Amortization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is made over the lease term on a generally straight-line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90"/>
        <w:gridCol w:w="1670"/>
      </w:tblGrid>
      <w:tr>
        <w:trPr/>
        <w:tc>
          <w:tcPr>
            <w:tcW w:w="290" w:type="dxa"/>
            <w:tcBorders/>
            <w:vAlign w:val="center"/>
          </w:tcPr>
          <w:p>
            <w:pPr>
              <w:pStyle w:val="TableContents"/>
              <w:bidi w:val="0"/>
              <w:spacing w:before="0" w:after="0"/>
              <w:jc w:val="left"/>
              <w:rPr>
                <w:b/>
                <w:i/>
                <w:spacing w:val="0"/>
              </w:rPr>
            </w:pPr>
            <w:r>
              <w:rPr>
                <w:b/>
                <w:i/>
                <w:spacing w:val="0"/>
              </w:rPr>
              <w:t>(y)</w:t>
            </w:r>
          </w:p>
        </w:tc>
        <w:tc>
          <w:tcPr>
            <w:tcW w:w="167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(ii) Lease liabilities </w:t>
      </w:r>
    </w:p>
    <w:p>
      <w:pPr>
        <w:pStyle w:val="TextBody"/>
        <w:bidi w:val="0"/>
        <w:spacing w:before="120" w:after="0"/>
        <w:jc w:val="left"/>
        <w:rPr>
          <w:rFonts w:ascii="Times New Roman" w:hAnsi="Times New Roman"/>
          <w:sz w:val="20"/>
        </w:rPr>
      </w:pPr>
      <w:r>
        <w:rPr>
          <w:rFonts w:ascii="Times New Roman" w:hAnsi="Times New Roman"/>
          <w:sz w:val="20"/>
        </w:rPr>
        <w:t xml:space="preserve">Lease liabilities are lessees’ obligations to make the lease payments arising from a lease, measured on a discounted basis. </w:t>
      </w:r>
    </w:p>
    <w:p>
      <w:pPr>
        <w:pStyle w:val="TextBody"/>
        <w:bidi w:val="0"/>
        <w:spacing w:before="120" w:after="0"/>
        <w:jc w:val="left"/>
        <w:rPr>
          <w:rFonts w:ascii="Times New Roman" w:hAnsi="Times New Roman"/>
          <w:sz w:val="20"/>
        </w:rPr>
      </w:pPr>
      <w:r>
        <w:rPr>
          <w:rFonts w:ascii="Times New Roman" w:hAnsi="Times New Roman"/>
          <w:sz w:val="20"/>
        </w:rPr>
        <w:t xml:space="preserve">As a lessee, the weighted average remaining lease terms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was 12 years, as of December 31, 2025, the discount rate for the lease is the rate implicit in the lease unless that rate cannot be readily determined and the weighted-average discount rate of the operating lease was 4.20%.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operating lease cost were RMB11,527, RMB11,227 and RMB15,642 (US$2,237), and short-term lease cost were RMB172, RMB100 and RMB118 (US$17), respectively. There was no other lease cost other than operating lease cost and short-term lease cost for each of the periods presented. For the years ended December 31, 2023, 2024 and 2025, cash paid for operating leases included in operating cash flows were RMB6,877, RMB7,383 and RMB11,024 (US$1,576), respectively. For the years ended December 31, 2023, 2024 and 2025, leased assets obtained in exchange for operating lease liabilities was RMB9,127, RMB60,590 and RMB1,363 (US$195), respectively. </w:t>
      </w:r>
    </w:p>
    <w:p>
      <w:pPr>
        <w:pStyle w:val="TextBody"/>
        <w:bidi w:val="0"/>
        <w:spacing w:before="120" w:after="0"/>
        <w:jc w:val="left"/>
        <w:rPr>
          <w:rFonts w:ascii="Times New Roman" w:hAnsi="Times New Roman"/>
          <w:sz w:val="20"/>
        </w:rPr>
      </w:pPr>
      <w:r>
        <w:rPr>
          <w:rFonts w:ascii="Times New Roman" w:hAnsi="Times New Roman"/>
          <w:sz w:val="20"/>
        </w:rPr>
        <w:t xml:space="preserve">A maturity analysis of the Company’s operating lease liabilities and reconciliation of the undiscounted cash flows to the operating lease liabilities recognized on the consolidated balance sheet was as below: </w:t>
      </w:r>
    </w:p>
    <w:p>
      <w:pPr>
        <w:pStyle w:val="TextBody"/>
        <w:bidi w:val="0"/>
        <w:spacing w:before="0" w:after="0"/>
        <w:jc w:val="left"/>
        <w:rPr/>
      </w:pPr>
      <w:r>
        <w:rPr/>
        <w:t> </w:t>
      </w:r>
    </w:p>
    <w:tbl>
      <w:tblPr>
        <w:tblW w:w="6420" w:type="dxa"/>
        <w:jc w:val="left"/>
        <w:tblInd w:w="0" w:type="dxa"/>
        <w:tblLayout w:type="fixed"/>
        <w:tblCellMar>
          <w:top w:w="0" w:type="dxa"/>
          <w:left w:w="0" w:type="dxa"/>
          <w:bottom w:w="0" w:type="dxa"/>
          <w:right w:w="0" w:type="dxa"/>
        </w:tblCellMar>
      </w:tblPr>
      <w:tblGrid>
        <w:gridCol w:w="2600"/>
        <w:gridCol w:w="120"/>
        <w:gridCol w:w="112"/>
        <w:gridCol w:w="1506"/>
        <w:gridCol w:w="291"/>
        <w:gridCol w:w="225"/>
        <w:gridCol w:w="112"/>
        <w:gridCol w:w="1284"/>
        <w:gridCol w:w="17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30" w:type="dxa"/>
            <w:gridSpan w:val="6"/>
            <w:tcBorders>
              <w:bottom w:val="single" w:sz="8" w:space="0" w:color="000000"/>
            </w:tcBorders>
            <w:tcMar>
              <w:bottom w:w="28" w:type="dxa"/>
            </w:tcMar>
            <w:vAlign w:val="center"/>
          </w:tcPr>
          <w:p>
            <w:pPr>
              <w:pStyle w:val="TableContents"/>
              <w:bidi w:val="0"/>
              <w:spacing w:before="0" w:after="283"/>
              <w:jc w:val="center"/>
              <w:rPr/>
            </w:pPr>
            <w:r>
              <w:rPr/>
              <w:t>Office and production facilities rental</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30" w:type="dxa"/>
            <w:gridSpan w:val="6"/>
            <w:tcBorders>
              <w:bottom w:val="single" w:sz="8" w:space="0" w:color="000000"/>
            </w:tcBorders>
            <w:tcMar>
              <w:bottom w:w="28" w:type="dxa"/>
            </w:tcMar>
            <w:vAlign w:val="center"/>
          </w:tcPr>
          <w:p>
            <w:pPr>
              <w:pStyle w:val="TableContents"/>
              <w:bidi w:val="0"/>
              <w:spacing w:before="0" w:after="283"/>
              <w:jc w:val="center"/>
              <w:rPr/>
            </w:pPr>
            <w:r>
              <w:rPr/>
              <w:t>As of December 31, 2025</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8" w:type="dxa"/>
            <w:gridSpan w:val="2"/>
            <w:tcBorders/>
            <w:vAlign w:val="center"/>
          </w:tcPr>
          <w:p>
            <w:pPr>
              <w:pStyle w:val="TableContents"/>
              <w:bidi w:val="0"/>
              <w:spacing w:before="0" w:after="283"/>
              <w:jc w:val="center"/>
              <w:rPr/>
            </w:pPr>
            <w:r>
              <w:rPr/>
              <w:t>RMB</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pPr>
            <w:r>
              <w:rPr/>
              <w:t>US$</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16,576</w:t>
            </w:r>
          </w:p>
        </w:tc>
        <w:tc>
          <w:tcPr>
            <w:tcW w:w="29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2,370</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14,571</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2,084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14,141</w:t>
            </w:r>
          </w:p>
        </w:tc>
        <w:tc>
          <w:tcPr>
            <w:tcW w:w="29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2,022</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12,199</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1,744</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2030</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12,427</w:t>
            </w:r>
          </w:p>
        </w:tc>
        <w:tc>
          <w:tcPr>
            <w:tcW w:w="29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1,777</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2031 and thereafter</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103,063</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14,738</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06" w:type="dxa"/>
            <w:tcBorders/>
            <w:vAlign w:val="center"/>
          </w:tcPr>
          <w:p>
            <w:pPr>
              <w:pStyle w:val="TableContents"/>
              <w:bidi w:val="0"/>
              <w:spacing w:before="0" w:after="0"/>
              <w:jc w:val="left"/>
              <w:rPr>
                <w:bdr w:val="single" w:sz="2" w:space="1" w:color="000000"/>
              </w:rPr>
            </w:pPr>
            <w:r>
              <w:rPr>
                <w:bdr w:val="single" w:sz="2" w:space="1" w:color="000000"/>
              </w:rPr>
              <w:t> </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Minimum lease payments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172,977</w:t>
            </w:r>
          </w:p>
        </w:tc>
        <w:tc>
          <w:tcPr>
            <w:tcW w:w="29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24,735</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(42,453</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(6,070</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06" w:type="dxa"/>
            <w:tcBorders/>
            <w:vAlign w:val="center"/>
          </w:tcPr>
          <w:p>
            <w:pPr>
              <w:pStyle w:val="TableContents"/>
              <w:bidi w:val="0"/>
              <w:spacing w:before="0" w:after="0"/>
              <w:jc w:val="left"/>
              <w:rPr>
                <w:bdr w:val="single" w:sz="2" w:space="1" w:color="000000"/>
              </w:rPr>
            </w:pPr>
            <w:r>
              <w:rPr>
                <w:bdr w:val="single" w:sz="2" w:space="1" w:color="000000"/>
              </w:rPr>
              <w:t> </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130,524</w:t>
            </w:r>
          </w:p>
        </w:tc>
        <w:tc>
          <w:tcPr>
            <w:tcW w:w="29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18,665</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Current portion</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(16,278</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(2,328</w:t>
            </w:r>
          </w:p>
        </w:tc>
        <w:tc>
          <w:tcPr>
            <w:tcW w:w="17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506" w:type="dxa"/>
            <w:tcBorders/>
            <w:vAlign w:val="center"/>
          </w:tcPr>
          <w:p>
            <w:pPr>
              <w:pStyle w:val="TableContents"/>
              <w:bidi w:val="0"/>
              <w:spacing w:before="0" w:after="0"/>
              <w:jc w:val="left"/>
              <w:rPr>
                <w:bdr w:val="single" w:sz="2" w:space="1" w:color="000000"/>
              </w:rPr>
            </w:pPr>
            <w:r>
              <w:rPr>
                <w:bdr w:val="single" w:sz="2" w:space="1" w:color="000000"/>
              </w:rPr>
              <w:t> </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28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 of lease liabilities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114,246</w:t>
            </w:r>
          </w:p>
        </w:tc>
        <w:tc>
          <w:tcPr>
            <w:tcW w:w="291"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16,337</w:t>
            </w:r>
          </w:p>
        </w:tc>
        <w:tc>
          <w:tcPr>
            <w:tcW w:w="17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double" w:sz="6" w:space="1" w:color="000000"/>
              </w:rPr>
            </w:pPr>
            <w:r>
              <w:rPr>
                <w:bdr w:val="double" w:sz="6" w:space="1" w:color="000000"/>
              </w:rPr>
              <w:t> </w:t>
            </w:r>
          </w:p>
        </w:tc>
        <w:tc>
          <w:tcPr>
            <w:tcW w:w="1506" w:type="dxa"/>
            <w:tcBorders/>
            <w:vAlign w:val="center"/>
          </w:tcPr>
          <w:p>
            <w:pPr>
              <w:pStyle w:val="TableContents"/>
              <w:bidi w:val="0"/>
              <w:spacing w:before="0" w:after="0"/>
              <w:jc w:val="left"/>
              <w:rPr>
                <w:bdr w:val="double" w:sz="6" w:space="1" w:color="000000"/>
              </w:rPr>
            </w:pPr>
            <w:r>
              <w:rPr>
                <w:bdr w:val="double" w:sz="6" w:space="1" w:color="000000"/>
              </w:rPr>
              <w:t> </w:t>
            </w:r>
          </w:p>
        </w:tc>
        <w:tc>
          <w:tcPr>
            <w:tcW w:w="291"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double" w:sz="6" w:space="1" w:color="000000"/>
              </w:rPr>
            </w:pPr>
            <w:r>
              <w:rPr>
                <w:bdr w:val="double" w:sz="6" w:space="1" w:color="000000"/>
              </w:rPr>
              <w:t> </w:t>
            </w:r>
          </w:p>
        </w:tc>
        <w:tc>
          <w:tcPr>
            <w:tcW w:w="128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0"/>
              <w:jc w:val="left"/>
              <w:rPr>
                <w:b/>
                <w:i/>
                <w:spacing w:val="0"/>
              </w:rPr>
            </w:pPr>
            <w:r>
              <w:rPr>
                <w:b/>
                <w:i/>
                <w:spacing w:val="0"/>
              </w:rPr>
              <w:t>(z)</w:t>
            </w:r>
          </w:p>
        </w:tc>
        <w:tc>
          <w:tcPr>
            <w:tcW w:w="188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Government subsidies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Government subsidies primarily consist of financial subsidies received from provincial and local governments for operating a business in their jurisdictions and compliance with specific policies promoted by the local governments. There are no defined rules and regulations to govern the criteria necessary for companies to receive such benefits, and the amount of financial subsidy is determined at the discretion of the relevant government authorities. The government subsidies of operating nature with no further conditions to be met are recorded in “other operating income” when received. The government subsidies with certain operating conditions are recorded as “deferred government subsidies” on the consolidated balance sheets when received and are recorded as “other operating income” when the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other operating income mainly represents government grants that recognized upon receipt immediately in profit or loss of RMB6,233, RMB29,869 and RMB10,400 (US$1,487), respectively, as no further performance or conditions is required. Other operating income of RMB1,983 (US$284) were recognized during the year ended December 31, 2025 from deferred government subsidies when the conditions are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425"/>
        <w:gridCol w:w="1175"/>
      </w:tblGrid>
      <w:tr>
        <w:trPr/>
        <w:tc>
          <w:tcPr>
            <w:tcW w:w="4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(aa)</w:t>
            </w:r>
          </w:p>
        </w:tc>
        <w:tc>
          <w:tcPr>
            <w:tcW w:w="117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follows the liability method of accounting for income taxes in accordance with ASC 740 (‘‘ASC 740’’),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w:t>
      </w:r>
    </w:p>
    <w:p>
      <w:pPr>
        <w:pStyle w:val="TextBody"/>
        <w:bidi w:val="0"/>
        <w:spacing w:before="120" w:after="0"/>
        <w:jc w:val="left"/>
        <w:rPr>
          <w:rFonts w:ascii="Times New Roman" w:hAnsi="Times New Roman"/>
          <w:sz w:val="20"/>
        </w:rPr>
      </w:pPr>
      <w:r>
        <w:rPr>
          <w:rFonts w:ascii="Times New Roman" w:hAnsi="Times New Roman"/>
          <w:sz w:val="20"/>
        </w:rPr>
        <w:t xml:space="preserve">.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w:t>
      </w:r>
    </w:p>
    <w:p>
      <w:pPr>
        <w:pStyle w:val="TextBody"/>
        <w:bidi w:val="0"/>
        <w:spacing w:before="120" w:after="0"/>
        <w:jc w:val="left"/>
        <w:rPr>
          <w:rFonts w:ascii="Times New Roman" w:hAnsi="Times New Roman"/>
          <w:spacing w:val="0"/>
          <w:sz w:val="20"/>
        </w:rPr>
      </w:pPr>
      <w:r>
        <w:rPr>
          <w:rFonts w:ascii="Times New Roman" w:hAnsi="Times New Roman"/>
          <w:spacing w:val="0"/>
          <w:sz w:val="20"/>
        </w:rPr>
        <w:t>more-likely-than-not</w:t>
      </w:r>
    </w:p>
    <w:p>
      <w:pPr>
        <w:pStyle w:val="TextBody"/>
        <w:bidi w:val="0"/>
        <w:spacing w:before="120" w:after="0"/>
        <w:jc w:val="left"/>
        <w:rPr>
          <w:rFonts w:ascii="Times New Roman" w:hAnsi="Times New Roman"/>
          <w:sz w:val="20"/>
        </w:rPr>
      </w:pPr>
      <w:r>
        <w:rPr>
          <w:rFonts w:ascii="Times New Roman" w:hAnsi="Times New Roman"/>
          <w:sz w:val="20"/>
        </w:rPr>
        <w:t xml:space="preserve">that some portion, or all, of the deferred tax assets will not be realized. The effect on deferred taxes of a change in tax rate is recognized in tax expense in the period that includes the enactment date of the change in tax rate. </w:t>
      </w:r>
    </w:p>
    <w:p>
      <w:pPr>
        <w:pStyle w:val="TextBody"/>
        <w:bidi w:val="0"/>
        <w:spacing w:before="120" w:after="0"/>
        <w:jc w:val="left"/>
        <w:rPr>
          <w:rFonts w:ascii="Times New Roman" w:hAnsi="Times New Roman"/>
          <w:sz w:val="20"/>
        </w:rPr>
      </w:pPr>
      <w:r>
        <w:rPr>
          <w:rFonts w:ascii="Times New Roman" w:hAnsi="Times New Roman"/>
          <w:sz w:val="20"/>
        </w:rPr>
        <w:t xml:space="preserve">The Group accounted for uncertainties in income taxes in accordance with ASC 740. Interest and penalties arising from underpayment of income taxes shall be computed in accordance with the related PRC tax law. The amount of interest expense is computed by applying the applicable statutory rate of interest to the difference between the tax position recognized and the amount previously taken or expected to be taken in a tax return. Interest and penalties recognized in accordance with ASC 740 are classified in the consolidated statements of comprehensive loss as 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Financial Accounting Standards Board (“FASB”) issued Accounting Standards Update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2023-09,</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Income Tax Disclosures (Topic 740). The ASU requires disaggregated information about a reporting entity’s effective tax rate reconciliation as well as additional information on income taxes paid. The Group adopted this ASU on a prospective basis effective January 1, 2025. Refer to Note 17, Income Taxes for the inclusion of new disclosures required. </w:t>
      </w:r>
    </w:p>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425"/>
        <w:gridCol w:w="2300"/>
      </w:tblGrid>
      <w:tr>
        <w:trPr/>
        <w:tc>
          <w:tcPr>
            <w:tcW w:w="4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(ab)</w:t>
            </w:r>
          </w:p>
        </w:tc>
        <w:tc>
          <w:tcPr>
            <w:tcW w:w="230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applies ASC 718 (‘‘ASC 718’’),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Compensation—Stock Compensation</w:t>
      </w:r>
    </w:p>
    <w:p>
      <w:pPr>
        <w:pStyle w:val="TextBody"/>
        <w:bidi w:val="0"/>
        <w:spacing w:before="120" w:after="0"/>
        <w:jc w:val="left"/>
        <w:rPr>
          <w:rFonts w:ascii="Times New Roman" w:hAnsi="Times New Roman"/>
          <w:sz w:val="20"/>
        </w:rPr>
      </w:pPr>
      <w:r>
        <w:rPr>
          <w:rFonts w:ascii="Times New Roman" w:hAnsi="Times New Roman"/>
          <w:sz w:val="20"/>
        </w:rPr>
        <w:t xml:space="preserve">to account for its employee share-based payments. In accordance with ASC 718, the Group determines whether an award should be classified and accounted for as a liability award or an equity award. All of the Group’s share-based awards granted to employees were classified as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elected to recognize compensation expense using the straight-line method for share-based awards granted with service conditions that have a graded vesting schedule. Prior to the completion of the IPO, with the assistance of an independent third-party valuation firm, the group determined the grant date fair value of the awards granted to employees. Subsequent to the completion of the IPO, share-based awards granted were measured based on the fair value of ordinary share as of grant date. The fair value is determined using an appropriate valuation model, such as the binomial option pricing model for share options or the market price of the Company’s shares on the grant date for Restricted Stock Units (“RSUs”). The Group accounts for forfeitures as they occur. </w:t>
      </w:r>
    </w:p>
    <w:p>
      <w:pPr>
        <w:pStyle w:val="TextBody"/>
        <w:bidi w:val="0"/>
        <w:spacing w:before="120" w:after="0"/>
        <w:jc w:val="left"/>
        <w:rPr>
          <w:rFonts w:ascii="Times New Roman" w:hAnsi="Times New Roman"/>
          <w:sz w:val="20"/>
        </w:rPr>
      </w:pPr>
      <w:r>
        <w:rPr>
          <w:rFonts w:ascii="Times New Roman" w:hAnsi="Times New Roman"/>
          <w:sz w:val="20"/>
        </w:rPr>
        <w:t xml:space="preserve">A change in any of the terms or conditions of share-based payment awards is accounted for as a modification of awards. The Group measures the incremental compensation cost of a modification as the excess of the fair value of the modified awards over the fair value of the original awards immediately before its terms are modified, based on the share price and other pertinent factors at the modification date. For vested awards, the Group recognizes incremental compensation cost in the period the modification occurred. For unvested awards, the Company recognizes, over the remaining requisite service period, the sum of the incremental compensation cost and the remaining unrecognized compensation cost for the original award on the modification date. If the fair value of the modified award is lower than the fair value of the original award immediately before modification, the minimum compensation cost the Group recognizes is the cost of the original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425"/>
        <w:gridCol w:w="3335"/>
      </w:tblGrid>
      <w:tr>
        <w:trPr/>
        <w:tc>
          <w:tcPr>
            <w:tcW w:w="4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(ab)</w:t>
            </w:r>
          </w:p>
        </w:tc>
        <w:tc>
          <w:tcPr>
            <w:tcW w:w="333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Share-based compensation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Group doesn’t reflect reload features and contingent features in the grant-date fair value of an equity award. Reload features and contingent features are that require a grantee to transfer equity shares earned, or realized gains from the sale of equity instruments earned, to the issuing entity for consideration that is less than fair value on the date of transfer (including no consideration), such as a claw back feature. The Group accounted for these features if and when the contingent event occurs by recognizing the consideration received in the corresponding balance sheet account and a credit in the income statement equal to the lesser of the recognized compensation cost of the share-based payment arrangement that contains the contingent feature and the fair value of the consideration received, and debits in additional </w:t>
      </w:r>
    </w:p>
    <w:p>
      <w:pPr>
        <w:pStyle w:val="TextBody"/>
        <w:bidi w:val="0"/>
        <w:spacing w:before="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0" w:after="0"/>
        <w:jc w:val="left"/>
        <w:rPr>
          <w:rFonts w:ascii="Times New Roman" w:hAnsi="Times New Roman"/>
          <w:sz w:val="20"/>
        </w:rPr>
      </w:pPr>
      <w:r>
        <w:rPr>
          <w:rFonts w:ascii="Times New Roman" w:hAnsi="Times New Roman"/>
          <w:sz w:val="20"/>
        </w:rPr>
        <w:t xml:space="preserve">capital, and treasury shares, if any.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410"/>
        <w:gridCol w:w="2300"/>
      </w:tblGrid>
      <w:tr>
        <w:trPr/>
        <w:tc>
          <w:tcPr>
            <w:tcW w:w="410" w:type="dxa"/>
            <w:tcBorders/>
            <w:vAlign w:val="center"/>
          </w:tcPr>
          <w:p>
            <w:pPr>
              <w:pStyle w:val="TableContents"/>
              <w:bidi w:val="0"/>
              <w:spacing w:before="0" w:after="0"/>
              <w:jc w:val="left"/>
              <w:rPr>
                <w:b/>
                <w:i/>
                <w:caps w:val="false"/>
                <w:smallCaps w:val="false"/>
                <w:spacing w:val="0"/>
              </w:rPr>
            </w:pPr>
            <w:r>
              <w:rPr>
                <w:b/>
                <w:i/>
                <w:caps w:val="false"/>
                <w:smallCaps w:val="false"/>
                <w:spacing w:val="0"/>
              </w:rPr>
              <w:t>(ac)</w:t>
            </w:r>
          </w:p>
        </w:tc>
        <w:tc>
          <w:tcPr>
            <w:tcW w:w="230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Employee benefit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Full time employees of the Group in the PRC participate in a government mandated multi-employer defined contribution plan pursuant to which certain pension benefits, medical care, unemployment insurance, employee housing fund, maternity insurance and employment injury insurance are provided to employees. Chinese labor regulations require that PRC subsidiaries and VIEs of the Group make contributions to the government for these benefits based on certain percentages of the employees’ salaries. The Group has no legal obligation for the benefits beyond the contributions. The total expenses the Group incurred for the plan were RMB13,298, RMB15,751 and RMB23,989 (US$3,430) for the years ended December 31, 2023, 2024 and 2025, respectively. </w:t>
      </w:r>
    </w:p>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425"/>
        <w:gridCol w:w="1475"/>
      </w:tblGrid>
      <w:tr>
        <w:trPr/>
        <w:tc>
          <w:tcPr>
            <w:tcW w:w="4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(ad)</w:t>
            </w:r>
          </w:p>
        </w:tc>
        <w:tc>
          <w:tcPr>
            <w:tcW w:w="147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Statutory 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PRC entities are required to make appropriations to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non-distributable</w:t>
      </w:r>
    </w:p>
    <w:p>
      <w:pPr>
        <w:pStyle w:val="TextBody"/>
        <w:bidi w:val="0"/>
        <w:spacing w:before="120" w:after="0"/>
        <w:jc w:val="left"/>
        <w:rPr>
          <w:rFonts w:ascii="Times New Roman" w:hAnsi="Times New Roman"/>
          <w:sz w:val="20"/>
        </w:rPr>
      </w:pPr>
      <w:r>
        <w:rPr>
          <w:rFonts w:ascii="Times New Roman" w:hAnsi="Times New Roman"/>
          <w:sz w:val="20"/>
        </w:rPr>
        <w:t xml:space="preserve">reserve funds.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Company Laws of the PRC, the Group’s entities registered as PRC domestic companies must make appropriations from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 (as determined under the Accounting Standards for Business Enterprises as promulgated by the Ministry of Finance of the People’s Republic of China (“PRC GAAP”))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non-distributable</w:t>
      </w:r>
    </w:p>
    <w:p>
      <w:pPr>
        <w:pStyle w:val="TextBody"/>
        <w:bidi w:val="0"/>
        <w:spacing w:before="120" w:after="0"/>
        <w:jc w:val="left"/>
        <w:rPr>
          <w:rFonts w:ascii="Times New Roman" w:hAnsi="Times New Roman"/>
          <w:sz w:val="20"/>
        </w:rPr>
      </w:pPr>
      <w:r>
        <w:rPr>
          <w:rFonts w:ascii="Times New Roman" w:hAnsi="Times New Roman"/>
          <w:sz w:val="20"/>
        </w:rPr>
        <w:t xml:space="preserve">reserve funds including a statutory surplus fund and a discretionary surplus fund . The appropriation to the statutory surplus fund must be at least 10%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as determined under the PRC GAAP. Appropriation is not required if the surplus fund has reached 50% of the registered capital of the company. Appropriation to the discretionary surplus fund is made at the discretion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Prior to January 1, 2025, in accordance with the laws applicable to China’s Foreign Investment Enterprises, the Group’s subsidiaries registered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WFOE and its subsidiaries (“WFOEs”) </w:t>
      </w:r>
    </w:p>
    <w:p>
      <w:pPr>
        <w:pStyle w:val="TextBody"/>
        <w:bidi w:val="0"/>
        <w:spacing w:before="120" w:after="0"/>
        <w:jc w:val="left"/>
        <w:rPr>
          <w:rFonts w:ascii="Times New Roman" w:hAnsi="Times New Roman"/>
          <w:sz w:val="20"/>
        </w:rPr>
      </w:pPr>
      <w:r>
        <w:rPr>
          <w:rFonts w:ascii="Times New Roman" w:hAnsi="Times New Roman"/>
          <w:sz w:val="20"/>
        </w:rPr>
        <w:t xml:space="preserve">have to make appropriations from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 (as determined under PRC GAAP) to reserve funds including general reserve fund, and staff bonus and welfare fund. The appropriation to the general reserve fund must be at least 10%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profits calculated in accordance with PRC GAAP. Appropriation is not required if the reserve fund has reached 50% of the registered capital of the company. Appropriation to the staff bonus and welfare fund is made at the discretion of the company. With effect</w:t>
      </w:r>
    </w:p>
    <w:p>
      <w:pPr>
        <w:pStyle w:val="TextBody"/>
        <w:bidi w:val="0"/>
        <w:spacing w:before="120" w:after="0"/>
        <w:jc w:val="left"/>
        <w:rPr>
          <w:spacing w:val="0"/>
        </w:rPr>
      </w:pPr>
      <w:r>
        <w:rPr>
          <w:spacing w:val="0"/>
        </w:rPr>
        <w:t> </w:t>
      </w:r>
      <w:r>
        <w:rPr>
          <w:rFonts w:ascii="Times New Roman" w:hAnsi="Times New Roman"/>
          <w:spacing w:val="0"/>
          <w:sz w:val="20"/>
        </w:rPr>
        <w:t xml:space="preserve">from January 1, 2025, </w:t>
      </w:r>
    </w:p>
    <w:p>
      <w:pPr>
        <w:pStyle w:val="TextBody"/>
        <w:bidi w:val="0"/>
        <w:spacing w:before="120" w:after="0"/>
        <w:jc w:val="left"/>
        <w:rPr>
          <w:rFonts w:ascii="Times New Roman" w:hAnsi="Times New Roman"/>
          <w:sz w:val="20"/>
        </w:rPr>
      </w:pPr>
      <w:r>
        <w:rPr>
          <w:rFonts w:ascii="Times New Roman" w:hAnsi="Times New Roman"/>
          <w:sz w:val="20"/>
        </w:rPr>
        <w:t xml:space="preserve">no appropriations shall be made to the general reserve fund, the enterprise expansion fund or the staff welfare and bonus fund. Any distribution of profit shall comply with the Company Laws of the PRC. </w:t>
      </w:r>
    </w:p>
    <w:p>
      <w:pPr>
        <w:pStyle w:val="TextBody"/>
        <w:bidi w:val="0"/>
        <w:spacing w:before="120" w:after="0"/>
        <w:jc w:val="left"/>
        <w:rPr>
          <w:rFonts w:ascii="Times New Roman" w:hAnsi="Times New Roman"/>
          <w:sz w:val="20"/>
        </w:rPr>
      </w:pPr>
      <w:r>
        <w:rPr>
          <w:rFonts w:ascii="Times New Roman" w:hAnsi="Times New Roman"/>
          <w:sz w:val="20"/>
        </w:rPr>
        <w:t xml:space="preserve">The use of the statutory surplus fund and discretionary surplus fund is restricted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off-setting</w:t>
      </w:r>
    </w:p>
    <w:p>
      <w:pPr>
        <w:pStyle w:val="TextBody"/>
        <w:bidi w:val="0"/>
        <w:spacing w:before="120" w:after="0"/>
        <w:jc w:val="left"/>
        <w:rPr>
          <w:rFonts w:ascii="Times New Roman" w:hAnsi="Times New Roman"/>
          <w:sz w:val="20"/>
        </w:rPr>
      </w:pPr>
      <w:r>
        <w:rPr>
          <w:rFonts w:ascii="Times New Roman" w:hAnsi="Times New Roman"/>
          <w:sz w:val="20"/>
        </w:rPr>
        <w:t xml:space="preserve">of losses or increasing capital of the respective company. All these reserves are not allowed to be transferred to the Company in terms of cash dividends, loans or advances, nor can they be distributed except under liquidation.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appropriations to general reserve fund and statutory surplus fund amounted to RMB48, RMB533 and RMB1,530 (US$219),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410"/>
        <w:gridCol w:w="1715"/>
      </w:tblGrid>
      <w:tr>
        <w:trPr/>
        <w:tc>
          <w:tcPr>
            <w:tcW w:w="410" w:type="dxa"/>
            <w:tcBorders/>
            <w:vAlign w:val="center"/>
          </w:tcPr>
          <w:p>
            <w:pPr>
              <w:pStyle w:val="TableContents"/>
              <w:bidi w:val="0"/>
              <w:spacing w:before="0" w:after="0"/>
              <w:jc w:val="left"/>
              <w:rPr>
                <w:b/>
                <w:i/>
                <w:spacing w:val="0"/>
              </w:rPr>
            </w:pPr>
            <w:r>
              <w:rPr>
                <w:b/>
                <w:i/>
                <w:spacing w:val="0"/>
              </w:rPr>
              <w:t>(ae)</w:t>
            </w:r>
          </w:p>
        </w:tc>
        <w:tc>
          <w:tcPr>
            <w:tcW w:w="171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Comprehensive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Comprehensive loss is defined as the changes in equity of the Group during a period from transactions and other events and circumstances excluding transactions resulting from investments by owners and distributions to owners. Among other disclosures, ASC 220,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Comprehensive Income</w:t>
      </w:r>
    </w:p>
    <w:p>
      <w:pPr>
        <w:pStyle w:val="TextBody"/>
        <w:bidi w:val="0"/>
        <w:spacing w:before="120" w:after="0"/>
        <w:jc w:val="left"/>
        <w:rPr>
          <w:rFonts w:ascii="Times New Roman" w:hAnsi="Times New Roman"/>
          <w:sz w:val="20"/>
        </w:rPr>
      </w:pPr>
      <w:r>
        <w:rPr>
          <w:rFonts w:ascii="Times New Roman" w:hAnsi="Times New Roman"/>
          <w:sz w:val="20"/>
        </w:rPr>
        <w:t xml:space="preserve">, requires that all items that are required to be recognized under current accounting standards as components of comprehensive loss be reported in a financial statement that is displayed with the same prominence as other financial statements. For each of the periods presented, the Group’s comprehensive loss includes net loss and foreign currency translation adjustments. </w:t>
      </w:r>
    </w:p>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380"/>
        <w:gridCol w:w="905"/>
      </w:tblGrid>
      <w:tr>
        <w:trPr/>
        <w:tc>
          <w:tcPr>
            <w:tcW w:w="380" w:type="dxa"/>
            <w:tcBorders/>
            <w:vAlign w:val="center"/>
          </w:tcPr>
          <w:p>
            <w:pPr>
              <w:pStyle w:val="TableContents"/>
              <w:bidi w:val="0"/>
              <w:spacing w:before="0" w:after="0"/>
              <w:jc w:val="left"/>
              <w:rPr>
                <w:b/>
                <w:i/>
                <w:spacing w:val="0"/>
              </w:rPr>
            </w:pPr>
            <w:r>
              <w:rPr>
                <w:b/>
                <w:i/>
                <w:spacing w:val="0"/>
              </w:rPr>
              <w:t>(af)</w:t>
            </w:r>
          </w:p>
        </w:tc>
        <w:tc>
          <w:tcPr>
            <w:tcW w:w="90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Dividends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Dividends are recognized when declared. No dividends were declared for the years ended December 31, 2023, 2024 and 2025, respectively. </w:t>
      </w:r>
    </w:p>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425"/>
        <w:gridCol w:w="1265"/>
      </w:tblGrid>
      <w:tr>
        <w:trPr/>
        <w:tc>
          <w:tcPr>
            <w:tcW w:w="425" w:type="dxa"/>
            <w:tcBorders/>
            <w:vAlign w:val="center"/>
          </w:tcPr>
          <w:p>
            <w:pPr>
              <w:pStyle w:val="TableContents"/>
              <w:bidi w:val="0"/>
              <w:spacing w:before="0" w:after="0"/>
              <w:jc w:val="left"/>
              <w:rPr>
                <w:b/>
                <w:i/>
                <w:spacing w:val="0"/>
              </w:rPr>
            </w:pPr>
            <w:r>
              <w:rPr>
                <w:b/>
                <w:i/>
                <w:spacing w:val="0"/>
              </w:rPr>
              <w:t>(ag)</w:t>
            </w:r>
          </w:p>
        </w:tc>
        <w:tc>
          <w:tcPr>
            <w:tcW w:w="126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ASC 260 (“ASC 260”),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Earnings per Share</w:t>
      </w:r>
    </w:p>
    <w:p>
      <w:pPr>
        <w:pStyle w:val="TextBody"/>
        <w:bidi w:val="0"/>
        <w:spacing w:before="120" w:after="0"/>
        <w:jc w:val="left"/>
        <w:rPr>
          <w:rFonts w:ascii="Times New Roman" w:hAnsi="Times New Roman"/>
          <w:sz w:val="20"/>
        </w:rPr>
      </w:pPr>
      <w:r>
        <w:rPr>
          <w:rFonts w:ascii="Times New Roman" w:hAnsi="Times New Roman"/>
          <w:sz w:val="20"/>
        </w:rPr>
        <w:t xml:space="preserve">, basic loss per share is computed by dividing net loss attributable to ordinary shareholders by the weighted average number of ordinary shares outstanding during the period using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Under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net loss is allocated between ordinary shares, and other participating securities based on their participating rights.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120" w:after="0"/>
        <w:jc w:val="left"/>
        <w:rPr>
          <w:rFonts w:ascii="Times New Roman" w:hAnsi="Times New Roman"/>
          <w:sz w:val="20"/>
        </w:rPr>
      </w:pPr>
      <w:r>
        <w:rPr>
          <w:rFonts w:ascii="Times New Roman" w:hAnsi="Times New Roman"/>
          <w:sz w:val="20"/>
        </w:rPr>
        <w:t xml:space="preserve">method is applicable because the Group has two classes of ordinary shares outstanding, Class A and Class B ordinary shares, respectively. The participating rights (liquidation and dividend rights) of the holders of the Company’s Class A and Class B ordinary shares are identical, except with respect to voting and conversion (Note 19). As a result, and in accordance with ASC 260, the undistributed loss for each year is allocated based on the contractual participation rights of the Class A and Class B ordinary shares, respectively. As the liquidation and dividend rights are identical, the undistributed loss is allocated on a proportionate basis. </w:t>
      </w:r>
    </w:p>
    <w:p>
      <w:pPr>
        <w:pStyle w:val="TextBody"/>
        <w:bidi w:val="0"/>
        <w:spacing w:before="120" w:after="0"/>
        <w:jc w:val="left"/>
        <w:rPr>
          <w:rFonts w:ascii="Times New Roman" w:hAnsi="Times New Roman"/>
          <w:sz w:val="20"/>
        </w:rPr>
      </w:pPr>
      <w:r>
        <w:rPr>
          <w:rFonts w:ascii="Times New Roman" w:hAnsi="Times New Roman"/>
          <w:sz w:val="20"/>
        </w:rPr>
        <w:t xml:space="preserve">Ordinary equivalent shares consist of unvested restricted shares units, and ordinary shares issuable upon the exercise of outstanding share options (using the treasury stock method). Ordinary equivalent shares are excluded from the computation of diluted loss per share for all periods presented as their effects would be anti-dilutive.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440"/>
        <w:gridCol w:w="1370"/>
      </w:tblGrid>
      <w:tr>
        <w:trPr/>
        <w:tc>
          <w:tcPr>
            <w:tcW w:w="440" w:type="dxa"/>
            <w:tcBorders/>
            <w:vAlign w:val="center"/>
          </w:tcPr>
          <w:p>
            <w:pPr>
              <w:pStyle w:val="TableContents"/>
              <w:bidi w:val="0"/>
              <w:spacing w:before="0" w:after="0"/>
              <w:jc w:val="left"/>
              <w:rPr>
                <w:b/>
                <w:i/>
                <w:spacing w:val="0"/>
              </w:rPr>
            </w:pPr>
            <w:r>
              <w:rPr>
                <w:b/>
                <w:i/>
                <w:spacing w:val="0"/>
              </w:rPr>
              <w:t>(ah)</w:t>
            </w:r>
          </w:p>
        </w:tc>
        <w:tc>
          <w:tcPr>
            <w:tcW w:w="137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debt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2022, the Group entered into a share purchase agreement (the “SPA”) with an investor (the “Investor”) to issue predetermined number of Class A ordinary shares (the “Underlying Shares”) of the Company, at a fixed consideration in US$ (the “Private Placement”), upon meeting the specified preconditions, of which the substantial one is the Investor obtaining the Outbound Direct Investment (“ODI”) approval. </w:t>
      </w:r>
    </w:p>
    <w:p>
      <w:pPr>
        <w:pStyle w:val="TextBody"/>
        <w:bidi w:val="0"/>
        <w:spacing w:before="120" w:after="0"/>
        <w:jc w:val="left"/>
        <w:rPr>
          <w:rFonts w:ascii="Times New Roman" w:hAnsi="Times New Roman"/>
          <w:sz w:val="20"/>
        </w:rPr>
      </w:pPr>
      <w:r>
        <w:rPr>
          <w:rFonts w:ascii="Times New Roman" w:hAnsi="Times New Roman"/>
          <w:sz w:val="20"/>
        </w:rPr>
        <w:t xml:space="preserve">A transitional agreement has been reached to supplement the Private Placement (the “Supplemental Agreement”), according to which before the ODI approval, the Investor provided RMB proceeds (the “RMB Proceeds”) as an interim funding, equivalent to consideration in U.S. dollar of the Private Placement, to the designated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440"/>
        <w:gridCol w:w="2405"/>
      </w:tblGrid>
      <w:tr>
        <w:trPr/>
        <w:tc>
          <w:tcPr>
            <w:tcW w:w="440" w:type="dxa"/>
            <w:tcBorders/>
            <w:vAlign w:val="center"/>
          </w:tcPr>
          <w:p>
            <w:pPr>
              <w:pStyle w:val="TableContents"/>
              <w:bidi w:val="0"/>
              <w:spacing w:before="0" w:after="0"/>
              <w:jc w:val="left"/>
              <w:rPr>
                <w:b/>
                <w:i/>
                <w:spacing w:val="0"/>
              </w:rPr>
            </w:pPr>
            <w:r>
              <w:rPr>
                <w:b/>
                <w:i/>
                <w:spacing w:val="0"/>
              </w:rPr>
              <w:t>(ah)</w:t>
            </w:r>
          </w:p>
        </w:tc>
        <w:tc>
          <w:tcPr>
            <w:tcW w:w="240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debt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RMB Proceeds and associated subsequent repayment obligation was accounted for as a liability to the Company, since: </w:t>
      </w:r>
    </w:p>
    <w:p>
      <w:pPr>
        <w:pStyle w:val="TextBody"/>
        <w:bidi w:val="0"/>
        <w:spacing w:before="120" w:after="0"/>
        <w:jc w:val="left"/>
        <w:rPr>
          <w:rFonts w:ascii="Times New Roman" w:hAnsi="Times New Roman"/>
          <w:sz w:val="20"/>
        </w:rPr>
      </w:pPr>
      <w:r>
        <w:rPr>
          <w:rFonts w:ascii="Times New Roman" w:hAnsi="Times New Roman"/>
          <w:sz w:val="20"/>
        </w:rPr>
        <w:t xml:space="preserve">(i) The RMB Proceeds are a loan provided by the Investor to the subsidiary of the Company under the Supplemental Agreement. The Investor is entitled to receive the money back after at least three months if the ODI approval is not obtained due to force majeure or other situations agreed by the Company and Investor. </w:t>
      </w:r>
    </w:p>
    <w:p>
      <w:pPr>
        <w:pStyle w:val="TextBody"/>
        <w:bidi w:val="0"/>
        <w:spacing w:before="120" w:after="0"/>
        <w:jc w:val="left"/>
        <w:rPr>
          <w:rFonts w:ascii="Times New Roman" w:hAnsi="Times New Roman"/>
          <w:sz w:val="20"/>
        </w:rPr>
      </w:pPr>
      <w:r>
        <w:rPr>
          <w:rFonts w:ascii="Times New Roman" w:hAnsi="Times New Roman"/>
          <w:sz w:val="20"/>
        </w:rPr>
        <w:t xml:space="preserve">(ii) Upon the occurrence of dissolution, windup or liquidation of the onshore subsidiary, the Investor could claim its creditor right in accordance with PRC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Therefore the instrument is accounted for as a short-term debt under ASC 470,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the short-term debt was repaid. </w:t>
      </w:r>
    </w:p>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365"/>
        <w:gridCol w:w="860"/>
      </w:tblGrid>
      <w:tr>
        <w:trPr/>
        <w:tc>
          <w:tcPr>
            <w:tcW w:w="365" w:type="dxa"/>
            <w:tcBorders/>
            <w:vAlign w:val="center"/>
          </w:tcPr>
          <w:p>
            <w:pPr>
              <w:pStyle w:val="TableContents"/>
              <w:bidi w:val="0"/>
              <w:spacing w:before="0" w:after="0"/>
              <w:jc w:val="left"/>
              <w:rPr>
                <w:b/>
                <w:i/>
                <w:spacing w:val="0"/>
              </w:rPr>
            </w:pPr>
            <w:r>
              <w:rPr>
                <w:b/>
                <w:i/>
                <w:spacing w:val="0"/>
              </w:rPr>
              <w:t>(ai)</w:t>
            </w:r>
          </w:p>
        </w:tc>
        <w:tc>
          <w:tcPr>
            <w:tcW w:w="86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According to the SPA, the Company issued a purchase right to the Investor under which the Company will issue predetermined ordinary shares for a fixed cash consideration at a future date (the “Warrants”). </w:t>
      </w:r>
    </w:p>
    <w:p>
      <w:pPr>
        <w:pStyle w:val="TextBody"/>
        <w:bidi w:val="0"/>
        <w:spacing w:before="120" w:after="0"/>
        <w:jc w:val="left"/>
        <w:rPr>
          <w:rFonts w:ascii="Times New Roman" w:hAnsi="Times New Roman"/>
          <w:sz w:val="20"/>
        </w:rPr>
      </w:pPr>
      <w:r>
        <w:rPr>
          <w:rFonts w:ascii="Times New Roman" w:hAnsi="Times New Roman"/>
          <w:sz w:val="20"/>
        </w:rPr>
        <w:t xml:space="preserve">The Warrants were accounted for as equity instruments to the Company, since: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55"/>
        <w:gridCol w:w="521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i)</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Warrants were indexed to the Company’s own stock, since: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be exercised upon the ODI approval, which is not based on an observable market, or an observable index.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is fixed by the SPA and Supplement Agreement, and the number of Underlying Shares to be issued is also fixed divided by the fixed purchase price per share.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215"/>
        <w:gridCol w:w="48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ii)</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Warrants were classified in shareholders’ equity, since: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Warrants will be settled only by gross physical delivery of ordinary shares by the Company. </w:t>
            </w:r>
          </w:p>
        </w:tc>
      </w:tr>
    </w:tbl>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75"/>
        <w:gridCol w:w="110"/>
        <w:gridCol w:w="60"/>
        <w:gridCol w:w="6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the ability to settle the Private Placement in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Underlying Shares to be issued is explicitly fixed at the total consideration divided by the fixed purchase price per share, with no adjustment provision.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requirement for cash settlement in the agreements. </w:t>
            </w:r>
          </w:p>
        </w:tc>
      </w:tr>
    </w:tbl>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are no cash settled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top-off</w:t>
            </w:r>
          </w:p>
          <w:p>
            <w:pPr>
              <w:pStyle w:val="TableContents"/>
              <w:bidi w:val="0"/>
              <w:spacing w:before="0" w:after="0"/>
              <w:jc w:val="left"/>
              <w:rPr>
                <w:rFonts w:ascii="Times New Roman" w:hAnsi="Times New Roman"/>
                <w:sz w:val="20"/>
              </w:rPr>
            </w:pPr>
            <w:r>
              <w:rPr>
                <w:rFonts w:ascii="Times New Roman" w:hAnsi="Times New Roman"/>
                <w:sz w:val="20"/>
              </w:rPr>
              <w:t xml:space="preserve">or make-whole 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received the Proceeds and issued short-term debt and Warrants in a bundled transaction. The RMB Proceeds shall be allocated to the two elements based on the relative fair values of the debt instrument without the Warrants and of the Warrants themselves at time of issuance. The portion of the RMB Proceeds so allocated to the Warrants shall be accounted for as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The remainder of the proceeds shall be allocated to the debt instrument portion of the transaction, the short-term debt. This results in a discount which shall be accounted for as amortization of debt discounts in the following months. </w:t>
      </w:r>
    </w:p>
    <w:p>
      <w:pPr>
        <w:pStyle w:val="TextBody"/>
        <w:bidi w:val="0"/>
        <w:spacing w:before="120" w:after="0"/>
        <w:jc w:val="left"/>
        <w:rPr>
          <w:rFonts w:ascii="Times New Roman" w:hAnsi="Times New Roman"/>
          <w:sz w:val="20"/>
        </w:rPr>
      </w:pPr>
      <w:r>
        <w:rPr>
          <w:rFonts w:ascii="Times New Roman" w:hAnsi="Times New Roman"/>
          <w:sz w:val="20"/>
        </w:rPr>
        <w:t xml:space="preserve">On January 1, 2022, The Group has elected to early adopt the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2020-06,</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Debt—Debt with Conversion and Other Options</w:t>
      </w:r>
    </w:p>
    <w:p>
      <w:pPr>
        <w:pStyle w:val="TextBody"/>
        <w:bidi w:val="0"/>
        <w:spacing w:before="120" w:after="0"/>
        <w:jc w:val="left"/>
        <w:rPr>
          <w:rFonts w:ascii="Times New Roman" w:hAnsi="Times New Roman"/>
          <w:sz w:val="20"/>
        </w:rPr>
      </w:pPr>
      <w:r>
        <w:rPr>
          <w:rFonts w:ascii="Times New Roman" w:hAnsi="Times New Roman"/>
          <w:sz w:val="20"/>
        </w:rPr>
        <w:t xml:space="preserve">(Subtopic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470-20)</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Derivatives and Hedging—Contracts in Entity’s Own Equity</w:t>
      </w:r>
    </w:p>
    <w:p>
      <w:pPr>
        <w:pStyle w:val="TextBody"/>
        <w:bidi w:val="0"/>
        <w:spacing w:before="120" w:after="0"/>
        <w:jc w:val="left"/>
        <w:rPr>
          <w:rFonts w:ascii="Times New Roman" w:hAnsi="Times New Roman"/>
          <w:sz w:val="20"/>
        </w:rPr>
      </w:pPr>
      <w:r>
        <w:rPr>
          <w:rFonts w:ascii="Times New Roman" w:hAnsi="Times New Roman"/>
          <w:sz w:val="20"/>
        </w:rPr>
        <w:t xml:space="preserve">(Subtopic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sz w:val="20"/>
        </w:rPr>
      </w:pPr>
      <w:r>
        <w:rPr>
          <w:rFonts w:ascii="Times New Roman" w:hAnsi="Times New Roman"/>
          <w:sz w:val="20"/>
        </w:rPr>
        <w:t xml:space="preserve">which simplifies the accounting for convertible instruments by reducing the number of accounting models available for convertible debt instruments. This adoption of the guidance had no material impact on the treatment of the warrants or short-term debt in Note 2(ah). </w:t>
      </w:r>
    </w:p>
    <w:p>
      <w:pPr>
        <w:pStyle w:val="TextBody"/>
        <w:bidi w:val="0"/>
        <w:spacing w:before="120" w:after="0"/>
        <w:jc w:val="left"/>
        <w:rPr>
          <w:rFonts w:ascii="Times New Roman" w:hAnsi="Times New Roman"/>
          <w:sz w:val="20"/>
        </w:rPr>
      </w:pPr>
      <w:r>
        <w:rPr>
          <w:rFonts w:ascii="Times New Roman" w:hAnsi="Times New Roman"/>
          <w:sz w:val="20"/>
        </w:rPr>
        <w:t xml:space="preserve">The Group entered into an SPA with similar terms of 2022 SPA with a third-party investor and received a short-term debt of RMB90,000 in June 2024 and repaid the debt in November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365"/>
        <w:gridCol w:w="1610"/>
      </w:tblGrid>
      <w:tr>
        <w:trPr/>
        <w:tc>
          <w:tcPr>
            <w:tcW w:w="365" w:type="dxa"/>
            <w:tcBorders/>
            <w:vAlign w:val="center"/>
          </w:tcPr>
          <w:p>
            <w:pPr>
              <w:pStyle w:val="TableContents"/>
              <w:bidi w:val="0"/>
              <w:spacing w:before="0" w:after="0"/>
              <w:jc w:val="left"/>
              <w:rPr>
                <w:b/>
                <w:i/>
                <w:caps w:val="false"/>
                <w:smallCaps w:val="false"/>
                <w:spacing w:val="0"/>
              </w:rPr>
            </w:pPr>
            <w:r>
              <w:rPr>
                <w:b/>
                <w:i/>
                <w:caps w:val="false"/>
                <w:smallCaps w:val="false"/>
                <w:spacing w:val="0"/>
              </w:rPr>
              <w:t>(aj)</w:t>
            </w:r>
          </w:p>
        </w:tc>
        <w:tc>
          <w:tcPr>
            <w:tcW w:w="161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reporting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November 2023, the Financial Accounting Standards Board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2023-07,</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segment’s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The Group has adopted this ASU retrospectively on January 1, 2024.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ASC 280 (“ASC 280”),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Reporting</w:t>
      </w:r>
    </w:p>
    <w:p>
      <w:pPr>
        <w:pStyle w:val="TextBody"/>
        <w:bidi w:val="0"/>
        <w:spacing w:before="120" w:after="0"/>
        <w:jc w:val="left"/>
        <w:rPr>
          <w:rFonts w:ascii="Times New Roman" w:hAnsi="Times New Roman"/>
          <w:sz w:val="20"/>
        </w:rPr>
      </w:pPr>
      <w:r>
        <w:rPr>
          <w:rFonts w:ascii="Times New Roman" w:hAnsi="Times New Roman"/>
          <w:sz w:val="20"/>
        </w:rPr>
        <w:t xml:space="preserve">, operating segments are defined as components of an enterprise about which separate financial information is available that is provided regularly to the CODM, or decision-making group, in deciding how to allocate resources and in assessing performance. The Group’s Chief Executive Officer as the CODM reviews the consolidated revenues, gross profit and net loss, using only one measure of a segment’s profit or loss when making decisions about allocating resources and assessing the performance of the Group by comparing actual results of consolidated revenues, gross profit and net loss to historical results and previously forecasted financial information. As a whole and hence, the Group has only one reportable segment. The Group’s long-lived assets are substantially all located in the PRC. </w:t>
      </w:r>
    </w:p>
    <w:p>
      <w:pPr>
        <w:pStyle w:val="TextBody"/>
        <w:bidi w:val="0"/>
        <w:spacing w:before="120" w:after="0"/>
        <w:jc w:val="left"/>
        <w:rPr>
          <w:rFonts w:ascii="Times New Roman" w:hAnsi="Times New Roman"/>
          <w:sz w:val="20"/>
        </w:rPr>
      </w:pPr>
      <w:r>
        <w:rPr>
          <w:rFonts w:ascii="Times New Roman" w:hAnsi="Times New Roman"/>
          <w:sz w:val="20"/>
        </w:rPr>
        <w:t xml:space="preserve">For the operating results of segment provided to and reviewed by CODM, please refer to the consolidated statements of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revenue by customer incorporation location for the years ended December 31, 2023, 2024 and 2025, respectively: </w:t>
      </w:r>
    </w:p>
    <w:p>
      <w:pPr>
        <w:pStyle w:val="TextBody"/>
        <w:bidi w:val="0"/>
        <w:spacing w:before="0" w:after="0"/>
        <w:ind w:left="0" w:right="0" w:hanging="0"/>
        <w:jc w:val="left"/>
        <w:rPr>
          <w:spacing w:val="0"/>
        </w:rPr>
      </w:pPr>
      <w:r>
        <w:rPr>
          <w:spacing w:val="0"/>
        </w:rPr>
        <w:t> </w:t>
      </w:r>
    </w:p>
    <w:tbl>
      <w:tblPr>
        <w:tblW w:w="8110" w:type="dxa"/>
        <w:jc w:val="left"/>
        <w:tblInd w:w="0" w:type="dxa"/>
        <w:tblLayout w:type="fixed"/>
        <w:tblCellMar>
          <w:top w:w="0" w:type="dxa"/>
          <w:left w:w="0" w:type="dxa"/>
          <w:bottom w:w="0" w:type="dxa"/>
          <w:right w:w="0" w:type="dxa"/>
        </w:tblCellMar>
      </w:tblPr>
      <w:tblGrid>
        <w:gridCol w:w="1535"/>
        <w:gridCol w:w="120"/>
        <w:gridCol w:w="60"/>
        <w:gridCol w:w="800"/>
        <w:gridCol w:w="60"/>
        <w:gridCol w:w="120"/>
        <w:gridCol w:w="60"/>
        <w:gridCol w:w="380"/>
        <w:gridCol w:w="320"/>
        <w:gridCol w:w="60"/>
        <w:gridCol w:w="60"/>
        <w:gridCol w:w="800"/>
        <w:gridCol w:w="60"/>
        <w:gridCol w:w="120"/>
        <w:gridCol w:w="60"/>
        <w:gridCol w:w="380"/>
        <w:gridCol w:w="320"/>
        <w:gridCol w:w="60"/>
        <w:gridCol w:w="60"/>
        <w:gridCol w:w="800"/>
        <w:gridCol w:w="60"/>
        <w:gridCol w:w="120"/>
        <w:gridCol w:w="60"/>
        <w:gridCol w:w="680"/>
        <w:gridCol w:w="60"/>
        <w:gridCol w:w="120"/>
        <w:gridCol w:w="60"/>
        <w:gridCol w:w="380"/>
        <w:gridCol w:w="33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120" w:type="dxa"/>
            <w:gridSpan w:val="2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335" w:type="dxa"/>
            <w:tcBorders/>
            <w:vAlign w:val="center"/>
          </w:tcPr>
          <w:p>
            <w:pPr>
              <w:pStyle w:val="TableContents"/>
              <w:bidi w:val="0"/>
              <w:spacing w:before="0" w:after="0"/>
              <w:jc w:val="left"/>
              <w:rPr>
                <w:spacing w:val="0"/>
              </w:rPr>
            </w:pPr>
            <w:r>
              <w:rPr>
                <w:spacing w:val="0"/>
              </w:rPr>
              <w:t> </w:t>
            </w:r>
          </w:p>
        </w:tc>
      </w:tr>
      <w:tr>
        <w:trPr/>
        <w:tc>
          <w:tcPr>
            <w:tcW w:w="15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3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3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4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335" w:type="dxa"/>
            <w:tcBorders/>
            <w:vAlign w:val="center"/>
          </w:tcPr>
          <w:p>
            <w:pPr>
              <w:pStyle w:val="TableContents"/>
              <w:bidi w:val="0"/>
              <w:spacing w:before="0" w:after="0"/>
              <w:jc w:val="left"/>
              <w:rPr>
                <w:spacing w:val="0"/>
              </w:rPr>
            </w:pPr>
            <w:r>
              <w:rPr>
                <w:spacing w:val="0"/>
              </w:rPr>
              <w:t> </w:t>
            </w:r>
          </w:p>
        </w:tc>
      </w:tr>
      <w:tr>
        <w:trPr/>
        <w:tc>
          <w:tcPr>
            <w:tcW w:w="15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0" w:type="dxa"/>
            <w:gridSpan w:val="2"/>
            <w:tcBorders/>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0" w:type="dxa"/>
            <w:gridSpan w:val="2"/>
            <w:tcBorders/>
            <w:vAlign w:val="center"/>
          </w:tcPr>
          <w:p>
            <w:pPr>
              <w:pStyle w:val="TableContents"/>
              <w:bidi w:val="0"/>
              <w:spacing w:before="0" w:after="0"/>
              <w:jc w:val="center"/>
              <w:rPr>
                <w:b/>
                <w:spacing w:val="0"/>
              </w:rPr>
            </w:pPr>
            <w:r>
              <w:rPr>
                <w:b/>
                <w:spacing w:val="0"/>
              </w:rPr>
              <w:t>%</w:t>
            </w:r>
          </w:p>
        </w:tc>
        <w:tc>
          <w:tcPr>
            <w:tcW w:w="3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0" w:type="dxa"/>
            <w:gridSpan w:val="2"/>
            <w:tcBorders/>
            <w:vAlign w:val="center"/>
          </w:tcPr>
          <w:p>
            <w:pPr>
              <w:pStyle w:val="TableContents"/>
              <w:bidi w:val="0"/>
              <w:spacing w:before="0" w:after="0"/>
              <w:jc w:val="center"/>
              <w:rPr>
                <w:b/>
                <w:spacing w:val="0"/>
              </w:rPr>
            </w:pPr>
            <w:r>
              <w:rPr>
                <w:b/>
                <w:spacing w:val="0"/>
              </w:rPr>
              <w:t>%</w:t>
            </w:r>
          </w:p>
        </w:tc>
        <w:tc>
          <w:tcPr>
            <w:tcW w:w="335" w:type="dxa"/>
            <w:tcBorders/>
            <w:vAlign w:val="center"/>
          </w:tcPr>
          <w:p>
            <w:pPr>
              <w:pStyle w:val="TableContents"/>
              <w:bidi w:val="0"/>
              <w:spacing w:before="0" w:after="0"/>
              <w:jc w:val="left"/>
              <w:rPr>
                <w:spacing w:val="0"/>
              </w:rPr>
            </w:pPr>
            <w:r>
              <w:rPr>
                <w:spacing w:val="0"/>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82</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431,338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95</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402,333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57,532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97</w:t>
            </w:r>
          </w:p>
        </w:tc>
        <w:tc>
          <w:tcPr>
            <w:tcW w:w="33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East Asia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6,018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14,369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3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West Asia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9,188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8</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0</w:t>
            </w:r>
          </w:p>
        </w:tc>
        <w:tc>
          <w:tcPr>
            <w:tcW w:w="33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0</w:t>
            </w:r>
          </w:p>
        </w:tc>
        <w:tc>
          <w:tcPr>
            <w:tcW w:w="3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South Asia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0</w:t>
            </w:r>
          </w:p>
        </w:tc>
        <w:tc>
          <w:tcPr>
            <w:tcW w:w="33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East Africa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0</w:t>
            </w:r>
          </w:p>
        </w:tc>
        <w:tc>
          <w:tcPr>
            <w:tcW w:w="3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West Africa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2,616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South America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4</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0</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33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117,426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80" w:type="dxa"/>
            <w:tcBorders/>
            <w:shd w:fill="CCEEFF" w:val="clear"/>
            <w:vAlign w:val="center"/>
          </w:tcPr>
          <w:p>
            <w:pPr>
              <w:pStyle w:val="TableContents"/>
              <w:bidi w:val="0"/>
              <w:spacing w:before="0" w:after="0"/>
              <w:jc w:val="right"/>
              <w:rPr>
                <w:b/>
                <w:spacing w:val="0"/>
              </w:rPr>
            </w:pPr>
            <w:r>
              <w:rPr>
                <w:b/>
                <w:spacing w:val="0"/>
              </w:rPr>
              <w:t>100</w:t>
            </w:r>
          </w:p>
        </w:tc>
        <w:tc>
          <w:tcPr>
            <w:tcW w:w="320"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456,152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80" w:type="dxa"/>
            <w:tcBorders/>
            <w:shd w:fill="CCEEFF" w:val="clear"/>
            <w:vAlign w:val="center"/>
          </w:tcPr>
          <w:p>
            <w:pPr>
              <w:pStyle w:val="TableContents"/>
              <w:bidi w:val="0"/>
              <w:spacing w:before="0" w:after="0"/>
              <w:jc w:val="right"/>
              <w:rPr>
                <w:b/>
                <w:spacing w:val="0"/>
              </w:rPr>
            </w:pPr>
            <w:r>
              <w:rPr>
                <w:b/>
                <w:spacing w:val="0"/>
              </w:rPr>
              <w:t>100</w:t>
            </w:r>
          </w:p>
        </w:tc>
        <w:tc>
          <w:tcPr>
            <w:tcW w:w="320"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417,981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59,770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380" w:type="dxa"/>
            <w:tcBorders/>
            <w:shd w:fill="CCEEFF" w:val="clear"/>
            <w:vAlign w:val="center"/>
          </w:tcPr>
          <w:p>
            <w:pPr>
              <w:pStyle w:val="TableContents"/>
              <w:bidi w:val="0"/>
              <w:spacing w:before="0" w:after="0"/>
              <w:jc w:val="right"/>
              <w:rPr>
                <w:b/>
                <w:spacing w:val="0"/>
              </w:rPr>
            </w:pPr>
            <w:r>
              <w:rPr>
                <w:b/>
                <w:spacing w:val="0"/>
              </w:rPr>
              <w:t>100</w:t>
            </w:r>
          </w:p>
        </w:tc>
        <w:tc>
          <w:tcPr>
            <w:tcW w:w="335" w:type="dxa"/>
            <w:tcBorders/>
            <w:shd w:fill="CCEEFF" w:val="clear"/>
            <w:vAlign w:val="center"/>
          </w:tcPr>
          <w:p>
            <w:pPr>
              <w:pStyle w:val="TableContents"/>
              <w:bidi w:val="0"/>
              <w:spacing w:before="0" w:after="0"/>
              <w:jc w:val="left"/>
              <w:rPr>
                <w:b/>
                <w:spacing w:val="0"/>
              </w:rPr>
            </w:pPr>
            <w:r>
              <w:rPr>
                <w:b/>
                <w:spacing w:val="0"/>
              </w:rPr>
              <w:t>% </w:t>
            </w:r>
          </w:p>
        </w:tc>
      </w:tr>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215"/>
        <w:gridCol w:w="4835"/>
      </w:tblGrid>
      <w:tr>
        <w:trPr/>
        <w:tc>
          <w:tcPr>
            <w:tcW w:w="215" w:type="dxa"/>
            <w:tcBorders/>
            <w:vAlign w:val="center"/>
          </w:tcPr>
          <w:p>
            <w:pPr>
              <w:pStyle w:val="TableContents"/>
              <w:bidi w:val="0"/>
              <w:spacing w:before="0" w:after="0"/>
              <w:jc w:val="left"/>
              <w:rPr>
                <w:b/>
                <w:spacing w:val="0"/>
              </w:rPr>
            </w:pPr>
            <w:r>
              <w:rPr>
                <w:b/>
                <w:spacing w:val="0"/>
              </w:rPr>
              <w:t>2.</w:t>
            </w:r>
          </w:p>
        </w:tc>
        <w:tc>
          <w:tcPr>
            <w:tcW w:w="4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(Continued) </w:t>
            </w:r>
          </w:p>
        </w:tc>
      </w:tr>
    </w:tbl>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425"/>
        <w:gridCol w:w="3035"/>
      </w:tblGrid>
      <w:tr>
        <w:trPr/>
        <w:tc>
          <w:tcPr>
            <w:tcW w:w="425" w:type="dxa"/>
            <w:tcBorders/>
            <w:vAlign w:val="center"/>
          </w:tcPr>
          <w:p>
            <w:pPr>
              <w:pStyle w:val="TableContents"/>
              <w:bidi w:val="0"/>
              <w:spacing w:before="0" w:after="0"/>
              <w:jc w:val="left"/>
              <w:rPr>
                <w:b/>
                <w:i/>
                <w:caps w:val="false"/>
                <w:smallCaps w:val="false"/>
                <w:spacing w:val="0"/>
              </w:rPr>
            </w:pPr>
            <w:r>
              <w:rPr>
                <w:b/>
                <w:i/>
                <w:caps w:val="false"/>
                <w:smallCaps w:val="false"/>
                <w:spacing w:val="0"/>
              </w:rPr>
              <w:t>(ak)</w:t>
            </w:r>
          </w:p>
        </w:tc>
        <w:tc>
          <w:tcPr>
            <w:tcW w:w="303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2024-03,</w:t>
      </w:r>
    </w:p>
    <w:p>
      <w:pPr>
        <w:pStyle w:val="TextBody"/>
        <w:bidi w:val="0"/>
        <w:spacing w:before="120" w:after="0"/>
        <w:jc w:val="left"/>
        <w:rPr>
          <w:rFonts w:ascii="Times New Roman" w:hAnsi="Times New Roman"/>
          <w:sz w:val="20"/>
        </w:rPr>
      </w:pPr>
      <w:r>
        <w:rPr>
          <w:rFonts w:ascii="Times New Roman" w:hAnsi="Times New Roman"/>
          <w:sz w:val="20"/>
        </w:rPr>
        <w:t xml:space="preserve">Disaggregation of Income Statement Expenses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220-40).</w:t>
      </w:r>
    </w:p>
    <w:p>
      <w:pPr>
        <w:pStyle w:val="TextBody"/>
        <w:bidi w:val="0"/>
        <w:spacing w:before="120" w:after="0"/>
        <w:jc w:val="left"/>
        <w:rPr>
          <w:rFonts w:ascii="Times New Roman" w:hAnsi="Times New Roman"/>
          <w:sz w:val="20"/>
        </w:rPr>
      </w:pPr>
      <w:r>
        <w:rPr>
          <w:rFonts w:ascii="Times New Roman" w:hAnsi="Times New Roman"/>
          <w:sz w:val="20"/>
        </w:rPr>
        <w:t xml:space="preserve">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Group’s consolidated financial statements, once adopted. The Group is currently evaluating the impact of the new guidance on its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July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2025-05,</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Instruments—Credit Losses (Topic 326) Measurement of Credit Losses for Accounts Receivable and Contract Assets, which provides all entities an election of a practical expedient to assume that current conditions as of the balance sheet date do not change for the remaining life of the asset when developing reasonable and supportable forecasts as part of estimating expected credit losses. This ASU is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After evaluation, the Group has decided not to elect the 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2025-06,</w:t>
      </w:r>
    </w:p>
    <w:p>
      <w:pPr>
        <w:pStyle w:val="TextBody"/>
        <w:bidi w:val="0"/>
        <w:spacing w:before="120" w:after="0"/>
        <w:jc w:val="left"/>
        <w:rPr>
          <w:rFonts w:ascii="Times New Roman" w:hAnsi="Times New Roman"/>
          <w:sz w:val="20"/>
        </w:rPr>
      </w:pPr>
      <w:r>
        <w:rPr>
          <w:rFonts w:ascii="Times New Roman" w:hAnsi="Times New Roman"/>
          <w:sz w:val="20"/>
        </w:rPr>
        <w:t xml:space="preserve">Intangibles—Goodwill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Other—Internal-Use</w:t>
      </w:r>
    </w:p>
    <w:p>
      <w:pPr>
        <w:pStyle w:val="TextBody"/>
        <w:bidi w:val="0"/>
        <w:spacing w:before="120" w:after="0"/>
        <w:jc w:val="left"/>
        <w:rPr>
          <w:rFonts w:ascii="Times New Roman" w:hAnsi="Times New Roman"/>
          <w:sz w:val="20"/>
        </w:rPr>
      </w:pPr>
      <w:r>
        <w:rPr>
          <w:rFonts w:ascii="Times New Roman" w:hAnsi="Times New Roman"/>
          <w:sz w:val="20"/>
        </w:rPr>
        <w:t xml:space="preserve">Software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350-40):</w:t>
      </w:r>
    </w:p>
    <w:p>
      <w:pPr>
        <w:pStyle w:val="TextBody"/>
        <w:bidi w:val="0"/>
        <w:spacing w:before="120" w:after="0"/>
        <w:jc w:val="left"/>
        <w:rPr>
          <w:rFonts w:ascii="Times New Roman" w:hAnsi="Times New Roman"/>
          <w:sz w:val="20"/>
        </w:rPr>
      </w:pPr>
      <w:r>
        <w:rPr>
          <w:rFonts w:ascii="Times New Roman" w:hAnsi="Times New Roman"/>
          <w:sz w:val="20"/>
        </w:rPr>
        <w:t xml:space="preserve">Targeted Improvements to the Accounting for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Internal-Use</w:t>
      </w:r>
    </w:p>
    <w:p>
      <w:pPr>
        <w:pStyle w:val="TextBody"/>
        <w:bidi w:val="0"/>
        <w:spacing w:before="120" w:after="0"/>
        <w:jc w:val="left"/>
        <w:rPr>
          <w:rFonts w:ascii="Times New Roman" w:hAnsi="Times New Roman"/>
          <w:sz w:val="20"/>
        </w:rPr>
      </w:pPr>
      <w:r>
        <w:rPr>
          <w:rFonts w:ascii="Times New Roman" w:hAnsi="Times New Roman"/>
          <w:sz w:val="20"/>
        </w:rPr>
        <w:t xml:space="preserve">Software. The ASU simplifies the capitalization guidance by removing all references to prescriptive and sequential software development stages (referred to as “project stages”) throughout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350-40.</w:t>
      </w:r>
    </w:p>
    <w:p>
      <w:pPr>
        <w:pStyle w:val="TextBody"/>
        <w:bidi w:val="0"/>
        <w:spacing w:before="120" w:after="0"/>
        <w:jc w:val="left"/>
        <w:rPr>
          <w:rFonts w:ascii="Times New Roman" w:hAnsi="Times New Roman"/>
          <w:sz w:val="20"/>
        </w:rPr>
      </w:pPr>
      <w:r>
        <w:rPr>
          <w:rFonts w:ascii="Times New Roman" w:hAnsi="Times New Roman"/>
          <w:sz w:val="20"/>
        </w:rPr>
        <w:t xml:space="preserve">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The Group is currently evaluating the provisions of this ASU and does not expect this ASU to have a material impact on its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2025-10,</w:t>
      </w:r>
    </w:p>
    <w:p>
      <w:pPr>
        <w:pStyle w:val="TextBody"/>
        <w:bidi w:val="0"/>
        <w:spacing w:before="120" w:after="0"/>
        <w:jc w:val="left"/>
        <w:rPr>
          <w:rFonts w:ascii="Times New Roman" w:hAnsi="Times New Roman"/>
          <w:sz w:val="20"/>
        </w:rPr>
      </w:pPr>
      <w:r>
        <w:rPr>
          <w:rFonts w:ascii="Times New Roman" w:hAnsi="Times New Roman"/>
          <w:sz w:val="20"/>
        </w:rPr>
        <w:t xml:space="preserve">Government Grants (Topic 832): Accounting for Government Grants Received by Business Entities. The ASU establishes authoritative guidance in GAAP about accounting for government grants received by business entities, clarifies the appropriate accounting, in an effort to reduce diversity in practice, and increase consistency of application across business entities. The ASU is effective for annual reporting periods beginning after December 15, 2028, and interim reporting periods within those annual reporting periods. Adoption of this ASU can be applied a modified prospective approach, a modified retrospective approach, or a retrospective approach. Early adoption is permitted. The Group is currently evaluating the impact of the new guidance on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F- 3</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215"/>
        <w:gridCol w:w="2000"/>
      </w:tblGrid>
      <w:tr>
        <w:trPr/>
        <w:tc>
          <w:tcPr>
            <w:tcW w:w="215" w:type="dxa"/>
            <w:tcBorders/>
            <w:vAlign w:val="center"/>
          </w:tcPr>
          <w:p>
            <w:pPr>
              <w:pStyle w:val="TableContents"/>
              <w:bidi w:val="0"/>
              <w:spacing w:before="0" w:after="0"/>
              <w:jc w:val="left"/>
              <w:rPr>
                <w:b/>
                <w:spacing w:val="0"/>
              </w:rPr>
            </w:pPr>
            <w:r>
              <w:rPr>
                <w:b/>
                <w:spacing w:val="0"/>
              </w:rPr>
              <w:t>3.</w:t>
            </w:r>
          </w:p>
        </w:tc>
        <w:tc>
          <w:tcPr>
            <w:tcW w:w="20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Concentration of Risks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305"/>
        <w:gridCol w:w="237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(a)</w:t>
            </w:r>
          </w:p>
        </w:tc>
        <w:tc>
          <w:tcPr>
            <w:tcW w:w="237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 of credit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Group to significant concentration of credit risk consist primarily of cash and cash equivalents, restricted short-term deposit, short-term investments and accounts receivable. The carrying amounts of these assets represent the Group’s maximum exposure to credit risk as of the balance sheet dates.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substantially all of the Group’s cash and cash equivalents, restricted short-term deposit, and short-term investments were placed with certain reputable financial institutions in the PRC and overseas. Management believes that these financial institutions are of high credit quality and continually monitors the credit worthiness of these financial institutions. Historically, deposits in Chinese banks are secure due to the state policy on protecting depositors’ interests. The Group selected reputable international financial institutions with high credit ratings to deposit its foreign currencies. The Company regularly monitors the credit ratings of the international financial institutions to avoid any potential defaults. In the event of bankruptcy of one of these financial institutions, the Group may not be able to claim its cash and demand deposits back in full. The Group continues to monitor the financial strength of the financial institutions. There has been no recent history of default in relation to these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are typically unsecured and derived from revenue earned from customers in the PRC, which are exposed to credit risk. The risk is mitigated by credit evaluations the Group performs on its customers and its ongoing monitoring process of outstanding balances. The Group maintains expected credit losses provision and actual losses have generally been within management’s expectations.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305"/>
        <w:gridCol w:w="188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188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Business supplier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relies on external supplies for raw materials and certain components and parts used in the Group’s products. Some of the components for UAVs are currently selected to be purchased from a single source to improve cost-efficiency. </w:t>
      </w:r>
    </w:p>
    <w:p>
      <w:pPr>
        <w:pStyle w:val="TextBody"/>
        <w:bidi w:val="0"/>
        <w:spacing w:before="120" w:after="0"/>
        <w:jc w:val="left"/>
        <w:rPr>
          <w:rFonts w:ascii="Times New Roman" w:hAnsi="Times New Roman"/>
          <w:sz w:val="20"/>
        </w:rPr>
      </w:pPr>
      <w:r>
        <w:rPr>
          <w:rFonts w:ascii="Times New Roman" w:hAnsi="Times New Roman"/>
          <w:sz w:val="20"/>
        </w:rPr>
        <w:t xml:space="preserve">Suppliers accounting for 10% or more of total purchases of materials for the years presented are as follows: </w:t>
      </w:r>
    </w:p>
    <w:p>
      <w:pPr>
        <w:pStyle w:val="TextBody"/>
        <w:bidi w:val="0"/>
        <w:spacing w:before="0" w:after="0"/>
        <w:jc w:val="left"/>
        <w:rPr/>
      </w:pPr>
      <w:r>
        <w:rPr/>
        <w:t> </w:t>
      </w:r>
    </w:p>
    <w:tbl>
      <w:tblPr>
        <w:tblW w:w="4321" w:type="dxa"/>
        <w:jc w:val="left"/>
        <w:tblInd w:w="0" w:type="dxa"/>
        <w:tblLayout w:type="fixed"/>
        <w:tblCellMar>
          <w:top w:w="0" w:type="dxa"/>
          <w:left w:w="0" w:type="dxa"/>
          <w:bottom w:w="0" w:type="dxa"/>
          <w:right w:w="0" w:type="dxa"/>
        </w:tblCellMar>
      </w:tblPr>
      <w:tblGrid>
        <w:gridCol w:w="725"/>
        <w:gridCol w:w="120"/>
        <w:gridCol w:w="62"/>
        <w:gridCol w:w="585"/>
        <w:gridCol w:w="62"/>
        <w:gridCol w:w="125"/>
        <w:gridCol w:w="62"/>
        <w:gridCol w:w="711"/>
        <w:gridCol w:w="62"/>
        <w:gridCol w:w="125"/>
        <w:gridCol w:w="62"/>
        <w:gridCol w:w="711"/>
        <w:gridCol w:w="62"/>
        <w:gridCol w:w="125"/>
        <w:gridCol w:w="62"/>
        <w:gridCol w:w="585"/>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1"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7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0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7" w:type="dxa"/>
            <w:gridSpan w:val="2"/>
            <w:tcBorders/>
            <w:vAlign w:val="center"/>
          </w:tcPr>
          <w:p>
            <w:pPr>
              <w:pStyle w:val="TableContents"/>
              <w:bidi w:val="0"/>
              <w:spacing w:before="0" w:after="0"/>
              <w:jc w:val="center"/>
              <w:rPr>
                <w:b/>
                <w:spacing w:val="0"/>
              </w:rPr>
            </w:pPr>
            <w:r>
              <w:rPr>
                <w:b/>
                <w:spacing w:val="0"/>
              </w:rPr>
              <w:t>RMB</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0"/>
              <w:jc w:val="center"/>
              <w:rPr>
                <w:b/>
                <w:spacing w:val="0"/>
              </w:rPr>
            </w:pPr>
            <w:r>
              <w:rPr>
                <w:b/>
                <w:spacing w:val="0"/>
              </w:rPr>
              <w:t>RMB</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73" w:type="dxa"/>
            <w:gridSpan w:val="2"/>
            <w:tcBorders/>
            <w:vAlign w:val="center"/>
          </w:tcPr>
          <w:p>
            <w:pPr>
              <w:pStyle w:val="TableContents"/>
              <w:bidi w:val="0"/>
              <w:spacing w:before="0" w:after="0"/>
              <w:jc w:val="center"/>
              <w:rPr>
                <w:b/>
                <w:spacing w:val="0"/>
              </w:rPr>
            </w:pPr>
            <w:r>
              <w:rPr>
                <w:b/>
                <w:spacing w:val="0"/>
              </w:rPr>
              <w:t>RMB</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47"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Supplier</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585"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711"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711"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58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— </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26,399</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3,775</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22,576</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62"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5,585</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2"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8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4"/>
        </w:rPr>
      </w:pPr>
      <w:r>
        <w:rPr>
          <w:sz w:val="24"/>
        </w:rPr>
      </w:r>
    </w:p>
    <w:tbl>
      <w:tblPr>
        <w:tblW w:w="4915" w:type="dxa"/>
        <w:jc w:val="left"/>
        <w:tblInd w:w="0" w:type="dxa"/>
        <w:tblLayout w:type="fixed"/>
        <w:tblCellMar>
          <w:top w:w="0" w:type="dxa"/>
          <w:left w:w="0" w:type="dxa"/>
          <w:bottom w:w="0" w:type="dxa"/>
          <w:right w:w="0" w:type="dxa"/>
        </w:tblCellMar>
      </w:tblPr>
      <w:tblGrid>
        <w:gridCol w:w="75"/>
        <w:gridCol w:w="140"/>
        <w:gridCol w:w="470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w:t>
            </w:r>
          </w:p>
        </w:tc>
        <w:tc>
          <w:tcPr>
            <w:tcW w:w="47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less than 10% of total purchase of materials of the Group.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215"/>
        <w:gridCol w:w="3035"/>
      </w:tblGrid>
      <w:tr>
        <w:trPr/>
        <w:tc>
          <w:tcPr>
            <w:tcW w:w="215" w:type="dxa"/>
            <w:tcBorders/>
            <w:vAlign w:val="center"/>
          </w:tcPr>
          <w:p>
            <w:pPr>
              <w:pStyle w:val="TableContents"/>
              <w:bidi w:val="0"/>
              <w:spacing w:before="0" w:after="0"/>
              <w:jc w:val="left"/>
              <w:rPr>
                <w:b/>
                <w:spacing w:val="0"/>
              </w:rPr>
            </w:pPr>
            <w:r>
              <w:rPr>
                <w:b/>
                <w:spacing w:val="0"/>
              </w:rPr>
              <w:t>3.</w:t>
            </w:r>
          </w:p>
        </w:tc>
        <w:tc>
          <w:tcPr>
            <w:tcW w:w="30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Concentration of Risks (Continued) </w:t>
            </w:r>
          </w:p>
        </w:tc>
      </w:tr>
    </w:tbl>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90"/>
        <w:gridCol w:w="1235"/>
      </w:tblGrid>
      <w:tr>
        <w:trPr/>
        <w:tc>
          <w:tcPr>
            <w:tcW w:w="290" w:type="dxa"/>
            <w:tcBorders/>
            <w:vAlign w:val="center"/>
          </w:tcPr>
          <w:p>
            <w:pPr>
              <w:pStyle w:val="TableContents"/>
              <w:bidi w:val="0"/>
              <w:spacing w:before="0" w:after="0"/>
              <w:jc w:val="left"/>
              <w:rPr>
                <w:b/>
                <w:i/>
                <w:caps w:val="false"/>
                <w:smallCaps w:val="false"/>
                <w:spacing w:val="0"/>
              </w:rPr>
            </w:pPr>
            <w:r>
              <w:rPr>
                <w:b/>
                <w:i/>
                <w:caps w:val="false"/>
                <w:smallCaps w:val="false"/>
                <w:spacing w:val="0"/>
              </w:rPr>
              <w:t>(c)</w:t>
            </w:r>
          </w:p>
        </w:tc>
        <w:tc>
          <w:tcPr>
            <w:tcW w:w="123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Customer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success of the Group’s business going forward will rely in part on the Group’s ability to continue to obtain and expand its business from existing customers while also attracting new customers. For the years ended December 31, 2023, 2024 and 2025, the majority of the Group’s revenue generated from sales of passenger-grade UAVs are from a limited number of customers that mainly operate the UAVs on a limited trial basis in tourism locations in China, rather than in broad, mainstream commercial operations. </w:t>
      </w:r>
    </w:p>
    <w:p>
      <w:pPr>
        <w:pStyle w:val="TextBody"/>
        <w:bidi w:val="0"/>
        <w:spacing w:before="120" w:after="0"/>
        <w:jc w:val="left"/>
        <w:rPr>
          <w:rFonts w:ascii="Times New Roman" w:hAnsi="Times New Roman"/>
          <w:sz w:val="20"/>
        </w:rPr>
      </w:pPr>
      <w:r>
        <w:rPr>
          <w:rFonts w:ascii="Times New Roman" w:hAnsi="Times New Roman"/>
          <w:sz w:val="20"/>
        </w:rPr>
        <w:t xml:space="preserve">External customers with 10% or more of the Group’s revenues for the years presented are as follows: </w:t>
      </w:r>
    </w:p>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815"/>
        <w:gridCol w:w="120"/>
        <w:gridCol w:w="60"/>
        <w:gridCol w:w="680"/>
        <w:gridCol w:w="60"/>
        <w:gridCol w:w="120"/>
        <w:gridCol w:w="60"/>
        <w:gridCol w:w="800"/>
        <w:gridCol w:w="60"/>
        <w:gridCol w:w="120"/>
        <w:gridCol w:w="60"/>
        <w:gridCol w:w="800"/>
        <w:gridCol w:w="60"/>
        <w:gridCol w:w="120"/>
        <w:gridCol w:w="60"/>
        <w:gridCol w:w="680"/>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4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14,300</w:t>
            </w:r>
          </w:p>
        </w:tc>
        <w:tc>
          <w:tcPr>
            <w:tcW w:w="7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81,504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11,655</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53,540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7,656</w:t>
            </w:r>
          </w:p>
        </w:tc>
        <w:tc>
          <w:tcPr>
            <w:tcW w:w="7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63,451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w:t>
            </w:r>
          </w:p>
          <w:p>
            <w:pPr>
              <w:pStyle w:val="TableContents"/>
              <w:bidi w:val="0"/>
              <w:spacing w:before="0" w:after="0"/>
              <w:jc w:val="left"/>
              <w:rPr>
                <w:rFonts w:ascii="Times New Roman" w:hAnsi="Times New Roman"/>
                <w:sz w:val="20"/>
              </w:rPr>
            </w:pPr>
            <w:r>
              <w:rPr>
                <w:rFonts w:ascii="Times New Roman" w:hAnsi="Times New Roman"/>
                <w:sz w:val="20"/>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925" w:type="dxa"/>
        <w:jc w:val="left"/>
        <w:tblInd w:w="0" w:type="dxa"/>
        <w:tblLayout w:type="fixed"/>
        <w:tblCellMar>
          <w:top w:w="0" w:type="dxa"/>
          <w:left w:w="0" w:type="dxa"/>
          <w:bottom w:w="0" w:type="dxa"/>
          <w:right w:w="0" w:type="dxa"/>
        </w:tblCellMar>
      </w:tblPr>
      <w:tblGrid>
        <w:gridCol w:w="75"/>
        <w:gridCol w:w="140"/>
        <w:gridCol w:w="3710"/>
      </w:tblGrid>
      <w:tr>
        <w:trPr/>
        <w:tc>
          <w:tcPr>
            <w:tcW w:w="75" w:type="dxa"/>
            <w:tcBorders/>
            <w:vAlign w:val="center"/>
          </w:tcPr>
          <w:p>
            <w:pPr>
              <w:pStyle w:val="TableContents"/>
              <w:bidi w:val="0"/>
              <w:spacing w:before="0" w:after="0"/>
              <w:jc w:val="left"/>
              <w:rPr>
                <w:spacing w:val="0"/>
              </w:rPr>
            </w:pPr>
            <w:r>
              <w:rPr>
                <w:spacing w:val="0"/>
              </w:rPr>
              <w:t> </w:t>
            </w:r>
          </w:p>
        </w:tc>
        <w:tc>
          <w:tcPr>
            <w:tcW w:w="140" w:type="dxa"/>
            <w:tcBorders/>
            <w:vAlign w:val="center"/>
          </w:tcPr>
          <w:p>
            <w:pPr>
              <w:pStyle w:val="TableContents"/>
              <w:bidi w:val="0"/>
              <w:spacing w:before="0" w:after="0"/>
              <w:jc w:val="left"/>
              <w:rPr>
                <w:spacing w:val="0"/>
              </w:rPr>
            </w:pPr>
            <w:r>
              <w:rPr>
                <w:spacing w:val="0"/>
              </w:rPr>
              <w:t>*</w:t>
            </w:r>
          </w:p>
        </w:tc>
        <w:tc>
          <w:tcPr>
            <w:tcW w:w="3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less than 10% of total revenues of the Group. </w:t>
            </w:r>
          </w:p>
        </w:tc>
      </w:tr>
    </w:tbl>
    <w:p>
      <w:pPr>
        <w:pStyle w:val="TextBody"/>
        <w:bidi w:val="0"/>
        <w:spacing w:before="120" w:after="0"/>
        <w:jc w:val="left"/>
        <w:rPr>
          <w:rFonts w:ascii="Times New Roman" w:hAnsi="Times New Roman"/>
          <w:sz w:val="20"/>
        </w:rPr>
      </w:pPr>
      <w:r>
        <w:rPr>
          <w:rFonts w:ascii="Times New Roman" w:hAnsi="Times New Roman"/>
          <w:sz w:val="20"/>
        </w:rPr>
        <w:t>As of December 31, 2024 and 2025, accounts receivable, net of expected credit losses, from the top customers above amounted to RMB49,373 and RMB56,522 (US$8,083</w:t>
      </w:r>
    </w:p>
    <w:p>
      <w:pPr>
        <w:pStyle w:val="TextBody"/>
        <w:bidi w:val="0"/>
        <w:spacing w:before="120" w:after="0"/>
        <w:jc w:val="left"/>
        <w:rPr>
          <w:rFonts w:ascii="Times New Roman" w:hAnsi="Times New Roman"/>
          <w:spacing w:val="0"/>
          <w:sz w:val="20"/>
        </w:rPr>
      </w:pPr>
      <w:r>
        <w:rPr>
          <w:rFonts w:ascii="Times New Roman" w:hAnsi="Times New Roman"/>
          <w:spacing w:val="0"/>
          <w:sz w:val="20"/>
        </w:rPr>
        <w:t>), accounting</w:t>
      </w:r>
    </w:p>
    <w:p>
      <w:pPr>
        <w:pStyle w:val="TextBody"/>
        <w:bidi w:val="0"/>
        <w:spacing w:before="120" w:after="0"/>
        <w:jc w:val="left"/>
        <w:rPr/>
      </w:pPr>
      <w:r>
        <w:rPr/>
        <w:t> </w:t>
      </w:r>
      <w:r>
        <w:rPr>
          <w:rFonts w:ascii="Times New Roman" w:hAnsi="Times New Roman"/>
          <w:sz w:val="20"/>
        </w:rPr>
        <w:t xml:space="preserve">for 85% and 51% of the Group’s total balance, respectively.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305"/>
        <w:gridCol w:w="236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(d)</w:t>
            </w:r>
          </w:p>
        </w:tc>
        <w:tc>
          <w:tcPr>
            <w:tcW w:w="236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Currency convertibility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primarily transacts its business in RMB, which is not freely convertible into foreign currencies. On January 1, 1994, the PRC government abolished the dual rate system and introduced a single rate of exchange as quoted daily by the People’s Bank of China (the ‘‘PBOC’’). However, the 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290"/>
        <w:gridCol w:w="3095"/>
      </w:tblGrid>
      <w:tr>
        <w:trPr/>
        <w:tc>
          <w:tcPr>
            <w:tcW w:w="290" w:type="dxa"/>
            <w:tcBorders/>
            <w:vAlign w:val="center"/>
          </w:tcPr>
          <w:p>
            <w:pPr>
              <w:pStyle w:val="TableContents"/>
              <w:bidi w:val="0"/>
              <w:spacing w:before="0" w:after="0"/>
              <w:jc w:val="left"/>
              <w:rPr>
                <w:b/>
                <w:i/>
                <w:caps w:val="false"/>
                <w:smallCaps w:val="false"/>
                <w:spacing w:val="0"/>
              </w:rPr>
            </w:pPr>
            <w:r>
              <w:rPr>
                <w:b/>
                <w:i/>
                <w:caps w:val="false"/>
                <w:smallCaps w:val="false"/>
                <w:spacing w:val="0"/>
              </w:rPr>
              <w:t>(e)</w:t>
            </w:r>
          </w:p>
        </w:tc>
        <w:tc>
          <w:tcPr>
            <w:tcW w:w="309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exchange rate risk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is exposed to foreign currency exchange rate risk, which mainly affects the monetary assets denominated in the currencies other than the functional currencies of the respective entities. Since July 21, 2005, the RMB has been permitted to fluctuate within a narrow and managed band against a basket of certain foreign currencies. The functional currency and the reporting currency of the Company are the US$ and the RMB, respectively. Most of the Group’s revenues and costs are denominated in RMB, while a portion of cash and cash equivalents, restricted short-term deposits, short-term investments, accounts receivable, other receivables, other payables and accounts payable are denominated in US$. It is difficult to predict how market forces or PRC or U.S. government policy may impact the exchange rate between the RMB and the US$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15"/>
        <w:gridCol w:w="2060"/>
      </w:tblGrid>
      <w:tr>
        <w:trPr/>
        <w:tc>
          <w:tcPr>
            <w:tcW w:w="215" w:type="dxa"/>
            <w:tcBorders/>
            <w:vAlign w:val="center"/>
          </w:tcPr>
          <w:p>
            <w:pPr>
              <w:pStyle w:val="TableContents"/>
              <w:bidi w:val="0"/>
              <w:spacing w:before="0" w:after="0"/>
              <w:jc w:val="left"/>
              <w:rPr>
                <w:b/>
                <w:spacing w:val="0"/>
              </w:rPr>
            </w:pPr>
            <w:r>
              <w:rPr>
                <w:b/>
                <w:spacing w:val="0"/>
              </w:rPr>
              <w:t>4.</w:t>
            </w:r>
          </w:p>
        </w:tc>
        <w:tc>
          <w:tcPr>
            <w:tcW w:w="2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Short-term investments as of December 31, 2024 and 2025 consisted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40"/>
        <w:gridCol w:w="120"/>
        <w:gridCol w:w="60"/>
        <w:gridCol w:w="800"/>
        <w:gridCol w:w="60"/>
        <w:gridCol w:w="120"/>
        <w:gridCol w:w="161"/>
        <w:gridCol w:w="1509"/>
        <w:gridCol w:w="60"/>
        <w:gridCol w:w="120"/>
        <w:gridCol w:w="318"/>
        <w:gridCol w:w="1382"/>
        <w:gridCol w:w="60"/>
        <w:gridCol w:w="120"/>
        <w:gridCol w:w="173"/>
        <w:gridCol w:w="1617"/>
        <w:gridCol w:w="60"/>
        <w:gridCol w:w="120"/>
        <w:gridCol w:w="120"/>
        <w:gridCol w:w="1610"/>
        <w:gridCol w:w="75"/>
      </w:tblGrid>
      <w:tr>
        <w:trPr/>
        <w:tc>
          <w:tcPr>
            <w:tcW w:w="1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70"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1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unrealized gains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unrealized losses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 currency</w:t>
              <w:br/>
              <w:t>exchange gains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carrying amount</w:t>
            </w:r>
          </w:p>
        </w:tc>
        <w:tc>
          <w:tcPr>
            <w:tcW w:w="75" w:type="dxa"/>
            <w:tcBorders/>
            <w:vAlign w:val="center"/>
          </w:tcPr>
          <w:p>
            <w:pPr>
              <w:pStyle w:val="TableContents"/>
              <w:bidi w:val="0"/>
              <w:spacing w:before="0" w:after="283"/>
              <w:jc w:val="left"/>
              <w:rPr/>
            </w:pPr>
            <w:r>
              <w:rPr/>
              <w:t> </w:t>
            </w:r>
          </w:p>
        </w:tc>
      </w:tr>
      <w:tr>
        <w:trPr/>
        <w:tc>
          <w:tcPr>
            <w:tcW w:w="1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1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Wealth management products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503,733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509" w:type="dxa"/>
            <w:tcBorders/>
            <w:shd w:fill="CCEEFF" w:val="clear"/>
            <w:vAlign w:val="center"/>
          </w:tcPr>
          <w:p>
            <w:pPr>
              <w:pStyle w:val="TableContents"/>
              <w:bidi w:val="0"/>
              <w:spacing w:before="0" w:after="283"/>
              <w:jc w:val="right"/>
              <w:rPr/>
            </w:pPr>
            <w:r>
              <w:rPr/>
              <w:t>4,885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617" w:type="dxa"/>
            <w:tcBorders/>
            <w:shd w:fill="CCEEFF" w:val="clear"/>
            <w:vAlign w:val="center"/>
          </w:tcPr>
          <w:p>
            <w:pPr>
              <w:pStyle w:val="TableContents"/>
              <w:bidi w:val="0"/>
              <w:spacing w:before="0" w:after="283"/>
              <w:jc w:val="right"/>
              <w:rPr/>
            </w:pPr>
            <w:r>
              <w:rPr/>
              <w:t>5,065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513,683</w:t>
            </w:r>
          </w:p>
        </w:tc>
        <w:tc>
          <w:tcPr>
            <w:tcW w:w="75" w:type="dxa"/>
            <w:tcBorders/>
            <w:shd w:fill="CCEEFF" w:val="clear"/>
            <w:vAlign w:val="center"/>
          </w:tcPr>
          <w:p>
            <w:pPr>
              <w:pStyle w:val="TableContents"/>
              <w:bidi w:val="0"/>
              <w:spacing w:before="0" w:after="283"/>
              <w:jc w:val="left"/>
              <w:rPr/>
            </w:pPr>
            <w:r>
              <w:rPr/>
              <w:t> </w:t>
            </w:r>
          </w:p>
        </w:tc>
      </w:tr>
      <w:tr>
        <w:trPr/>
        <w:tc>
          <w:tcPr>
            <w:tcW w:w="1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jc w:val="left"/>
              <w:rPr>
                <w:bdr w:val="double" w:sz="6" w:space="1" w:color="000000"/>
              </w:rPr>
            </w:pPr>
            <w:r>
              <w:rPr>
                <w:bdr w:val="double" w:sz="6" w:space="1" w:color="000000"/>
              </w:rPr>
              <w:t> </w:t>
            </w:r>
          </w:p>
        </w:tc>
        <w:tc>
          <w:tcPr>
            <w:tcW w:w="150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0"/>
              <w:jc w:val="left"/>
              <w:rPr>
                <w:bdr w:val="double" w:sz="6" w:space="1" w:color="000000"/>
              </w:rPr>
            </w:pPr>
            <w:r>
              <w:rPr>
                <w:bdr w:val="double" w:sz="6" w:space="1" w:color="000000"/>
              </w:rPr>
              <w:t> </w:t>
            </w:r>
          </w:p>
        </w:tc>
        <w:tc>
          <w:tcPr>
            <w:tcW w:w="138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0"/>
              <w:jc w:val="left"/>
              <w:rPr>
                <w:bdr w:val="double" w:sz="6" w:space="1" w:color="000000"/>
              </w:rPr>
            </w:pPr>
            <w:r>
              <w:rPr>
                <w:bdr w:val="double" w:sz="6" w:space="1" w:color="000000"/>
              </w:rPr>
              <w:t> </w:t>
            </w:r>
          </w:p>
        </w:tc>
        <w:tc>
          <w:tcPr>
            <w:tcW w:w="161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bdr w:val="double" w:sz="6" w:space="1" w:color="000000"/>
              </w:rPr>
            </w:pPr>
            <w:r>
              <w:rPr>
                <w:bdr w:val="double" w:sz="6" w:space="1" w:color="000000"/>
              </w:rPr>
              <w:t> </w:t>
            </w:r>
          </w:p>
        </w:tc>
        <w:tc>
          <w:tcPr>
            <w:tcW w:w="161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45"/>
        <w:gridCol w:w="120"/>
        <w:gridCol w:w="60"/>
        <w:gridCol w:w="800"/>
        <w:gridCol w:w="60"/>
        <w:gridCol w:w="120"/>
        <w:gridCol w:w="135"/>
        <w:gridCol w:w="1535"/>
        <w:gridCol w:w="60"/>
        <w:gridCol w:w="120"/>
        <w:gridCol w:w="318"/>
        <w:gridCol w:w="1382"/>
        <w:gridCol w:w="60"/>
        <w:gridCol w:w="120"/>
        <w:gridCol w:w="131"/>
        <w:gridCol w:w="1659"/>
        <w:gridCol w:w="155"/>
        <w:gridCol w:w="120"/>
        <w:gridCol w:w="120"/>
        <w:gridCol w:w="161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65"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2025</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br/>
              <w:t>unrealized gains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unrealized losses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 currency</w:t>
              <w:br/>
              <w:t>exchange losses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carrying amount</w:t>
            </w:r>
          </w:p>
        </w:tc>
        <w:tc>
          <w:tcPr>
            <w:tcW w:w="7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Wealth management products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824,564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36,290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3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659" w:type="dxa"/>
            <w:tcBorders/>
            <w:shd w:fill="CCEEFF" w:val="clear"/>
            <w:vAlign w:val="center"/>
          </w:tcPr>
          <w:p>
            <w:pPr>
              <w:pStyle w:val="TableContents"/>
              <w:bidi w:val="0"/>
              <w:spacing w:before="0" w:after="283"/>
              <w:jc w:val="right"/>
              <w:rPr/>
            </w:pPr>
            <w:r>
              <w:rPr/>
              <w:t>(17,622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843,232</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35"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0"/>
              <w:jc w:val="left"/>
              <w:rPr>
                <w:bdr w:val="double" w:sz="6" w:space="1" w:color="000000"/>
              </w:rPr>
            </w:pPr>
            <w:r>
              <w:rPr>
                <w:bdr w:val="double" w:sz="6" w:space="1" w:color="000000"/>
              </w:rPr>
              <w:t> </w:t>
            </w:r>
          </w:p>
        </w:tc>
        <w:tc>
          <w:tcPr>
            <w:tcW w:w="1382"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6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bdr w:val="double" w:sz="6" w:space="1" w:color="000000"/>
              </w:rPr>
            </w:pPr>
            <w:r>
              <w:rPr>
                <w:bdr w:val="double" w:sz="6" w:space="1" w:color="000000"/>
              </w:rPr>
              <w:t> </w:t>
            </w:r>
          </w:p>
        </w:tc>
        <w:tc>
          <w:tcPr>
            <w:tcW w:w="161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Group’s short-term investments are primarily investments in trading instruments issued by oversea reputable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the Group recognized interest and investment income of RMB806, RMB10,177 and RMB36,748 (US$5,255) from short-term investments, respectively. </w:t>
      </w:r>
    </w:p>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215"/>
        <w:gridCol w:w="2195"/>
      </w:tblGrid>
      <w:tr>
        <w:trPr/>
        <w:tc>
          <w:tcPr>
            <w:tcW w:w="215" w:type="dxa"/>
            <w:tcBorders/>
            <w:vAlign w:val="center"/>
          </w:tcPr>
          <w:p>
            <w:pPr>
              <w:pStyle w:val="TableContents"/>
              <w:bidi w:val="0"/>
              <w:spacing w:before="0" w:after="0"/>
              <w:jc w:val="left"/>
              <w:rPr>
                <w:b/>
                <w:spacing w:val="0"/>
              </w:rPr>
            </w:pPr>
            <w:r>
              <w:rPr>
                <w:b/>
                <w:spacing w:val="0"/>
              </w:rPr>
              <w:t>5.</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Receivable,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receivable, net, consisted of the following: </w:t>
      </w:r>
    </w:p>
    <w:p>
      <w:pPr>
        <w:pStyle w:val="TextBody"/>
        <w:bidi w:val="0"/>
        <w:spacing w:before="0" w:after="0"/>
        <w:jc w:val="left"/>
        <w:rPr>
          <w:spacing w:val="0"/>
        </w:rPr>
      </w:pPr>
      <w:r>
        <w:rPr>
          <w:spacing w:val="0"/>
        </w:rPr>
        <w:t> </w:t>
      </w:r>
    </w:p>
    <w:tbl>
      <w:tblPr>
        <w:tblW w:w="6620" w:type="dxa"/>
        <w:jc w:val="left"/>
        <w:tblInd w:w="0" w:type="dxa"/>
        <w:tblLayout w:type="fixed"/>
        <w:tblCellMar>
          <w:top w:w="0" w:type="dxa"/>
          <w:left w:w="0" w:type="dxa"/>
          <w:bottom w:w="0" w:type="dxa"/>
          <w:right w:w="0" w:type="dxa"/>
        </w:tblCellMar>
      </w:tblPr>
      <w:tblGrid>
        <w:gridCol w:w="3095"/>
        <w:gridCol w:w="120"/>
        <w:gridCol w:w="60"/>
        <w:gridCol w:w="875"/>
        <w:gridCol w:w="155"/>
        <w:gridCol w:w="120"/>
        <w:gridCol w:w="60"/>
        <w:gridCol w:w="875"/>
        <w:gridCol w:w="155"/>
        <w:gridCol w:w="120"/>
        <w:gridCol w:w="60"/>
        <w:gridCol w:w="755"/>
        <w:gridCol w:w="170"/>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3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3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spacing w:val="0"/>
              </w:rPr>
            </w:pPr>
            <w:r>
              <w:rPr>
                <w:spacing w:val="0"/>
              </w:rPr>
              <w:t> </w:t>
            </w:r>
          </w:p>
        </w:tc>
      </w:tr>
      <w:tr>
        <w:trPr/>
        <w:tc>
          <w:tcPr>
            <w:tcW w:w="3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0"/>
              <w:jc w:val="left"/>
              <w:rPr>
                <w:spacing w:val="0"/>
              </w:rPr>
            </w:pPr>
            <w:r>
              <w:rPr>
                <w:spacing w:val="0"/>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161,520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222,929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31,879</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expected credit losses provision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(103,340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(111,259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(15,910</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58,180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111,670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15,969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 2025, the Group received a deposit of RMB7,060 (US$1,010) from a customer, representing a guaranteed payment for consideration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recorded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accrued expenses and other liabilities (Note 11). The amount was subsequently offset against an account receivable from the customer in April 2026.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movements in the expected credit losses were: </w:t>
      </w:r>
    </w:p>
    <w:p>
      <w:pPr>
        <w:pStyle w:val="TextBody"/>
        <w:bidi w:val="0"/>
        <w:spacing w:before="0" w:after="0"/>
        <w:jc w:val="left"/>
        <w:rPr/>
      </w:pPr>
      <w:r>
        <w:rPr/>
        <w:t> </w:t>
      </w:r>
    </w:p>
    <w:tbl>
      <w:tblPr>
        <w:tblW w:w="8190" w:type="dxa"/>
        <w:jc w:val="left"/>
        <w:tblInd w:w="0" w:type="dxa"/>
        <w:tblLayout w:type="fixed"/>
        <w:tblCellMar>
          <w:top w:w="0" w:type="dxa"/>
          <w:left w:w="0" w:type="dxa"/>
          <w:bottom w:w="0" w:type="dxa"/>
          <w:right w:w="0" w:type="dxa"/>
        </w:tblCellMar>
      </w:tblPr>
      <w:tblGrid>
        <w:gridCol w:w="3515"/>
        <w:gridCol w:w="120"/>
        <w:gridCol w:w="60"/>
        <w:gridCol w:w="875"/>
        <w:gridCol w:w="155"/>
        <w:gridCol w:w="120"/>
        <w:gridCol w:w="60"/>
        <w:gridCol w:w="875"/>
        <w:gridCol w:w="155"/>
        <w:gridCol w:w="120"/>
        <w:gridCol w:w="60"/>
        <w:gridCol w:w="875"/>
        <w:gridCol w:w="155"/>
        <w:gridCol w:w="120"/>
        <w:gridCol w:w="60"/>
        <w:gridCol w:w="755"/>
        <w:gridCol w:w="110"/>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4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1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1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 prior to ASC 326</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(115,380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Adoption of ASC Topic 326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beginning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(116,533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(131,826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(103,340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(14,778</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period provision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(16,170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(12,725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(11,294</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(1,615</w:t>
            </w:r>
          </w:p>
        </w:tc>
        <w:tc>
          <w:tcPr>
            <w:tcW w:w="110"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Reversal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6,039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480</w:t>
            </w:r>
          </w:p>
        </w:tc>
        <w:tc>
          <w:tcPr>
            <w:tcW w:w="11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converted from unbilled revenue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Write-off</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35,180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 </w:t>
            </w:r>
          </w:p>
        </w:tc>
      </w:tr>
      <w:tr>
        <w:trPr/>
        <w:tc>
          <w:tcPr>
            <w:tcW w:w="3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end of the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(131,826</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(103,340</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(111,259</w:t>
            </w:r>
          </w:p>
        </w:tc>
        <w:tc>
          <w:tcPr>
            <w:tcW w:w="155" w:type="dxa"/>
            <w:tcBorders/>
            <w:vAlign w:val="center"/>
          </w:tcPr>
          <w:p>
            <w:pPr>
              <w:pStyle w:val="TableContents"/>
              <w:bidi w:val="0"/>
              <w:spacing w:before="0" w:after="0"/>
              <w:jc w:val="left"/>
              <w:rPr>
                <w:b/>
                <w:spacing w:val="0"/>
              </w:rPr>
            </w:pPr>
            <w:r>
              <w:rPr>
                <w:b/>
                <w:spacing w:val="0"/>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(15,910</w:t>
            </w:r>
          </w:p>
        </w:tc>
        <w:tc>
          <w:tcPr>
            <w:tcW w:w="110" w:type="dxa"/>
            <w:tcBorders/>
            <w:vAlign w:val="center"/>
          </w:tcPr>
          <w:p>
            <w:pPr>
              <w:pStyle w:val="TableContents"/>
              <w:bidi w:val="0"/>
              <w:spacing w:before="0" w:after="0"/>
              <w:jc w:val="left"/>
              <w:rPr>
                <w:b/>
                <w:spacing w:val="0"/>
              </w:rPr>
            </w:pPr>
            <w:r>
              <w:rPr>
                <w:b/>
                <w:spacing w:val="0"/>
              </w:rPr>
              <w:t>)</w:t>
            </w:r>
          </w:p>
          <w:p>
            <w:pPr>
              <w:pStyle w:val="TableContents"/>
              <w:bidi w:val="0"/>
              <w:spacing w:before="0" w:after="0"/>
              <w:jc w:val="left"/>
              <w:rPr>
                <w:spacing w:val="0"/>
              </w:rPr>
            </w:pPr>
            <w:r>
              <w:rPr>
                <w:spacing w:val="0"/>
              </w:rPr>
              <w:t> </w:t>
            </w:r>
          </w:p>
        </w:tc>
      </w:tr>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pacing w:val="0"/>
          <w:sz w:val="20"/>
        </w:rPr>
      </w:pPr>
      <w:r>
        <w:rPr>
          <w:rFonts w:ascii="Times New Roman" w:hAnsi="Times New Roman"/>
          <w:spacing w:val="0"/>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0"/>
              <w:jc w:val="left"/>
              <w:rPr>
                <w:b/>
                <w:spacing w:val="0"/>
              </w:rPr>
            </w:pPr>
            <w:r>
              <w:rPr>
                <w:b/>
                <w:spacing w:val="0"/>
              </w:rPr>
              <w:t>6.</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p>
    <w:p>
      <w:pPr>
        <w:pStyle w:val="TextBody"/>
        <w:bidi w:val="0"/>
        <w:spacing w:before="0" w:after="0"/>
        <w:jc w:val="left"/>
        <w:rPr/>
      </w:pPr>
      <w:r>
        <w:rPr/>
        <w:t> </w:t>
      </w:r>
    </w:p>
    <w:tbl>
      <w:tblPr>
        <w:tblW w:w="4955" w:type="dxa"/>
        <w:jc w:val="left"/>
        <w:tblInd w:w="0" w:type="dxa"/>
        <w:tblLayout w:type="fixed"/>
        <w:tblCellMar>
          <w:top w:w="0" w:type="dxa"/>
          <w:left w:w="0" w:type="dxa"/>
          <w:bottom w:w="0" w:type="dxa"/>
          <w:right w:w="0" w:type="dxa"/>
        </w:tblCellMar>
      </w:tblPr>
      <w:tblGrid>
        <w:gridCol w:w="1775"/>
        <w:gridCol w:w="120"/>
        <w:gridCol w:w="60"/>
        <w:gridCol w:w="680"/>
        <w:gridCol w:w="155"/>
        <w:gridCol w:w="120"/>
        <w:gridCol w:w="60"/>
        <w:gridCol w:w="800"/>
        <w:gridCol w:w="155"/>
        <w:gridCol w:w="120"/>
        <w:gridCol w:w="60"/>
        <w:gridCol w:w="680"/>
        <w:gridCol w:w="170"/>
      </w:tblGrid>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45,319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40,687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5,818</w:t>
            </w:r>
          </w:p>
        </w:tc>
        <w:tc>
          <w:tcPr>
            <w:tcW w:w="170"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9,043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2,917</w:t>
            </w:r>
          </w:p>
        </w:tc>
        <w:tc>
          <w:tcPr>
            <w:tcW w:w="17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30,405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48,760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6,972</w:t>
            </w:r>
          </w:p>
        </w:tc>
        <w:tc>
          <w:tcPr>
            <w:tcW w:w="170"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84,767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109,847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15,707</w:t>
            </w:r>
          </w:p>
        </w:tc>
        <w:tc>
          <w:tcPr>
            <w:tcW w:w="17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 provision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(9,080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(8,213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(1,174</w:t>
            </w:r>
          </w:p>
        </w:tc>
        <w:tc>
          <w:tcPr>
            <w:tcW w:w="170" w:type="dxa"/>
            <w:tcBorders/>
            <w:shd w:fill="CCEEFF" w:val="clear"/>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75,687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right"/>
              <w:rPr>
                <w:b/>
                <w:spacing w:val="0"/>
              </w:rPr>
            </w:pPr>
            <w:r>
              <w:rPr>
                <w:b/>
                <w:spacing w:val="0"/>
              </w:rPr>
              <w:t>101,634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14,533</w:t>
            </w:r>
          </w:p>
        </w:tc>
        <w:tc>
          <w:tcPr>
            <w:tcW w:w="17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580" w:type="dxa"/>
        <w:jc w:val="left"/>
        <w:tblInd w:w="0" w:type="dxa"/>
        <w:tblLayout w:type="fixed"/>
        <w:tblCellMar>
          <w:top w:w="0" w:type="dxa"/>
          <w:left w:w="0" w:type="dxa"/>
          <w:bottom w:w="0" w:type="dxa"/>
          <w:right w:w="0" w:type="dxa"/>
        </w:tblCellMar>
      </w:tblPr>
      <w:tblGrid>
        <w:gridCol w:w="215"/>
        <w:gridCol w:w="3365"/>
      </w:tblGrid>
      <w:tr>
        <w:trPr/>
        <w:tc>
          <w:tcPr>
            <w:tcW w:w="215" w:type="dxa"/>
            <w:tcBorders/>
            <w:vAlign w:val="center"/>
          </w:tcPr>
          <w:p>
            <w:pPr>
              <w:pStyle w:val="TableContents"/>
              <w:bidi w:val="0"/>
              <w:spacing w:before="0" w:after="0"/>
              <w:jc w:val="left"/>
              <w:rPr>
                <w:b/>
                <w:spacing w:val="0"/>
              </w:rPr>
            </w:pPr>
            <w:r>
              <w:rPr>
                <w:b/>
                <w:spacing w:val="0"/>
              </w:rPr>
              <w:t>7.</w:t>
            </w:r>
          </w:p>
        </w:tc>
        <w:tc>
          <w:tcPr>
            <w:tcW w:w="33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Prepayments and Other Current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Prepayments and other current assets consisted of the following: </w:t>
      </w:r>
    </w:p>
    <w:p>
      <w:pPr>
        <w:pStyle w:val="TextBody"/>
        <w:bidi w:val="0"/>
        <w:spacing w:before="0" w:after="0"/>
        <w:jc w:val="left"/>
        <w:rPr/>
      </w:pPr>
      <w:r>
        <w:rPr/>
        <w:t> </w:t>
      </w:r>
    </w:p>
    <w:tbl>
      <w:tblPr>
        <w:tblW w:w="7835" w:type="dxa"/>
        <w:jc w:val="left"/>
        <w:tblInd w:w="0" w:type="dxa"/>
        <w:tblLayout w:type="fixed"/>
        <w:tblCellMar>
          <w:top w:w="0" w:type="dxa"/>
          <w:left w:w="0" w:type="dxa"/>
          <w:bottom w:w="0" w:type="dxa"/>
          <w:right w:w="0" w:type="dxa"/>
        </w:tblCellMar>
      </w:tblPr>
      <w:tblGrid>
        <w:gridCol w:w="5060"/>
        <w:gridCol w:w="120"/>
        <w:gridCol w:w="60"/>
        <w:gridCol w:w="680"/>
        <w:gridCol w:w="60"/>
        <w:gridCol w:w="120"/>
        <w:gridCol w:w="64"/>
        <w:gridCol w:w="736"/>
        <w:gridCol w:w="60"/>
        <w:gridCol w:w="120"/>
        <w:gridCol w:w="65"/>
        <w:gridCol w:w="615"/>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Value-added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22,706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45,741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6,541</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 for acquisition of inventories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20,048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32,726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4,680</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 to recover inventories (i)</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30,326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4,337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 for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6,733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24,716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3,534</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Insurance claims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2,230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319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Loans and interest receivable from a related party (Note 18(5))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2,070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296</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Prepayment for an equity investment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286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exchange forward contract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16,082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491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7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61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68,298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right"/>
              <w:rPr>
                <w:b/>
                <w:spacing w:val="0"/>
              </w:rPr>
            </w:pPr>
            <w:r>
              <w:rPr>
                <w:b/>
                <w:spacing w:val="0"/>
              </w:rPr>
              <w:t>140,922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0"/>
              <w:jc w:val="right"/>
              <w:rPr>
                <w:b/>
                <w:spacing w:val="0"/>
              </w:rPr>
            </w:pPr>
            <w:r>
              <w:rPr>
                <w:b/>
                <w:spacing w:val="0"/>
              </w:rPr>
              <w:t>20,151</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7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61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8"/>
        <w:gridCol w:w="9952"/>
      </w:tblGrid>
      <w:tr>
        <w:trPr/>
        <w:tc>
          <w:tcPr>
            <w:tcW w:w="75"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For contracts with certain customers where collectability is not probable to support the establishment of contract at contract inception, and no revenue was recognized, the Group recorded the right to recover the transferred inventories as stipulated in the contracts or by relevant laws. As of December 31, 2024 and 2025, right to recover inventories were nil and</w:t>
            </w:r>
          </w:p>
          <w:p>
            <w:pPr>
              <w:pStyle w:val="TableContents"/>
              <w:bidi w:val="0"/>
              <w:spacing w:before="0" w:after="0"/>
              <w:jc w:val="left"/>
              <w:rPr>
                <w:rFonts w:ascii="Times New Roman" w:hAnsi="Times New Roman"/>
                <w:sz w:val="20"/>
              </w:rPr>
            </w:pPr>
            <w:r>
              <w:rPr>
                <w:rFonts w:ascii="Times New Roman" w:hAnsi="Times New Roman"/>
                <w:sz w:val="20"/>
              </w:rPr>
              <w:t xml:space="preserve">RMB30,326 (US$4,337), respectively.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pacing w:val="0"/>
          <w:sz w:val="20"/>
        </w:rPr>
      </w:pPr>
      <w:r>
        <w:rPr>
          <w:rFonts w:ascii="Times New Roman" w:hAnsi="Times New Roman"/>
          <w:spacing w:val="0"/>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215"/>
        <w:gridCol w:w="4400"/>
      </w:tblGrid>
      <w:tr>
        <w:trPr/>
        <w:tc>
          <w:tcPr>
            <w:tcW w:w="215" w:type="dxa"/>
            <w:tcBorders/>
            <w:vAlign w:val="center"/>
          </w:tcPr>
          <w:p>
            <w:pPr>
              <w:pStyle w:val="TableContents"/>
              <w:bidi w:val="0"/>
              <w:spacing w:before="0" w:after="0"/>
              <w:jc w:val="left"/>
              <w:rPr>
                <w:b/>
                <w:spacing w:val="0"/>
              </w:rPr>
            </w:pPr>
            <w:r>
              <w:rPr>
                <w:b/>
                <w:spacing w:val="0"/>
              </w:rPr>
              <w:t>7.</w:t>
            </w:r>
          </w:p>
        </w:tc>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Prepayments and Other Current Assets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January 2020, the Group entered into a three-year loan agreement with a third-party supplier of key UAV components with a principal amount of RMB52,000 and an interest rate of 3% per annum. The use of the loan proceeds is limited to expanding the supplier’s production capacity. This long-term loan can be repaid by the borrower at any time. The loan balance was guaranteed by the borrower’s sole shareholder and his spouse. In 2020, RMB40,000 of the loan’s principal was repaid by the borrower. In March 2023, the Group entered into a supplementary agreement with the borrower to extend the term of the outstanding loan of RMB12,000 as follows: (1) RMB2,000 of the outstanding amount is extended to September 30, 2023. (2) RMB2,000 of the outstanding amount is extended to December 31, 2023. (3) RMB8,000 of the outstanding amount is extended to March 9, 2025. Subsequently, RMB1,700 was repaid by the borrower in cash and a supplemental agreement was entered into to offset RMB5,800 with the Group’s accounts payable to the borrower. For the years ended December 31, 2023 and 2024, the Group had recognized current expected credit losses of RMB285 and RMB4,215 against the total uncollected loan receivable balance of RMB4,500, respectively. Up to date of the issuance of the financial statements, the borrower did not repay the loan. </w:t>
      </w:r>
    </w:p>
    <w:p>
      <w:pPr>
        <w:pStyle w:val="TextBody"/>
        <w:bidi w:val="0"/>
        <w:spacing w:before="120" w:after="0"/>
        <w:jc w:val="left"/>
        <w:rPr>
          <w:rFonts w:ascii="Times New Roman" w:hAnsi="Times New Roman"/>
          <w:sz w:val="20"/>
        </w:rPr>
      </w:pPr>
      <w:r>
        <w:rPr>
          <w:rFonts w:ascii="Times New Roman" w:hAnsi="Times New Roman"/>
          <w:sz w:val="20"/>
        </w:rPr>
        <w:t xml:space="preserve">In March 2020, the Group provided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two-year</w:t>
      </w:r>
    </w:p>
    <w:p>
      <w:pPr>
        <w:pStyle w:val="TextBody"/>
        <w:bidi w:val="0"/>
        <w:spacing w:before="120" w:after="0"/>
        <w:jc w:val="left"/>
        <w:rPr>
          <w:rFonts w:ascii="Times New Roman" w:hAnsi="Times New Roman"/>
          <w:sz w:val="20"/>
        </w:rPr>
      </w:pPr>
      <w:r>
        <w:rPr>
          <w:rFonts w:ascii="Times New Roman" w:hAnsi="Times New Roman"/>
          <w:sz w:val="20"/>
        </w:rPr>
        <w:t xml:space="preserve">loan to a third-party entity with a principal amount of Euro 243 (equivalent to RMB1,900) and an interest rate of 3.5% per annum. In March 2022, the Group entered into a supplementary agreement with the third-party entity to extend the term of the loan by two years. The use of the loan proceeds is limited to assisting the Group in applying necessary permits from a European country’s aviation authority for the commercial operations of UAVs in this country. In 2024, the Group made a full provision against the total balance. As of the date of issuance of the financial statements, the borrower did not repay the loan.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expected credit loss provision related to other receivables (including loans receivable) were RMB7,082 and RMB7,249 (US$1,037), respectively.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215"/>
        <w:gridCol w:w="2555"/>
      </w:tblGrid>
      <w:tr>
        <w:trPr/>
        <w:tc>
          <w:tcPr>
            <w:tcW w:w="215" w:type="dxa"/>
            <w:tcBorders/>
            <w:vAlign w:val="center"/>
          </w:tcPr>
          <w:p>
            <w:pPr>
              <w:pStyle w:val="TableContents"/>
              <w:bidi w:val="0"/>
              <w:spacing w:before="0" w:after="0"/>
              <w:jc w:val="left"/>
              <w:rPr>
                <w:b/>
                <w:spacing w:val="0"/>
              </w:rPr>
            </w:pPr>
            <w:r>
              <w:rPr>
                <w:b/>
                <w:spacing w:val="0"/>
              </w:rPr>
              <w:t>8.</w:t>
            </w:r>
          </w:p>
        </w:tc>
        <w:tc>
          <w:tcPr>
            <w:tcW w:w="25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0" w:after="0"/>
        <w:jc w:val="left"/>
        <w:rPr/>
      </w:pPr>
      <w:r>
        <w:rPr/>
        <w:t> </w:t>
      </w:r>
    </w:p>
    <w:tbl>
      <w:tblPr>
        <w:tblW w:w="5630" w:type="dxa"/>
        <w:jc w:val="left"/>
        <w:tblInd w:w="0" w:type="dxa"/>
        <w:tblLayout w:type="fixed"/>
        <w:tblCellMar>
          <w:top w:w="0" w:type="dxa"/>
          <w:left w:w="0" w:type="dxa"/>
          <w:bottom w:w="0" w:type="dxa"/>
          <w:right w:w="0" w:type="dxa"/>
        </w:tblCellMar>
      </w:tblPr>
      <w:tblGrid>
        <w:gridCol w:w="2600"/>
        <w:gridCol w:w="120"/>
        <w:gridCol w:w="60"/>
        <w:gridCol w:w="755"/>
        <w:gridCol w:w="95"/>
        <w:gridCol w:w="120"/>
        <w:gridCol w:w="60"/>
        <w:gridCol w:w="755"/>
        <w:gridCol w:w="95"/>
        <w:gridCol w:w="120"/>
        <w:gridCol w:w="60"/>
        <w:gridCol w:w="680"/>
        <w:gridCol w:w="110"/>
      </w:tblGrid>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30,236</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86,648</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12,391</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84,087</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12,024</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Electronic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15,828</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70,302</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10,053</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20,440</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35,855</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5,127</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16,985</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12,532</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1,792</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Mold and tooling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6,190</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11,926</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1,705</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Transportation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4,224</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6,766</w:t>
            </w:r>
          </w:p>
        </w:tc>
        <w:tc>
          <w:tcPr>
            <w:tcW w:w="9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968</w:t>
            </w:r>
          </w:p>
        </w:tc>
        <w:tc>
          <w:tcPr>
            <w:tcW w:w="110" w:type="dxa"/>
            <w:tcBorders/>
            <w:shd w:fill="CCEEFF" w:val="cle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Office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1,980</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4,432</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634</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right"/>
              <w:rPr>
                <w:b/>
                <w:spacing w:val="0"/>
              </w:rPr>
            </w:pPr>
            <w:r>
              <w:rPr>
                <w:b/>
                <w:spacing w:val="0"/>
              </w:rPr>
              <w:t>95,883</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right"/>
              <w:rPr>
                <w:b/>
                <w:spacing w:val="0"/>
              </w:rPr>
            </w:pPr>
            <w:r>
              <w:rPr>
                <w:b/>
                <w:spacing w:val="0"/>
              </w:rPr>
              <w:t>312,548</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44,694</w:t>
            </w:r>
          </w:p>
        </w:tc>
        <w:tc>
          <w:tcPr>
            <w:tcW w:w="11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(34,199</w:t>
            </w:r>
          </w:p>
        </w:tc>
        <w:tc>
          <w:tcPr>
            <w:tcW w:w="9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(53,038</w:t>
            </w:r>
          </w:p>
        </w:tc>
        <w:tc>
          <w:tcPr>
            <w:tcW w:w="95"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(7,584</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2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impairment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(1,460</w:t>
            </w:r>
          </w:p>
        </w:tc>
        <w:tc>
          <w:tcPr>
            <w:tcW w:w="95"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(1,460</w:t>
            </w:r>
          </w:p>
        </w:tc>
        <w:tc>
          <w:tcPr>
            <w:tcW w:w="9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(209</w:t>
            </w:r>
          </w:p>
        </w:tc>
        <w:tc>
          <w:tcPr>
            <w:tcW w:w="110" w:type="dxa"/>
            <w:tcBorders/>
            <w:vAlign w:val="center"/>
          </w:tcPr>
          <w:p>
            <w:pPr>
              <w:pStyle w:val="TableContents"/>
              <w:bidi w:val="0"/>
              <w:spacing w:before="0" w:after="283"/>
              <w:jc w:val="left"/>
              <w:rPr/>
            </w:pPr>
            <w:r>
              <w:rPr/>
              <w:t>)</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right"/>
              <w:rPr>
                <w:b/>
                <w:spacing w:val="0"/>
              </w:rPr>
            </w:pPr>
            <w:r>
              <w:rPr>
                <w:b/>
                <w:spacing w:val="0"/>
              </w:rPr>
              <w:t>60,224</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right"/>
              <w:rPr>
                <w:b/>
                <w:spacing w:val="0"/>
              </w:rPr>
            </w:pPr>
            <w:r>
              <w:rPr>
                <w:b/>
                <w:spacing w:val="0"/>
              </w:rPr>
              <w:t>258,050</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36,901</w:t>
            </w:r>
          </w:p>
        </w:tc>
        <w:tc>
          <w:tcPr>
            <w:tcW w:w="11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2023, 2024 and 2025, the Group recorded depreciation expense of RMB12,442, RMB12,774 and RMB18,954 (US$2,710), respectively. </w:t>
      </w:r>
    </w:p>
    <w:p>
      <w:pPr>
        <w:pStyle w:val="TextBody"/>
        <w:bidi w:val="0"/>
        <w:spacing w:before="120" w:after="0"/>
        <w:jc w:val="left"/>
        <w:rPr>
          <w:rFonts w:ascii="Times New Roman" w:hAnsi="Times New Roman"/>
          <w:sz w:val="20"/>
        </w:rPr>
      </w:pPr>
      <w:r>
        <w:rPr>
          <w:rFonts w:ascii="Times New Roman" w:hAnsi="Times New Roman"/>
          <w:sz w:val="20"/>
        </w:rPr>
        <w:t>As of December 31, 2025, certain long-term bank loans (Note 12) were secured by mortgages of the Group’s building with carrying values of approximately RMB</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81,952 (US$11,719). There was no property and equipment mortgage securing the long-term loans outstanding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ind w:left="0" w:right="0" w:hanging="0"/>
        <w:jc w:val="left"/>
        <w:rPr/>
      </w:pPr>
      <w:r>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0"/>
              <w:jc w:val="left"/>
              <w:rPr>
                <w:b/>
                <w:spacing w:val="0"/>
              </w:rPr>
            </w:pPr>
            <w:r>
              <w:rPr>
                <w:b/>
                <w:spacing w:val="0"/>
              </w:rPr>
              <w:t>9.</w:t>
            </w:r>
          </w:p>
        </w:tc>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Accounted for Using Equity Method </w:t>
            </w:r>
          </w:p>
        </w:tc>
      </w:tr>
    </w:tbl>
    <w:p>
      <w:pPr>
        <w:pStyle w:val="TextBody"/>
        <w:bidi w:val="0"/>
        <w:spacing w:before="0" w:after="0"/>
        <w:ind w:left="0" w:right="0" w:hanging="0"/>
        <w:jc w:val="left"/>
        <w:rPr/>
      </w:pPr>
      <w:r>
        <w:rPr/>
        <w:t> </w:t>
      </w:r>
    </w:p>
    <w:tbl>
      <w:tblPr>
        <w:tblW w:w="5400" w:type="dxa"/>
        <w:jc w:val="left"/>
        <w:tblInd w:w="0" w:type="dxa"/>
        <w:tblLayout w:type="fixed"/>
        <w:tblCellMar>
          <w:top w:w="0" w:type="dxa"/>
          <w:left w:w="0" w:type="dxa"/>
          <w:bottom w:w="0" w:type="dxa"/>
          <w:right w:w="0" w:type="dxa"/>
        </w:tblCellMar>
      </w:tblPr>
      <w:tblGrid>
        <w:gridCol w:w="3575"/>
        <w:gridCol w:w="120"/>
        <w:gridCol w:w="124"/>
        <w:gridCol w:w="1411"/>
        <w:gridCol w:w="170"/>
      </w:tblGrid>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method</w:t>
              <w:br/>
              <w:t>investments</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0"/>
              <w:jc w:val="left"/>
              <w:rPr>
                <w:spacing w:val="0"/>
              </w:rPr>
            </w:pPr>
            <w:r>
              <w:rPr>
                <w:spacing w:val="0"/>
              </w:rPr>
              <w:t> </w:t>
            </w:r>
          </w:p>
        </w:tc>
        <w:tc>
          <w:tcPr>
            <w:tcW w:w="1411" w:type="dxa"/>
            <w:tcBorders/>
            <w:shd w:fill="CCEEFF" w:val="clear"/>
            <w:vAlign w:val="center"/>
          </w:tcPr>
          <w:p>
            <w:pPr>
              <w:pStyle w:val="TableContents"/>
              <w:bidi w:val="0"/>
              <w:spacing w:before="0" w:after="0"/>
              <w:jc w:val="right"/>
              <w:rPr>
                <w:b/>
                <w:spacing w:val="0"/>
              </w:rPr>
            </w:pPr>
            <w:r>
              <w:rPr>
                <w:b/>
                <w:spacing w:val="0"/>
              </w:rPr>
              <w:t>13,450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14,800</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of results of equity method investees</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(4,353</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411" w:type="dxa"/>
            <w:tcBorders/>
            <w:vAlign w:val="center"/>
          </w:tcPr>
          <w:p>
            <w:pPr>
              <w:pStyle w:val="TableContents"/>
              <w:bidi w:val="0"/>
              <w:spacing w:before="0" w:after="0"/>
              <w:jc w:val="right"/>
              <w:rPr>
                <w:b/>
                <w:spacing w:val="0"/>
              </w:rPr>
            </w:pPr>
            <w:r>
              <w:rPr>
                <w:b/>
                <w:spacing w:val="0"/>
              </w:rPr>
              <w:t>23,897</w:t>
            </w:r>
          </w:p>
        </w:tc>
        <w:tc>
          <w:tcPr>
            <w:tcW w:w="170" w:type="dxa"/>
            <w:tcBorders/>
            <w:vAlign w:val="center"/>
          </w:tcPr>
          <w:p>
            <w:pPr>
              <w:pStyle w:val="TableContents"/>
              <w:bidi w:val="0"/>
              <w:spacing w:before="0" w:after="0"/>
              <w:jc w:val="left"/>
              <w:rPr>
                <w:spacing w:val="0"/>
              </w:rPr>
            </w:pPr>
            <w:r>
              <w:rPr>
                <w:spacing w:val="0"/>
              </w:rPr>
              <w:t> </w:t>
            </w:r>
          </w:p>
        </w:tc>
      </w:tr>
      <w:tr>
        <w:trPr/>
        <w:tc>
          <w:tcPr>
            <w:tcW w:w="35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411" w:type="dxa"/>
            <w:tcBorders/>
            <w:shd w:fill="CCEEFF" w:val="clear"/>
            <w:vAlign w:val="center"/>
          </w:tcPr>
          <w:p>
            <w:pPr>
              <w:pStyle w:val="TableContents"/>
              <w:bidi w:val="0"/>
              <w:spacing w:before="0" w:after="283"/>
              <w:jc w:val="right"/>
              <w:rPr/>
            </w:pPr>
            <w:r>
              <w:rPr/>
              <w:t>10,200</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results of equity method investees</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411" w:type="dxa"/>
            <w:tcBorders/>
            <w:vAlign w:val="center"/>
          </w:tcPr>
          <w:p>
            <w:pPr>
              <w:pStyle w:val="TableContents"/>
              <w:bidi w:val="0"/>
              <w:spacing w:before="0" w:after="283"/>
              <w:jc w:val="right"/>
              <w:rPr/>
            </w:pPr>
            <w:r>
              <w:rPr/>
              <w:t>(5,248</w:t>
            </w:r>
          </w:p>
        </w:tc>
        <w:tc>
          <w:tcPr>
            <w:tcW w:w="17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411"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shd w:fill="CCEE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0"/>
              <w:jc w:val="left"/>
              <w:rPr>
                <w:spacing w:val="0"/>
              </w:rPr>
            </w:pPr>
            <w:r>
              <w:rPr>
                <w:spacing w:val="0"/>
              </w:rPr>
              <w:t> </w:t>
            </w:r>
          </w:p>
        </w:tc>
        <w:tc>
          <w:tcPr>
            <w:tcW w:w="1411" w:type="dxa"/>
            <w:tcBorders/>
            <w:shd w:fill="CCEEFF" w:val="clear"/>
            <w:vAlign w:val="center"/>
          </w:tcPr>
          <w:p>
            <w:pPr>
              <w:pStyle w:val="TableContents"/>
              <w:bidi w:val="0"/>
              <w:spacing w:before="0" w:after="0"/>
              <w:jc w:val="right"/>
              <w:rPr>
                <w:b/>
                <w:spacing w:val="0"/>
              </w:rPr>
            </w:pPr>
            <w:r>
              <w:rPr>
                <w:b/>
                <w:spacing w:val="0"/>
              </w:rPr>
              <w:t>28,849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41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 (US$)</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spacing w:val="0"/>
              </w:rPr>
            </w:pPr>
            <w:r>
              <w:rPr>
                <w:spacing w:val="0"/>
              </w:rPr>
              <w:t> </w:t>
            </w:r>
          </w:p>
        </w:tc>
        <w:tc>
          <w:tcPr>
            <w:tcW w:w="1411" w:type="dxa"/>
            <w:tcBorders/>
            <w:vAlign w:val="center"/>
          </w:tcPr>
          <w:p>
            <w:pPr>
              <w:pStyle w:val="TableContents"/>
              <w:bidi w:val="0"/>
              <w:spacing w:before="0" w:after="0"/>
              <w:jc w:val="right"/>
              <w:rPr>
                <w:b/>
                <w:spacing w:val="0"/>
              </w:rPr>
            </w:pPr>
            <w:r>
              <w:rPr>
                <w:b/>
                <w:spacing w:val="0"/>
              </w:rPr>
              <w:t>4,125</w:t>
            </w:r>
          </w:p>
        </w:tc>
        <w:tc>
          <w:tcPr>
            <w:tcW w:w="170" w:type="dxa"/>
            <w:tcBorders/>
            <w:vAlign w:val="center"/>
          </w:tcPr>
          <w:p>
            <w:pPr>
              <w:pStyle w:val="TableContents"/>
              <w:bidi w:val="0"/>
              <w:spacing w:before="0" w:after="0"/>
              <w:jc w:val="left"/>
              <w:rPr>
                <w:spacing w:val="0"/>
              </w:rPr>
            </w:pPr>
            <w:r>
              <w:rPr>
                <w:spacing w:val="0"/>
              </w:rPr>
              <w:t> </w:t>
            </w:r>
          </w:p>
        </w:tc>
      </w:tr>
      <w:tr>
        <w:trPr/>
        <w:tc>
          <w:tcPr>
            <w:tcW w:w="3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0"/>
              <w:jc w:val="left"/>
              <w:rPr>
                <w:bdr w:val="double" w:sz="6" w:space="1" w:color="000000"/>
              </w:rPr>
            </w:pPr>
            <w:r>
              <w:rPr>
                <w:bdr w:val="double" w:sz="6" w:space="1" w:color="000000"/>
              </w:rPr>
              <w:t> </w:t>
            </w:r>
          </w:p>
        </w:tc>
        <w:tc>
          <w:tcPr>
            <w:tcW w:w="141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(a)</w:t>
            </w:r>
          </w:p>
        </w:tc>
        <w:tc>
          <w:tcPr>
            <w:tcW w:w="99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June 2021, the Group and a third-party investor jointly set up an entity for the purpose of developing the local urban air mobility and smart city operations in Guangzhou, Guangdong Province. The Group subscribed for a commitment of RMB10,500 and holds 35% of the investee’s equity interests. As of December 31, 2024 and 2025, the Group has contributed aggregated cash consideration of RMB7,000 and RMB7,000 (US$1,001). The Group holds board seats to enable it can exercise significant influence over the operating and financial policies of the investee. Therefore, the equity investment is accounted for using the equity method. Pursuant to the payment schedule of capital contribution as set out in the investment agreement, RMB3,500 (US$500) is recorded as investment payable in accrued expenses and other liabilities (Note 11) as of December 31, 2024 and 2025.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2024, the Group and several third-party investors entered into investment agreements to jointly set up entities to promote local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low-altitude</w:t>
            </w:r>
          </w:p>
          <w:p>
            <w:pPr>
              <w:pStyle w:val="TableContents"/>
              <w:bidi w:val="0"/>
              <w:spacing w:before="0" w:after="0"/>
              <w:jc w:val="left"/>
              <w:rPr>
                <w:rFonts w:ascii="Times New Roman" w:hAnsi="Times New Roman"/>
                <w:sz w:val="20"/>
              </w:rPr>
            </w:pPr>
            <w:r>
              <w:rPr>
                <w:rFonts w:ascii="Times New Roman" w:hAnsi="Times New Roman"/>
                <w:sz w:val="20"/>
              </w:rPr>
              <w:t xml:space="preserve">transportation and tourism products in Anhui Province, Jiangsu Province, Guangdong Province and Zhejiang Province, respectively. For the year ended December 31, 2024, the Group invested total cash consideration of RMB13,050 and holds equity interests in the investees with a range from 19% to 31%. The Group holds board seats to enable it can exercise significant influence over the operating and financial policies of the investees. Therefore, the equity investments are accounted for using the equity method.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(c)</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March 2025, the Group and a third-party investor jointly set up an entity for the purpose of optimizing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w:t>
            </w:r>
          </w:p>
          <w:p>
            <w:pPr>
              <w:pStyle w:val="TableContents"/>
              <w:bidi w:val="0"/>
              <w:spacing w:before="0" w:after="0"/>
              <w:jc w:val="left"/>
              <w:rPr>
                <w:rFonts w:ascii="Times New Roman" w:hAnsi="Times New Roman"/>
                <w:sz w:val="20"/>
              </w:rPr>
            </w:pPr>
            <w:r>
              <w:rPr>
                <w:rFonts w:ascii="Times New Roman" w:hAnsi="Times New Roman"/>
                <w:sz w:val="20"/>
              </w:rPr>
              <w:t xml:space="preserve">production processes and technology of UAV in Guangdong Province. As of December 31, 2025, the Group has contributed aggregated cash consideration of RMB4,000 (US$572) and holds 40% of the investee’s equity interest. The Group holds board seats to enable it can exercise significant influence over the operating and financial policies of the investee. Therefore, the equity investment is accounted for using the equity method.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(d)</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to support its UAV operation business, the Group invested an additional RMB6,200 (US$887) in an existing investee based in Anhui Province, and holds 31% of the investee’s equity interests. The Group holds board seats to enable it can exercise significant influence over the operating and financial policies.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For the years ended December 31, 2023, 2024 and 2025, the Group recognized losses of RMB1,560, RMB4,353 and RMB5,248 (US$750) from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equity method investment, respectively. As of December 31, 2024 and 2025, none of the Group’s equity method investment, neither individually nor in aggregate, was considered as significant under Regulation S-X 4-08(g). No impairment losses were recognized on these investments in any of the presented years.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335"/>
        <w:gridCol w:w="1625"/>
      </w:tblGrid>
      <w:tr>
        <w:trPr/>
        <w:tc>
          <w:tcPr>
            <w:tcW w:w="335" w:type="dxa"/>
            <w:tcBorders/>
            <w:vAlign w:val="center"/>
          </w:tcPr>
          <w:p>
            <w:pPr>
              <w:pStyle w:val="TableContents"/>
              <w:bidi w:val="0"/>
              <w:spacing w:before="0" w:after="0"/>
              <w:jc w:val="left"/>
              <w:rPr>
                <w:b/>
                <w:spacing w:val="0"/>
              </w:rPr>
            </w:pPr>
            <w:r>
              <w:rPr>
                <w:b/>
                <w:spacing w:val="0"/>
              </w:rPr>
              <w:t>10.</w:t>
            </w:r>
          </w:p>
        </w:tc>
        <w:tc>
          <w:tcPr>
            <w:tcW w:w="16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Investments </w:t>
            </w:r>
          </w:p>
        </w:tc>
      </w:tr>
    </w:tbl>
    <w:p>
      <w:pPr>
        <w:pStyle w:val="TextBody"/>
        <w:bidi w:val="0"/>
        <w:spacing w:before="0" w:after="0"/>
        <w:jc w:val="left"/>
        <w:rPr/>
      </w:pPr>
      <w:r>
        <w:rPr/>
        <w:t> </w:t>
      </w:r>
    </w:p>
    <w:tbl>
      <w:tblPr>
        <w:tblW w:w="7790" w:type="dxa"/>
        <w:jc w:val="left"/>
        <w:tblInd w:w="0" w:type="dxa"/>
        <w:tblLayout w:type="fixed"/>
        <w:tblCellMar>
          <w:top w:w="0" w:type="dxa"/>
          <w:left w:w="0" w:type="dxa"/>
          <w:bottom w:w="0" w:type="dxa"/>
          <w:right w:w="0" w:type="dxa"/>
        </w:tblCellMar>
      </w:tblPr>
      <w:tblGrid>
        <w:gridCol w:w="3335"/>
        <w:gridCol w:w="120"/>
        <w:gridCol w:w="158"/>
        <w:gridCol w:w="1797"/>
        <w:gridCol w:w="60"/>
        <w:gridCol w:w="120"/>
        <w:gridCol w:w="97"/>
        <w:gridCol w:w="1108"/>
        <w:gridCol w:w="60"/>
        <w:gridCol w:w="120"/>
        <w:gridCol w:w="60"/>
        <w:gridCol w:w="680"/>
        <w:gridCol w:w="75"/>
      </w:tblGrid>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Equity investments</w:t>
              <w:br/>
              <w:t>without readily</w:t>
              <w:br/>
              <w:t>determinable fair</w:t>
              <w:br/>
              <w:t>values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Debt</w:t>
            </w:r>
          </w:p>
          <w:p>
            <w:pPr>
              <w:pStyle w:val="TableContents"/>
              <w:bidi w:val="0"/>
              <w:spacing w:before="0" w:after="0"/>
              <w:jc w:val="center"/>
              <w:rPr/>
            </w:pPr>
            <w:r>
              <w:rPr/>
            </w:r>
          </w:p>
          <w:p>
            <w:pPr>
              <w:pStyle w:val="TableContents"/>
              <w:bidi w:val="0"/>
              <w:spacing w:before="0" w:after="0"/>
              <w:jc w:val="center"/>
              <w:rPr>
                <w:b/>
                <w:spacing w:val="0"/>
              </w:rPr>
            </w:pPr>
            <w:r>
              <w:rPr>
                <w:b/>
                <w:spacing w:val="0"/>
              </w:rPr>
              <w:t>security</w:t>
            </w:r>
          </w:p>
          <w:p>
            <w:pPr>
              <w:pStyle w:val="TableContents"/>
              <w:bidi w:val="0"/>
              <w:spacing w:before="0" w:after="0"/>
              <w:jc w:val="center"/>
              <w:rPr/>
            </w:pPr>
            <w:r>
              <w:rPr/>
            </w:r>
          </w:p>
          <w:p>
            <w:pPr>
              <w:pStyle w:val="TableContents"/>
              <w:bidi w:val="0"/>
              <w:spacing w:before="0" w:after="0"/>
              <w:jc w:val="center"/>
              <w:rPr>
                <w:b/>
                <w:spacing w:val="0"/>
              </w:rPr>
            </w:pPr>
            <w:r>
              <w:rPr>
                <w:b/>
                <w:spacing w:val="0"/>
              </w:rPr>
              <w:t>investments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spacing w:val="0"/>
              </w:rPr>
            </w:pPr>
            <w:r>
              <w:rPr>
                <w:spacing w:val="0"/>
              </w:rPr>
              <w:t> </w:t>
            </w:r>
          </w:p>
        </w:tc>
        <w:tc>
          <w:tcPr>
            <w:tcW w:w="1797" w:type="dxa"/>
            <w:tcBorders/>
            <w:shd w:fill="CCEEFF" w:val="clear"/>
            <w:vAlign w:val="center"/>
          </w:tcPr>
          <w:p>
            <w:pPr>
              <w:pStyle w:val="TableContents"/>
              <w:bidi w:val="0"/>
              <w:spacing w:before="0" w:after="0"/>
              <w:jc w:val="right"/>
              <w:rPr>
                <w:b/>
                <w:spacing w:val="0"/>
              </w:rPr>
            </w:pPr>
            <w:r>
              <w:rPr>
                <w:b/>
                <w:spacing w:val="0"/>
              </w:rPr>
              <w:t>2,919</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0"/>
              <w:jc w:val="left"/>
              <w:rPr>
                <w:spacing w:val="0"/>
              </w:rPr>
            </w:pPr>
            <w:r>
              <w:rPr>
                <w:spacing w:val="0"/>
              </w:rPr>
              <w:t> </w:t>
            </w:r>
          </w:p>
        </w:tc>
        <w:tc>
          <w:tcPr>
            <w:tcW w:w="1108" w:type="dxa"/>
            <w:tcBorders/>
            <w:shd w:fill="CCEEFF" w:val="clear"/>
            <w:vAlign w:val="center"/>
          </w:tcPr>
          <w:p>
            <w:pPr>
              <w:pStyle w:val="TableContents"/>
              <w:bidi w:val="0"/>
              <w:spacing w:before="0" w:after="0"/>
              <w:jc w:val="right"/>
              <w:rPr>
                <w:b/>
                <w:spacing w:val="0"/>
              </w:rPr>
            </w:pPr>
            <w:r>
              <w:rPr>
                <w:b/>
                <w:spacing w:val="0"/>
              </w:rPr>
              <w:t>2,000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4,919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4,600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4,600</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gain</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348</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rPr>
            </w:pPr>
            <w:r>
              <w:rPr>
                <w:spacing w:val="0"/>
              </w:rPr>
              <w:t> </w:t>
            </w:r>
          </w:p>
        </w:tc>
        <w:tc>
          <w:tcPr>
            <w:tcW w:w="1797" w:type="dxa"/>
            <w:tcBorders/>
            <w:vAlign w:val="center"/>
          </w:tcPr>
          <w:p>
            <w:pPr>
              <w:pStyle w:val="TableContents"/>
              <w:bidi w:val="0"/>
              <w:spacing w:before="0" w:after="0"/>
              <w:jc w:val="right"/>
              <w:rPr>
                <w:b/>
                <w:spacing w:val="0"/>
              </w:rPr>
            </w:pPr>
            <w:r>
              <w:rPr>
                <w:b/>
                <w:spacing w:val="0"/>
              </w:rPr>
              <w:t>7,519</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spacing w:val="0"/>
              </w:rPr>
            </w:pPr>
            <w:r>
              <w:rPr>
                <w:spacing w:val="0"/>
              </w:rPr>
              <w:t> </w:t>
            </w:r>
          </w:p>
        </w:tc>
        <w:tc>
          <w:tcPr>
            <w:tcW w:w="1108" w:type="dxa"/>
            <w:tcBorders/>
            <w:vAlign w:val="center"/>
          </w:tcPr>
          <w:p>
            <w:pPr>
              <w:pStyle w:val="TableContents"/>
              <w:bidi w:val="0"/>
              <w:spacing w:before="0" w:after="0"/>
              <w:jc w:val="right"/>
              <w:rPr>
                <w:b/>
                <w:spacing w:val="0"/>
              </w:rPr>
            </w:pPr>
            <w:r>
              <w:rPr>
                <w:b/>
                <w:spacing w:val="0"/>
              </w:rPr>
              <w:t>2,348</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9,867</w:t>
            </w:r>
          </w:p>
        </w:tc>
        <w:tc>
          <w:tcPr>
            <w:tcW w:w="75" w:type="dxa"/>
            <w:tcBorders/>
            <w:vAlign w:val="center"/>
          </w:tcPr>
          <w:p>
            <w:pPr>
              <w:pStyle w:val="TableContents"/>
              <w:bidi w:val="0"/>
              <w:spacing w:before="0" w:after="0"/>
              <w:jc w:val="left"/>
              <w:rPr>
                <w:spacing w:val="0"/>
              </w:rPr>
            </w:pPr>
            <w:r>
              <w:rPr>
                <w:spacing w:val="0"/>
              </w:rPr>
              <w:t> </w:t>
            </w:r>
          </w:p>
        </w:tc>
      </w:tr>
      <w:tr>
        <w:trPr/>
        <w:tc>
          <w:tcPr>
            <w:tcW w:w="33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14,500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24,500</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gain</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797" w:type="dxa"/>
            <w:tcBorders/>
            <w:vAlign w:val="center"/>
          </w:tcPr>
          <w:p>
            <w:pPr>
              <w:pStyle w:val="TableContents"/>
              <w:bidi w:val="0"/>
              <w:spacing w:before="0" w:after="283"/>
              <w:jc w:val="right"/>
              <w:rPr/>
            </w:pPr>
            <w:r>
              <w:rPr/>
              <w:t>8,624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2,339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10,963</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single" w:sz="2" w:space="1" w:color="000000"/>
              </w:rPr>
            </w:pPr>
            <w:r>
              <w:rPr>
                <w:bdr w:val="single" w:sz="2" w:space="1" w:color="000000"/>
              </w:rPr>
              <w:t> </w:t>
            </w:r>
          </w:p>
        </w:tc>
        <w:tc>
          <w:tcPr>
            <w:tcW w:w="1797"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0"/>
              <w:jc w:val="left"/>
              <w:rPr>
                <w:spacing w:val="0"/>
              </w:rPr>
            </w:pPr>
            <w:r>
              <w:rPr>
                <w:spacing w:val="0"/>
              </w:rPr>
              <w:t> </w:t>
            </w:r>
          </w:p>
        </w:tc>
        <w:tc>
          <w:tcPr>
            <w:tcW w:w="1797" w:type="dxa"/>
            <w:tcBorders/>
            <w:shd w:fill="CCEEFF" w:val="clear"/>
            <w:vAlign w:val="center"/>
          </w:tcPr>
          <w:p>
            <w:pPr>
              <w:pStyle w:val="TableContents"/>
              <w:bidi w:val="0"/>
              <w:spacing w:before="0" w:after="0"/>
              <w:jc w:val="right"/>
              <w:rPr>
                <w:b/>
                <w:spacing w:val="0"/>
              </w:rPr>
            </w:pPr>
            <w:r>
              <w:rPr>
                <w:b/>
                <w:spacing w:val="0"/>
              </w:rPr>
              <w:t>30,643</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0"/>
              <w:jc w:val="left"/>
              <w:rPr>
                <w:spacing w:val="0"/>
              </w:rPr>
            </w:pPr>
            <w:r>
              <w:rPr>
                <w:spacing w:val="0"/>
              </w:rPr>
              <w:t> </w:t>
            </w:r>
          </w:p>
        </w:tc>
        <w:tc>
          <w:tcPr>
            <w:tcW w:w="1108" w:type="dxa"/>
            <w:tcBorders/>
            <w:shd w:fill="CCEEFF" w:val="clear"/>
            <w:vAlign w:val="center"/>
          </w:tcPr>
          <w:p>
            <w:pPr>
              <w:pStyle w:val="TableContents"/>
              <w:bidi w:val="0"/>
              <w:spacing w:before="0" w:after="0"/>
              <w:jc w:val="right"/>
              <w:rPr>
                <w:b/>
                <w:spacing w:val="0"/>
              </w:rPr>
            </w:pPr>
            <w:r>
              <w:rPr>
                <w:b/>
                <w:spacing w:val="0"/>
              </w:rPr>
              <w:t>14,687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45,330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79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 (US$)</w:t>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spacing w:val="0"/>
              </w:rPr>
            </w:pPr>
            <w:r>
              <w:rPr>
                <w:spacing w:val="0"/>
              </w:rPr>
              <w:t> </w:t>
            </w:r>
          </w:p>
        </w:tc>
        <w:tc>
          <w:tcPr>
            <w:tcW w:w="1797" w:type="dxa"/>
            <w:tcBorders/>
            <w:vAlign w:val="center"/>
          </w:tcPr>
          <w:p>
            <w:pPr>
              <w:pStyle w:val="TableContents"/>
              <w:bidi w:val="0"/>
              <w:spacing w:before="0" w:after="0"/>
              <w:jc w:val="right"/>
              <w:rPr>
                <w:b/>
                <w:spacing w:val="0"/>
              </w:rPr>
            </w:pPr>
            <w:r>
              <w:rPr>
                <w:b/>
                <w:spacing w:val="0"/>
              </w:rPr>
              <w:t>4,382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spacing w:val="0"/>
              </w:rPr>
            </w:pPr>
            <w:r>
              <w:rPr>
                <w:spacing w:val="0"/>
              </w:rPr>
              <w:t> </w:t>
            </w:r>
          </w:p>
        </w:tc>
        <w:tc>
          <w:tcPr>
            <w:tcW w:w="1108" w:type="dxa"/>
            <w:tcBorders/>
            <w:vAlign w:val="center"/>
          </w:tcPr>
          <w:p>
            <w:pPr>
              <w:pStyle w:val="TableContents"/>
              <w:bidi w:val="0"/>
              <w:spacing w:before="0" w:after="0"/>
              <w:jc w:val="right"/>
              <w:rPr>
                <w:b/>
                <w:spacing w:val="0"/>
              </w:rPr>
            </w:pPr>
            <w:r>
              <w:rPr>
                <w:b/>
                <w:spacing w:val="0"/>
              </w:rPr>
              <w:t>2,100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80" w:type="dxa"/>
            <w:tcBorders/>
            <w:vAlign w:val="center"/>
          </w:tcPr>
          <w:p>
            <w:pPr>
              <w:pStyle w:val="TableContents"/>
              <w:bidi w:val="0"/>
              <w:spacing w:before="0" w:after="0"/>
              <w:jc w:val="right"/>
              <w:rPr>
                <w:b/>
                <w:spacing w:val="0"/>
              </w:rPr>
            </w:pPr>
            <w:r>
              <w:rPr>
                <w:b/>
                <w:spacing w:val="0"/>
              </w:rPr>
              <w:t>6,482</w:t>
            </w:r>
          </w:p>
        </w:tc>
        <w:tc>
          <w:tcPr>
            <w:tcW w:w="75" w:type="dxa"/>
            <w:tcBorders/>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0"/>
              <w:jc w:val="left"/>
              <w:rPr>
                <w:bdr w:val="double" w:sz="6" w:space="1" w:color="000000"/>
              </w:rPr>
            </w:pPr>
            <w:r>
              <w:rPr>
                <w:bdr w:val="double" w:sz="6" w:space="1" w:color="000000"/>
              </w:rPr>
              <w:t> </w:t>
            </w:r>
          </w:p>
        </w:tc>
        <w:tc>
          <w:tcPr>
            <w:tcW w:w="1797"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investments without readily determinable fair values </w:t>
      </w:r>
    </w:p>
    <w:p>
      <w:pPr>
        <w:pStyle w:val="TextBody"/>
        <w:bidi w:val="0"/>
        <w:spacing w:before="120" w:after="0"/>
        <w:jc w:val="left"/>
        <w:rPr>
          <w:rFonts w:ascii="Times New Roman" w:hAnsi="Times New Roman"/>
          <w:sz w:val="20"/>
        </w:rPr>
      </w:pPr>
      <w:r>
        <w:rPr>
          <w:rFonts w:ascii="Times New Roman" w:hAnsi="Times New Roman"/>
          <w:sz w:val="20"/>
        </w:rPr>
        <w:t xml:space="preserve">In 2017, the Group assisted a third party in acquiring a land use right from the Guangzhou City government. In return for the Group’s assistance services, the Group received a cash consideration of RMB41,117 and minority equity interests in an entity, whose sole asset is the aforementioned land use right. The Group elected to use the measurement alternative to measure this investment at cost, less any impairment, plus or minus changes resulting from observable price changes in orderly transactions for identical or similar investments of the same issuer. As of December 31, 2024 and 2025, the carrying value of this investment was RMB2,919 and RMB2,919 (US$417), respectively. </w:t>
      </w:r>
    </w:p>
    <w:p>
      <w:pPr>
        <w:pStyle w:val="TextBody"/>
        <w:bidi w:val="0"/>
        <w:spacing w:before="120" w:after="0"/>
        <w:jc w:val="left"/>
        <w:rPr>
          <w:rFonts w:ascii="Times New Roman" w:hAnsi="Times New Roman"/>
          <w:sz w:val="20"/>
        </w:rPr>
      </w:pPr>
      <w:r>
        <w:rPr>
          <w:rFonts w:ascii="Times New Roman" w:hAnsi="Times New Roman"/>
          <w:sz w:val="20"/>
        </w:rPr>
        <w:t xml:space="preserve">In 2024, the Group and a third-party vendor entered into an investment agreement to jointly invest in an entity principally engaging in research and development of power cells and batteries for electric vertical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take-off</w:t>
      </w:r>
    </w:p>
    <w:p>
      <w:pPr>
        <w:pStyle w:val="TextBody"/>
        <w:bidi w:val="0"/>
        <w:spacing w:before="120" w:after="0"/>
        <w:jc w:val="left"/>
        <w:rPr>
          <w:rFonts w:ascii="Times New Roman" w:hAnsi="Times New Roman"/>
          <w:sz w:val="20"/>
        </w:rPr>
      </w:pPr>
      <w:r>
        <w:rPr>
          <w:rFonts w:ascii="Times New Roman" w:hAnsi="Times New Roman"/>
          <w:sz w:val="20"/>
        </w:rPr>
        <w:t xml:space="preserve">and landing aircraft. The Group holds 4.12% equity interests and has no significant influence on investee’s business operations and financial decisions. The Group elected to use the measurement alternative to measure this investment at cost, less any impairment, plus or minus changes resulting from observable price changes in orderly transactions for identical or similar investments of the same issuer. As of December 31, 2024 and 2025, the carrying value of this investment was RMB4,600 and RMB4,600 (US$658), respectively. </w:t>
      </w:r>
    </w:p>
    <w:p>
      <w:pPr>
        <w:pStyle w:val="TextBody"/>
        <w:bidi w:val="0"/>
        <w:spacing w:before="120" w:after="0"/>
        <w:jc w:val="left"/>
        <w:rPr>
          <w:rFonts w:ascii="Times New Roman" w:hAnsi="Times New Roman"/>
          <w:sz w:val="20"/>
        </w:rPr>
      </w:pPr>
      <w:r>
        <w:rPr>
          <w:rFonts w:ascii="Times New Roman" w:hAnsi="Times New Roman"/>
          <w:sz w:val="20"/>
        </w:rPr>
        <w:t xml:space="preserve">In April 2025, the Group and three third-party investors jointly invested in an entity under control of the Group’s founder and Chairman of the Board, Mr. Huazhi Hu, which principally engages in research and development of unmanned mart yacht. The Group invested RMB14,500 (US$2,073) to hold 4.63% equity interests and has no significant influence on investee’s business operations and financial decisions. The Group elected to use the measurement alternative to measure this investment at cost, less any impairment, plus or minus changes resulting from observable price changes in orderly transactions for identical or similar investments of the same issuer. For the year ended December 31, 2025, the Group recorded investment income of RMB8,624 (US$1,234) by reference to observable price quoted from latest round of investee’s equity financing from a third-party. As of December 31, 2025, the carrying value of this investment was RMB23,124 (US$3,307).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Debt security investments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2023 and June 2025, the Group acquired minority equity interests with redemption right in a solid-state lithium metal battery technology company for cash considerations of RMB2,000 and RMB10,000 (US$1,430), respectively. The ordinary shares are redeemable at the option of the Group if the investee fails to launch the initial public offering by June 30, 2031. The Group elected to account for the investment at fair value option by using a combination of valuation methodologies, including the equity allocation model and the pricing of recent rounds of financing of the investee. For the years ended December 31, 2024 and 2025, the Group recognized the fair value change of RMB348 and RMB2,339 (US$334),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335"/>
        <w:gridCol w:w="3425"/>
      </w:tblGrid>
      <w:tr>
        <w:trPr/>
        <w:tc>
          <w:tcPr>
            <w:tcW w:w="335" w:type="dxa"/>
            <w:tcBorders/>
            <w:vAlign w:val="center"/>
          </w:tcPr>
          <w:p>
            <w:pPr>
              <w:pStyle w:val="TableContents"/>
              <w:bidi w:val="0"/>
              <w:spacing w:before="0" w:after="0"/>
              <w:jc w:val="left"/>
              <w:rPr>
                <w:b/>
                <w:spacing w:val="0"/>
              </w:rPr>
            </w:pPr>
            <w:r>
              <w:rPr>
                <w:b/>
                <w:spacing w:val="0"/>
              </w:rPr>
              <w:t>11.</w:t>
            </w:r>
          </w:p>
        </w:tc>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liabilities consisted of the following: </w:t>
      </w:r>
    </w:p>
    <w:p>
      <w:pPr>
        <w:pStyle w:val="TextBody"/>
        <w:bidi w:val="0"/>
        <w:spacing w:before="0" w:after="0"/>
        <w:ind w:left="0" w:right="0" w:hanging="0"/>
        <w:jc w:val="left"/>
        <w:rPr>
          <w:spacing w:val="0"/>
        </w:rPr>
      </w:pPr>
      <w:r>
        <w:rPr>
          <w:spacing w:val="0"/>
        </w:rPr>
        <w:t> </w:t>
      </w:r>
    </w:p>
    <w:tbl>
      <w:tblPr>
        <w:tblW w:w="8105" w:type="dxa"/>
        <w:jc w:val="left"/>
        <w:tblInd w:w="0" w:type="dxa"/>
        <w:tblLayout w:type="fixed"/>
        <w:tblCellMar>
          <w:top w:w="0" w:type="dxa"/>
          <w:left w:w="0" w:type="dxa"/>
          <w:bottom w:w="0" w:type="dxa"/>
          <w:right w:w="0" w:type="dxa"/>
        </w:tblCellMar>
      </w:tblPr>
      <w:tblGrid>
        <w:gridCol w:w="5210"/>
        <w:gridCol w:w="120"/>
        <w:gridCol w:w="64"/>
        <w:gridCol w:w="736"/>
        <w:gridCol w:w="60"/>
        <w:gridCol w:w="120"/>
        <w:gridCol w:w="64"/>
        <w:gridCol w:w="736"/>
        <w:gridCol w:w="60"/>
        <w:gridCol w:w="120"/>
        <w:gridCol w:w="60"/>
        <w:gridCol w:w="680"/>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0"/>
              <w:jc w:val="left"/>
              <w:rPr>
                <w:spacing w:val="0"/>
              </w:rPr>
            </w:pPr>
            <w:r>
              <w:rPr>
                <w:spacing w:val="0"/>
              </w:rPr>
              <w:t> </w:t>
            </w:r>
          </w:p>
        </w:tc>
      </w:tr>
      <w:tr>
        <w:trPr/>
        <w:tc>
          <w:tcPr>
            <w:tcW w:w="52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2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52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0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0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0"/>
              <w:jc w:val="left"/>
              <w:rPr>
                <w:spacing w:val="0"/>
              </w:rPr>
            </w:pPr>
            <w:r>
              <w:rPr>
                <w:spacing w:val="0"/>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and welfare payables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62,548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87,406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12,499</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Payables for acquisition of property and equipment</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1,329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47,097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6,735</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taxes payables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38,770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46,630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6,668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Payables for service fees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22,760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35,867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5,129</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Product warranty liabilities (a)</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9,953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20,906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2,990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 payables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7,060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1,010</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Government subsidy</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Consideration payable to an equity method investment (Note 9)</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Advance from customers</w:t>
            </w:r>
          </w:p>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4"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spacing w:val="0"/>
              </w:rPr>
            </w:pPr>
            <w:r>
              <w:rPr>
                <w:spacing w:val="0"/>
              </w:rPr>
              <w:t>2,805</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pPr>
            <w:r>
              <w:rPr/>
              <w:t> </w:t>
            </w:r>
          </w:p>
          <w:p>
            <w:pPr>
              <w:pStyle w:val="TableContents"/>
              <w:bidi w:val="0"/>
              <w:spacing w:before="0" w:after="0"/>
              <w:jc w:val="right"/>
              <w:rPr>
                <w:spacing w:val="0"/>
              </w:rPr>
            </w:pPr>
            <w:r>
              <w:rPr>
                <w:spacing w:val="0"/>
              </w:rPr>
              <w:t>401</w:t>
            </w:r>
          </w:p>
        </w:tc>
        <w:tc>
          <w:tcPr>
            <w:tcW w:w="75" w:type="dxa"/>
            <w:tcBorders/>
            <w:shd w:fill="CCEEFF" w:val="clear"/>
            <w:vAlign w:val="center"/>
          </w:tcPr>
          <w:p>
            <w:pPr>
              <w:pStyle w:val="TableContents"/>
              <w:bidi w:val="0"/>
              <w:spacing w:before="0" w:after="0"/>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interests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719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5,617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6,599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943</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36"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36"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shd w:fill="CCEEFF" w:val="clear"/>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right"/>
              <w:rPr>
                <w:b/>
                <w:spacing w:val="0"/>
              </w:rPr>
            </w:pPr>
            <w:r>
              <w:rPr>
                <w:b/>
                <w:spacing w:val="0"/>
              </w:rPr>
              <w:t>150,196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right"/>
              <w:rPr>
                <w:b/>
                <w:spacing w:val="0"/>
              </w:rPr>
            </w:pPr>
            <w:r>
              <w:rPr>
                <w:b/>
                <w:spacing w:val="0"/>
              </w:rPr>
              <w:t>263,439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37,671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7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7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390" w:type="dxa"/>
        <w:jc w:val="left"/>
        <w:tblInd w:w="0" w:type="dxa"/>
        <w:tblLayout w:type="fixed"/>
        <w:tblCellMar>
          <w:top w:w="0" w:type="dxa"/>
          <w:left w:w="0" w:type="dxa"/>
          <w:bottom w:w="0" w:type="dxa"/>
          <w:right w:w="0" w:type="dxa"/>
        </w:tblCellMar>
      </w:tblPr>
      <w:tblGrid>
        <w:gridCol w:w="75"/>
        <w:gridCol w:w="275"/>
        <w:gridCol w:w="70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reconciliation of the changes in the Group’s product warranty liability is as follows: </w:t>
            </w:r>
          </w:p>
        </w:tc>
      </w:tr>
    </w:tbl>
    <w:p>
      <w:pPr>
        <w:pStyle w:val="TextBody"/>
        <w:bidi w:val="0"/>
        <w:spacing w:before="0" w:after="0"/>
        <w:jc w:val="left"/>
        <w:rPr/>
      </w:pPr>
      <w:r>
        <w:rPr/>
        <w:t> </w:t>
      </w:r>
    </w:p>
    <w:tbl>
      <w:tblPr>
        <w:tblW w:w="6960" w:type="dxa"/>
        <w:jc w:val="left"/>
        <w:tblInd w:w="0" w:type="dxa"/>
        <w:tblLayout w:type="fixed"/>
        <w:tblCellMar>
          <w:top w:w="0" w:type="dxa"/>
          <w:left w:w="0" w:type="dxa"/>
          <w:bottom w:w="0" w:type="dxa"/>
          <w:right w:w="0" w:type="dxa"/>
        </w:tblCellMar>
      </w:tblPr>
      <w:tblGrid>
        <w:gridCol w:w="3050"/>
        <w:gridCol w:w="120"/>
        <w:gridCol w:w="60"/>
        <w:gridCol w:w="635"/>
        <w:gridCol w:w="155"/>
        <w:gridCol w:w="120"/>
        <w:gridCol w:w="60"/>
        <w:gridCol w:w="680"/>
        <w:gridCol w:w="155"/>
        <w:gridCol w:w="120"/>
        <w:gridCol w:w="60"/>
        <w:gridCol w:w="680"/>
        <w:gridCol w:w="155"/>
        <w:gridCol w:w="120"/>
        <w:gridCol w:w="60"/>
        <w:gridCol w:w="560"/>
        <w:gridCol w:w="17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2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beginning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3,780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2,072</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2,410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12,232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14,730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2,106</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Claims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(594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(357</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Reversal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(1,710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(1,514</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(216</w:t>
            </w:r>
          </w:p>
        </w:tc>
        <w:tc>
          <w:tcPr>
            <w:tcW w:w="170" w:type="dxa"/>
            <w:tcBorders/>
            <w:vAlign w:val="center"/>
          </w:tcPr>
          <w:p>
            <w:pPr>
              <w:pStyle w:val="TableContents"/>
              <w:bidi w:val="0"/>
              <w:spacing w:before="0" w:after="283"/>
              <w:jc w:val="left"/>
              <w:rPr/>
            </w:pPr>
            <w:r>
              <w:rPr/>
              <w:t>)</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end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3,886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25,212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3,605</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portion of warranty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(4,539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(4,306</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(615</w:t>
            </w:r>
          </w:p>
        </w:tc>
        <w:tc>
          <w:tcPr>
            <w:tcW w:w="170" w:type="dxa"/>
            <w:tcBorders/>
            <w:vAlign w:val="center"/>
          </w:tcPr>
          <w:p>
            <w:pPr>
              <w:pStyle w:val="TableContents"/>
              <w:bidi w:val="0"/>
              <w:spacing w:before="0" w:after="283"/>
              <w:jc w:val="left"/>
              <w:rPr/>
            </w:pPr>
            <w:r>
              <w:rPr/>
              <w:t>)</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warranty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35" w:type="dxa"/>
            <w:tcBorders/>
            <w:shd w:fill="CCEEFF" w:val="clear"/>
            <w:vAlign w:val="center"/>
          </w:tcPr>
          <w:p>
            <w:pPr>
              <w:pStyle w:val="TableContents"/>
              <w:bidi w:val="0"/>
              <w:spacing w:before="0" w:after="0"/>
              <w:jc w:val="right"/>
              <w:rPr>
                <w:b/>
                <w:spacing w:val="0"/>
              </w:rPr>
            </w:pPr>
            <w:r>
              <w:rPr>
                <w:b/>
                <w:spacing w:val="0"/>
              </w:rPr>
              <w:t>2,833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9,953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20,906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2,990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335"/>
        <w:gridCol w:w="1100"/>
      </w:tblGrid>
      <w:tr>
        <w:trPr/>
        <w:tc>
          <w:tcPr>
            <w:tcW w:w="335" w:type="dxa"/>
            <w:tcBorders/>
            <w:vAlign w:val="center"/>
          </w:tcPr>
          <w:p>
            <w:pPr>
              <w:pStyle w:val="TableContents"/>
              <w:bidi w:val="0"/>
              <w:spacing w:before="0" w:after="0"/>
              <w:jc w:val="left"/>
              <w:rPr>
                <w:b/>
                <w:spacing w:val="0"/>
              </w:rPr>
            </w:pPr>
            <w:r>
              <w:rPr>
                <w:b/>
                <w:spacing w:val="0"/>
              </w:rPr>
              <w:t>12.</w:t>
            </w:r>
          </w:p>
        </w:tc>
        <w:tc>
          <w:tcPr>
            <w:tcW w:w="11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Bank Loans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2024 and 2025, certain bank loans were pledged by some of Group’s intellectual property rights.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bank loans </w:t>
      </w:r>
    </w:p>
    <w:p>
      <w:pPr>
        <w:pStyle w:val="TextBody"/>
        <w:bidi w:val="0"/>
        <w:spacing w:before="120" w:after="0"/>
        <w:jc w:val="left"/>
        <w:rPr>
          <w:rFonts w:ascii="Times New Roman" w:hAnsi="Times New Roman"/>
          <w:sz w:val="20"/>
        </w:rPr>
      </w:pPr>
      <w:r>
        <w:rPr>
          <w:rFonts w:ascii="Times New Roman" w:hAnsi="Times New Roman"/>
          <w:sz w:val="20"/>
        </w:rPr>
        <w:t xml:space="preserve">In 2024, the Group obtained guaranteed bank loans amounted to RMB34,472 from several financial institutions in the PRC. The weighted average effective interest rate of the short-term bank loans was 3.6% per annum. The loans were repayable within one year with interests paid on a monthly or quarterly basis and guaranteed by the Group’s founder and Chairman of the Board, Mr. Huazhi Hu. The loans were repaid in full and on schedule in 2025. </w:t>
      </w:r>
    </w:p>
    <w:p>
      <w:pPr>
        <w:pStyle w:val="TextBody"/>
        <w:bidi w:val="0"/>
        <w:spacing w:before="120" w:after="0"/>
        <w:jc w:val="left"/>
        <w:rPr>
          <w:rFonts w:ascii="Times New Roman" w:hAnsi="Times New Roman"/>
          <w:sz w:val="20"/>
        </w:rPr>
      </w:pPr>
      <w:r>
        <w:rPr>
          <w:rFonts w:ascii="Times New Roman" w:hAnsi="Times New Roman"/>
          <w:sz w:val="20"/>
        </w:rPr>
        <w:t xml:space="preserve">In April 2024, the Group obtained a loan guaranteed by letter of credit amounting to RMB29,778. The weighted average effective interest rate on short-term bank loan is 2.2% per annum. The loan was repaid in April 2025. </w:t>
      </w:r>
    </w:p>
    <w:p>
      <w:pPr>
        <w:pStyle w:val="TextBody"/>
        <w:bidi w:val="0"/>
        <w:spacing w:before="120" w:after="0"/>
        <w:jc w:val="left"/>
        <w:rPr>
          <w:rFonts w:ascii="Times New Roman" w:hAnsi="Times New Roman"/>
          <w:sz w:val="20"/>
        </w:rPr>
      </w:pPr>
      <w:r>
        <w:rPr>
          <w:rFonts w:ascii="Times New Roman" w:hAnsi="Times New Roman"/>
          <w:sz w:val="20"/>
        </w:rPr>
        <w:t xml:space="preserve">In 2025, the Group obtained bank loans amounted to RMB219,582 (US$31,400) from several financial institutions in the PRC, among which RMB49,823(US$7,125) was guaranteed by the Group’s founder and director, Mr. Huazhi Hu. The weighted average effective interest rate of the short-term bank loans was 2.6% per annum. The loans are repayable within one year with interests paid on a monthly or quarterly basis. Among the short-term bank loans obtained in 2025, an amount of RMB20,000 (US$2,860) was repaid within the same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335"/>
        <w:gridCol w:w="2135"/>
      </w:tblGrid>
      <w:tr>
        <w:trPr/>
        <w:tc>
          <w:tcPr>
            <w:tcW w:w="335" w:type="dxa"/>
            <w:tcBorders/>
            <w:vAlign w:val="center"/>
          </w:tcPr>
          <w:p>
            <w:pPr>
              <w:pStyle w:val="TableContents"/>
              <w:bidi w:val="0"/>
              <w:spacing w:before="0" w:after="0"/>
              <w:jc w:val="left"/>
              <w:rPr>
                <w:b/>
                <w:spacing w:val="0"/>
              </w:rPr>
            </w:pPr>
            <w:r>
              <w:rPr>
                <w:b/>
                <w:spacing w:val="0"/>
              </w:rPr>
              <w:t>12.</w:t>
            </w:r>
          </w:p>
        </w:tc>
        <w:tc>
          <w:tcPr>
            <w:tcW w:w="2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Bank Loans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Short-term bank loans (Continued)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In April 2025, the Group obtained a loan guaranteed by letter of credit amounting to RMB29,561 (US$4,227). The weighted average effective interest rate on short-term bank loan is 1.5% per annum. The loan is repayable within one year with interest recognized monthly.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Long-term bank loans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In 2024, the Group entered into long-term agreements with two banks in the PRC of total principals of RMB25,000, subject to effective interest rates of 3.0% per annum and 2.9% per annum, with maturity dates on March 24, 2027 and on December 14, 2027.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In 2025, the Group entered into long-term agreements with two banks in the PRC of total principals of RMB75,000 (US$10,725), subject to effective interest rates of 2.4% per annum, 2.9% per annum and 3.0% per annum, with maturity dates on August 1, 2028, December 24, 2027 and on January 13, 2035.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As of December 31, 2024 and 2025, the principal amount of RMB10,500 and RMB9,800 (US$1,401), respectively, was due within 12 months after the balance sheet date and presented as current liabilities in the consolidated balance sheet.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combined aggregate amounts of maturities and sinking fund requirements for each of the five years are as follows: </w:t>
      </w:r>
    </w:p>
    <w:p>
      <w:pPr>
        <w:pStyle w:val="TextBody"/>
        <w:bidi w:val="0"/>
        <w:spacing w:before="0" w:after="0"/>
        <w:ind w:left="0" w:right="0" w:hanging="0"/>
        <w:jc w:val="left"/>
        <w:rPr/>
      </w:pPr>
      <w:r>
        <w:rPr/>
        <w:t> </w:t>
      </w:r>
    </w:p>
    <w:tbl>
      <w:tblPr>
        <w:tblW w:w="4565" w:type="dxa"/>
        <w:jc w:val="left"/>
        <w:tblInd w:w="0" w:type="dxa"/>
        <w:tblLayout w:type="fixed"/>
        <w:tblCellMar>
          <w:top w:w="0" w:type="dxa"/>
          <w:left w:w="0" w:type="dxa"/>
          <w:bottom w:w="0" w:type="dxa"/>
          <w:right w:w="0" w:type="dxa"/>
        </w:tblCellMar>
      </w:tblPr>
      <w:tblGrid>
        <w:gridCol w:w="1850"/>
        <w:gridCol w:w="120"/>
        <w:gridCol w:w="60"/>
        <w:gridCol w:w="680"/>
        <w:gridCol w:w="60"/>
        <w:gridCol w:w="120"/>
        <w:gridCol w:w="60"/>
        <w:gridCol w:w="680"/>
        <w:gridCol w:w="60"/>
        <w:gridCol w:w="120"/>
        <w:gridCol w:w="65"/>
        <w:gridCol w:w="615"/>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1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1,401</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1 and 2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4,833</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Between 2 and 3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4,204</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Between 3 and 4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right"/>
              <w:rPr/>
            </w:pPr>
            <w:r>
              <w:rPr/>
              <w:t>429</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over 4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15" w:type="dxa"/>
            <w:tcBorders/>
            <w:shd w:fill="CCEEFF" w:val="clear"/>
            <w:vAlign w:val="center"/>
          </w:tcPr>
          <w:p>
            <w:pPr>
              <w:pStyle w:val="TableContents"/>
              <w:bidi w:val="0"/>
              <w:spacing w:before="0" w:after="283"/>
              <w:jc w:val="right"/>
              <w:rPr/>
            </w:pPr>
            <w:r>
              <w:rPr/>
              <w:t>2,360</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61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31,000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92,500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0"/>
              <w:jc w:val="right"/>
              <w:rPr>
                <w:b/>
                <w:spacing w:val="0"/>
              </w:rPr>
            </w:pPr>
            <w:r>
              <w:rPr>
                <w:b/>
                <w:spacing w:val="0"/>
              </w:rPr>
              <w:t>13,227</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61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As of December 31, 2025, long-term bank loans amounted to RMB55,500 (US$7,936) were secured by mortgages of the Group’s building, in which approximately RMB6,000 (US$858) will mature before December 31, 2026, in accordance with the repayment timeline under the relevant loan agreements. There was no property and equipment mortgage securing the long-term loans outstanding as of December 31, 2024.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As of December 31, 2024 and 2025, long-term bank loans amounted to RMB16,000 and RMB7,000 (US$1,001) were guaranteed by the Group’s Chairman of the Board, Mr. Huazhi Hu, in which approximately RMB9,000 and RMB2,000 (US$286) will mature within one year after the balance sheet dates, in accordance with the repayment timeline under the relevant loan agreements.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carrying value of the long-term bank loans approximates its fair value as of December 31, 2024 and 2025. The interest rates under the loan agreements with the banks were determined based on the prevailing interest rates in the market. The Group classifies the valuation techniques that use these inputs as Level 2. </w:t>
      </w:r>
    </w:p>
    <w:p>
      <w:pPr>
        <w:pStyle w:val="TextBody"/>
        <w:bidi w:val="0"/>
        <w:spacing w:before="120" w:after="0"/>
        <w:jc w:val="left"/>
        <w:rPr>
          <w:rFonts w:ascii="Times New Roman" w:hAnsi="Times New Roman"/>
          <w:sz w:val="20"/>
        </w:rPr>
      </w:pPr>
      <w:r>
        <w:rPr>
          <w:rFonts w:ascii="Times New Roman" w:hAnsi="Times New Roman"/>
          <w:sz w:val="20"/>
        </w:rPr>
        <w:t>Certain Group’s banking facilities are subject to the fulfillment of certain fin</w:t>
      </w:r>
    </w:p>
    <w:p>
      <w:pPr>
        <w:pStyle w:val="TextBody"/>
        <w:bidi w:val="0"/>
        <w:spacing w:before="120" w:after="0"/>
        <w:jc w:val="left"/>
        <w:rPr>
          <w:rFonts w:ascii="Times New Roman" w:hAnsi="Times New Roman"/>
          <w:spacing w:val="0"/>
          <w:sz w:val="20"/>
        </w:rPr>
      </w:pPr>
      <w:r>
        <w:rPr>
          <w:rFonts w:ascii="Times New Roman" w:hAnsi="Times New Roman"/>
          <w:spacing w:val="0"/>
          <w:sz w:val="20"/>
        </w:rPr>
        <w:t>anci</w:t>
      </w:r>
    </w:p>
    <w:p>
      <w:pPr>
        <w:pStyle w:val="TextBody"/>
        <w:bidi w:val="0"/>
        <w:spacing w:before="120" w:after="0"/>
        <w:jc w:val="left"/>
        <w:rPr>
          <w:rFonts w:ascii="Times New Roman" w:hAnsi="Times New Roman"/>
          <w:sz w:val="20"/>
        </w:rPr>
      </w:pPr>
      <w:r>
        <w:rPr>
          <w:rFonts w:ascii="Times New Roman" w:hAnsi="Times New Roman"/>
          <w:sz w:val="20"/>
        </w:rPr>
        <w:t xml:space="preserve">al covenants, including gearing ratio. The Group regularly monitors its compliance with these covenants. As of December 31, 2024 and 2025, none of the covenants was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335"/>
        <w:gridCol w:w="2240"/>
      </w:tblGrid>
      <w:tr>
        <w:trPr/>
        <w:tc>
          <w:tcPr>
            <w:tcW w:w="335" w:type="dxa"/>
            <w:tcBorders/>
            <w:vAlign w:val="center"/>
          </w:tcPr>
          <w:p>
            <w:pPr>
              <w:pStyle w:val="TableContents"/>
              <w:bidi w:val="0"/>
              <w:spacing w:before="0" w:after="0"/>
              <w:jc w:val="left"/>
              <w:rPr>
                <w:b/>
                <w:spacing w:val="0"/>
              </w:rPr>
            </w:pPr>
            <w:r>
              <w:rPr>
                <w:b/>
                <w:spacing w:val="0"/>
              </w:rPr>
              <w:t>13.</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Mandatorily Redeemable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Non-controlling</w:t>
            </w:r>
          </w:p>
          <w:p>
            <w:pPr>
              <w:pStyle w:val="TableContents"/>
              <w:bidi w:val="0"/>
              <w:spacing w:before="0" w:after="0"/>
              <w:jc w:val="left"/>
              <w:rPr>
                <w:rFonts w:ascii="Times New Roman" w:hAnsi="Times New Roman"/>
                <w:b/>
                <w:sz w:val="20"/>
              </w:rPr>
            </w:pPr>
            <w:r>
              <w:rPr>
                <w:rFonts w:ascii="Times New Roman" w:hAnsi="Times New Roman"/>
                <w:b/>
                <w:sz w:val="20"/>
              </w:rPr>
              <w:t xml:space="preserve">Interests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June 15, 2020, the Group established a subsidiary named EHang Yunfu (Note 1). On June 30, 2020, the Group entered into an agreement with a third-party investor who subscribed 30% of the equity interests of EHang Yunfu for cash consideration of RMB40,000. At the sole discretion of the investor, the Group is obligated to repurchase the 30%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 or with the consent of the investor, guarantee a third-party to repurchase the 30%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at the investor’s investment cost at the end of the five-year investment term.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do not participate in any dividend distributions of EHang Yunfu but earn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interest of 1.5% per year, payable on a quarterly basis. As EHang Yunfu’s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are mandatorily redeemable at the sole discretion of the investor, it is classified as liability and subsequently measured at the amount that would be paid if settlement occurred at the reporting date. </w:t>
      </w:r>
    </w:p>
    <w:p>
      <w:pPr>
        <w:pStyle w:val="TextBody"/>
        <w:bidi w:val="0"/>
        <w:spacing w:before="120" w:after="0"/>
        <w:jc w:val="left"/>
        <w:rPr>
          <w:rFonts w:ascii="Times New Roman" w:hAnsi="Times New Roman"/>
          <w:sz w:val="20"/>
        </w:rPr>
      </w:pPr>
      <w:r>
        <w:rPr>
          <w:rFonts w:ascii="Times New Roman" w:hAnsi="Times New Roman"/>
          <w:sz w:val="20"/>
        </w:rPr>
        <w:t xml:space="preserve">In 2025, the Group repaid RMB40,000 (US$5,720) to the investor, who has been deregistered from equity interests holder of Ehang Yunfu. </w:t>
      </w:r>
    </w:p>
    <w:p>
      <w:pPr>
        <w:pStyle w:val="TextBody"/>
        <w:bidi w:val="0"/>
        <w:spacing w:before="0" w:after="0"/>
        <w:jc w:val="left"/>
        <w:rPr/>
      </w:pPr>
      <w:r>
        <w:rPr/>
        <w:t> </w:t>
      </w:r>
    </w:p>
    <w:tbl>
      <w:tblPr>
        <w:tblW w:w="1210" w:type="dxa"/>
        <w:jc w:val="left"/>
        <w:tblInd w:w="0" w:type="dxa"/>
        <w:tblLayout w:type="fixed"/>
        <w:tblCellMar>
          <w:top w:w="0" w:type="dxa"/>
          <w:left w:w="0" w:type="dxa"/>
          <w:bottom w:w="0" w:type="dxa"/>
          <w:right w:w="0" w:type="dxa"/>
        </w:tblCellMar>
      </w:tblPr>
      <w:tblGrid>
        <w:gridCol w:w="335"/>
        <w:gridCol w:w="875"/>
      </w:tblGrid>
      <w:tr>
        <w:trPr/>
        <w:tc>
          <w:tcPr>
            <w:tcW w:w="335" w:type="dxa"/>
            <w:tcBorders/>
            <w:vAlign w:val="center"/>
          </w:tcPr>
          <w:p>
            <w:pPr>
              <w:pStyle w:val="TableContents"/>
              <w:bidi w:val="0"/>
              <w:spacing w:before="0" w:after="0"/>
              <w:jc w:val="left"/>
              <w:rPr>
                <w:b/>
                <w:spacing w:val="0"/>
              </w:rPr>
            </w:pPr>
            <w:r>
              <w:rPr>
                <w:b/>
                <w:spacing w:val="0"/>
              </w:rPr>
              <w:t>14.</w:t>
            </w:r>
          </w:p>
        </w:tc>
        <w:tc>
          <w:tcPr>
            <w:tcW w:w="8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Revenues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disaggregation of revenue from contracts with the customers: </w:t>
      </w:r>
    </w:p>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1835"/>
        <w:gridCol w:w="120"/>
        <w:gridCol w:w="60"/>
        <w:gridCol w:w="800"/>
        <w:gridCol w:w="60"/>
        <w:gridCol w:w="120"/>
        <w:gridCol w:w="60"/>
        <w:gridCol w:w="800"/>
        <w:gridCol w:w="60"/>
        <w:gridCol w:w="120"/>
        <w:gridCol w:w="60"/>
        <w:gridCol w:w="800"/>
        <w:gridCol w:w="60"/>
        <w:gridCol w:w="120"/>
        <w:gridCol w:w="60"/>
        <w:gridCol w:w="680"/>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6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 - Products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 mobility solutions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99,470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439,533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390,542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55,846</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2,073</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Subtotal-Products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100,960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440,641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405,037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57,919</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 - 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Air mobility solutions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660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8,332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1,191</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Subtotal-Services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15,511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12,944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1,851</w:t>
            </w:r>
          </w:p>
        </w:tc>
        <w:tc>
          <w:tcPr>
            <w:tcW w:w="75" w:type="dxa"/>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117,426</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456,152</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417,981</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59,770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Payment terms </w:t>
      </w:r>
    </w:p>
    <w:p>
      <w:pPr>
        <w:pStyle w:val="TextBody"/>
        <w:bidi w:val="0"/>
        <w:spacing w:before="120" w:after="0"/>
        <w:jc w:val="left"/>
        <w:rPr>
          <w:rFonts w:ascii="Times New Roman" w:hAnsi="Times New Roman"/>
          <w:sz w:val="20"/>
        </w:rPr>
      </w:pPr>
      <w:r>
        <w:rPr>
          <w:rFonts w:ascii="Times New Roman" w:hAnsi="Times New Roman"/>
          <w:sz w:val="20"/>
        </w:rPr>
        <w:t xml:space="preserve">For the Group’s Air mobility solutions and Aerial media solutions, the Group typically requires a portion of payments upfront and the remaining amounts are contractually due ranging from three to six months. Regarding the Smart city management solutions, the timing of billing varies depending on contractual payment schedules with milestone billings and the completion of the quality-assurance warranty period. In instances where the timing of revenue recognition differs from the timing of invoicing, the Group has determined that its contracts do not include a significant financing component at the inception of the contracts.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Contract balances include accounts receivable. Accounts receivable re</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w:t>
      </w:r>
    </w:p>
    <w:p>
      <w:pPr>
        <w:pStyle w:val="TextBody"/>
        <w:bidi w:val="0"/>
        <w:spacing w:before="120" w:after="0"/>
        <w:jc w:val="left"/>
        <w:rPr>
          <w:rFonts w:ascii="Times New Roman" w:hAnsi="Times New Roman"/>
          <w:sz w:val="20"/>
        </w:rPr>
      </w:pPr>
      <w:r>
        <w:rPr>
          <w:rFonts w:ascii="Times New Roman" w:hAnsi="Times New Roman"/>
          <w:sz w:val="20"/>
        </w:rPr>
        <w:t xml:space="preserve">sents the billed amounts related to the Company’s rights to consideration as performance obligations are satisfied and the rights to payment become unconditional but for the passage of time. </w:t>
      </w:r>
    </w:p>
    <w:p>
      <w:pPr>
        <w:pStyle w:val="TextBody"/>
        <w:bidi w:val="0"/>
        <w:spacing w:before="120" w:after="0"/>
        <w:jc w:val="left"/>
        <w:rPr>
          <w:rFonts w:ascii="Times New Roman" w:hAnsi="Times New Roman"/>
          <w:sz w:val="20"/>
        </w:rPr>
      </w:pPr>
      <w:r>
        <w:rPr>
          <w:rFonts w:ascii="Times New Roman" w:hAnsi="Times New Roman"/>
          <w:sz w:val="20"/>
        </w:rPr>
        <w:t xml:space="preserve">Contract liabilities represent payments received from customers for which the corresponding products or services have not yet been transferred to customers. The contract liabilities were primarily contributed by advance from customers of sales of passenger-grade UAVs. Revenue of RMB4,309, RMB16,118 and RMB10,723 (US$1,533) were recognized during the years ended December 31, 2023, 2024 and 2025 from the balance included in the contract liabilities on January 1, 2023, 2024 and 2025,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F- 4</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0"/>
              <w:jc w:val="left"/>
              <w:rPr>
                <w:b/>
                <w:spacing w:val="0"/>
              </w:rPr>
            </w:pPr>
            <w:r>
              <w:rPr>
                <w:b/>
                <w:spacing w:val="0"/>
              </w:rPr>
              <w:t>15.</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order to provide additional incentives to employees and to promote the success of the Group’s business, the Group adopted a share incentive plan that was approved by the Board of Directors on December 23, 2016 (“the 2015 Plan”). As of December 31, 2025, under the 2015 Plan, the maximum aggregate number of ordinary shares that may be issued pursuant to all share-based awards (including restricted shares, RSUs and share options) is 8,867,053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2019, the Company’s Board of Directors approved the 2019 Share Incentive Plan (“the 2019 Plan”), which become effective upon the completion of the Company’s IPO on December 12, 2019. As of December 31, 2025, under the 2019 Plan, the maximum aggregate number of ordinary shares that may be issued pursuant to all share-based awards (including restricted shares, RSUs and share options) is 13,941,558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Company’s Board of Directors approved the 2023 Share Incentive Plan (“the 2023 Plan”), which become effective on December 22, 2023. As of December 31, 2025, under the 2023 Plan, the maximum aggregate number of ordinary shares that may be issued pursuant to all share-based awards (including restricted shares, RSUs and share options) is 11,905,990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Pursuant to 2015 Plan, 2029 Plan and 2023 Plan (collectively, the “Plans”), the members of the Board, consultant or employees are entitled to be granted share-based awards.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31,2023, the Company granted a total of 6,114,000 RSUs to the Group’s employees under the 2019 Plan. For the year ended December 31, 2024, the Company granted a total of 394,820 share options to the Group’s employees under the 2019 Plan and a total of 2,305,100 RSUs and 5,124,500 share options to the Group’s employees under the 2023 Plan. For the year ended December 31, 2025, the Company granted a total of 2,030,000 RSUs and 2,370,000 share options to the Group’s employees under the 2023 Plan. All of the RSUs and shares options are subject to service conditions and vest over the periods ranging from three months to four years, starting from the vesting inception date. </w:t>
      </w:r>
    </w:p>
    <w:p>
      <w:pPr>
        <w:pStyle w:val="TextBody"/>
        <w:bidi w:val="0"/>
        <w:spacing w:before="36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 xml:space="preserve">RSUs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RSUs activity under the Plans: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3425"/>
        <w:gridCol w:w="120"/>
        <w:gridCol w:w="90"/>
        <w:gridCol w:w="1595"/>
        <w:gridCol w:w="155"/>
        <w:gridCol w:w="120"/>
        <w:gridCol w:w="140"/>
        <w:gridCol w:w="1590"/>
        <w:gridCol w:w="60"/>
        <w:gridCol w:w="120"/>
        <w:gridCol w:w="207"/>
        <w:gridCol w:w="1523"/>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pPr>
            <w:r>
              <w:rPr/>
              <w:t>Number of RSUs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Weighted average</w:t>
              <w:br/>
              <w:t>grant date fair</w:t>
              <w:br/>
              <w:t>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Weighted average</w:t>
              <w:br/>
              <w:t>remaining</w:t>
              <w:br/>
              <w:t>contractual life</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(US$ 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(Years)</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2022</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2,678,000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8.8740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1.90</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6,114,000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8.9809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(2,255,250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7.8054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52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(9,000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3.8500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2023</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6,527,750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9.3503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3.12</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2,305,100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7.1700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(2,460,000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9.4054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52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(4,000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2.3500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6,368,850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8.5449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2.09</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2,030,000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8.1417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(2,292,025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8.2877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152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(25,000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59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6,081,825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8.2322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2.14</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single" w:sz="2" w:space="1" w:color="000000"/>
              </w:rPr>
            </w:pPr>
            <w:r>
              <w:rPr>
                <w:bdr w:val="single" w:sz="2" w:space="1" w:color="000000"/>
              </w:rPr>
              <w:t> </w:t>
            </w:r>
          </w:p>
        </w:tc>
        <w:tc>
          <w:tcPr>
            <w:tcW w:w="159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to vest as of December 31, 2025</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tcBorders/>
            <w:vAlign w:val="center"/>
          </w:tcPr>
          <w:p>
            <w:pPr>
              <w:pStyle w:val="TableContents"/>
              <w:bidi w:val="0"/>
              <w:spacing w:before="0" w:after="283"/>
              <w:jc w:val="right"/>
              <w:rPr/>
            </w:pPr>
            <w:r>
              <w:rPr/>
              <w:t>6,081,825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0"/>
              <w:jc w:val="left"/>
              <w:rPr>
                <w:bdr w:val="double" w:sz="6" w:space="1" w:color="000000"/>
              </w:rPr>
            </w:pPr>
            <w:r>
              <w:rPr>
                <w:bdr w:val="double" w:sz="6" w:space="1" w:color="000000"/>
              </w:rPr>
              <w:t> </w:t>
            </w:r>
          </w:p>
        </w:tc>
        <w:tc>
          <w:tcPr>
            <w:tcW w:w="159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335"/>
        <w:gridCol w:w="3410"/>
      </w:tblGrid>
      <w:tr>
        <w:trPr/>
        <w:tc>
          <w:tcPr>
            <w:tcW w:w="335" w:type="dxa"/>
            <w:tcBorders/>
            <w:vAlign w:val="center"/>
          </w:tcPr>
          <w:p>
            <w:pPr>
              <w:pStyle w:val="TableContents"/>
              <w:bidi w:val="0"/>
              <w:spacing w:before="0" w:after="0"/>
              <w:jc w:val="left"/>
              <w:rPr>
                <w:b/>
                <w:spacing w:val="0"/>
              </w:rPr>
            </w:pPr>
            <w:r>
              <w:rPr>
                <w:b/>
                <w:spacing w:val="0"/>
              </w:rPr>
              <w:t>15.</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total share-based compensation expenses relating to RSUs for the years ended December 31, 2023, 2024 and 2025 were RMB</w:t>
      </w:r>
    </w:p>
    <w:p>
      <w:pPr>
        <w:pStyle w:val="TextBody"/>
        <w:bidi w:val="0"/>
        <w:spacing w:before="0" w:after="0"/>
        <w:jc w:val="left"/>
        <w:rPr>
          <w:rFonts w:ascii="Times New Roman" w:hAnsi="Times New Roman"/>
          <w:spacing w:val="0"/>
          <w:sz w:val="20"/>
        </w:rPr>
      </w:pPr>
      <w:r>
        <w:rPr>
          <w:rFonts w:ascii="Times New Roman" w:hAnsi="Times New Roman"/>
          <w:spacing w:val="0"/>
          <w:sz w:val="20"/>
        </w:rPr>
        <w:t>151,485</w:t>
      </w:r>
    </w:p>
    <w:p>
      <w:pPr>
        <w:pStyle w:val="TextBody"/>
        <w:bidi w:val="0"/>
        <w:spacing w:before="0" w:after="0"/>
        <w:jc w:val="left"/>
        <w:rPr>
          <w:rFonts w:ascii="Times New Roman" w:hAnsi="Times New Roman"/>
          <w:sz w:val="20"/>
        </w:rPr>
      </w:pPr>
      <w:r>
        <w:rPr>
          <w:rFonts w:ascii="Times New Roman" w:hAnsi="Times New Roman"/>
          <w:sz w:val="20"/>
        </w:rPr>
        <w:t xml:space="preserve">, RMB180,748 and RMB161,911 (US$23,153), respectively. Total share-based compensation expense relating to RSUs capitalized to inventory was not material for any of the years presented. </w:t>
      </w:r>
    </w:p>
    <w:p>
      <w:pPr>
        <w:pStyle w:val="TextBody"/>
        <w:bidi w:val="0"/>
        <w:spacing w:before="120" w:after="0"/>
        <w:jc w:val="left"/>
        <w:rPr>
          <w:rFonts w:ascii="Times New Roman" w:hAnsi="Times New Roman"/>
          <w:sz w:val="20"/>
        </w:rPr>
      </w:pPr>
      <w:r>
        <w:rPr>
          <w:rFonts w:ascii="Times New Roman" w:hAnsi="Times New Roman"/>
          <w:sz w:val="20"/>
        </w:rPr>
        <w:t>As of December 31, 2025, there was RMB271,598 (US$38,838) of unrecognized share-based compensation expenses related to RSUs which is expected to be recognized over a weighted average vesting period of</w:t>
      </w:r>
    </w:p>
    <w:p>
      <w:pPr>
        <w:pStyle w:val="TextBody"/>
        <w:bidi w:val="0"/>
        <w:spacing w:before="120" w:after="0"/>
        <w:jc w:val="left"/>
        <w:rPr>
          <w:rFonts w:ascii="Times New Roman" w:hAnsi="Times New Roman"/>
          <w:spacing w:val="0"/>
          <w:sz w:val="20"/>
        </w:rPr>
      </w:pPr>
      <w:r>
        <w:rPr>
          <w:rFonts w:ascii="Times New Roman" w:hAnsi="Times New Roman"/>
          <w:spacing w:val="0"/>
          <w:sz w:val="20"/>
        </w:rPr>
        <w:t>2.14</w:t>
      </w:r>
    </w:p>
    <w:p>
      <w:pPr>
        <w:pStyle w:val="TextBody"/>
        <w:bidi w:val="0"/>
        <w:spacing w:before="120" w:after="0"/>
        <w:jc w:val="left"/>
        <w:rPr>
          <w:rFonts w:ascii="Times New Roman" w:hAnsi="Times New Roman"/>
          <w:sz w:val="20"/>
        </w:rPr>
      </w:pPr>
      <w:r>
        <w:rPr>
          <w:rFonts w:ascii="Times New Roman" w:hAnsi="Times New Roman"/>
          <w:sz w:val="20"/>
        </w:rPr>
        <w:t xml:space="preserve">years. Total unrecognized compensation cost may be adjusted for actual forfeitures occurring in the future. </w:t>
      </w:r>
    </w:p>
    <w:p>
      <w:pPr>
        <w:pStyle w:val="TextBody"/>
        <w:bidi w:val="0"/>
        <w:spacing w:before="360" w:after="0"/>
        <w:jc w:val="left"/>
        <w:rPr>
          <w:rFonts w:ascii="Times New Roman" w:hAnsi="Times New Roman"/>
          <w:i/>
          <w:caps w:val="false"/>
          <w:smallCaps w:val="false"/>
          <w:spacing w:val="0"/>
          <w:sz w:val="20"/>
          <w:u w:val="single"/>
        </w:rPr>
      </w:pPr>
      <w:r>
        <w:rPr>
          <w:rFonts w:ascii="Times New Roman" w:hAnsi="Times New Roman"/>
          <w:i/>
          <w:caps w:val="false"/>
          <w:smallCaps w:val="false"/>
          <w:spacing w:val="0"/>
          <w:sz w:val="20"/>
          <w:u w:val="single"/>
        </w:rPr>
        <w:t xml:space="preserve">Share options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Company’s share options activity under the 2015 Plan: </w:t>
      </w:r>
    </w:p>
    <w:p>
      <w:pPr>
        <w:pStyle w:val="TextBody"/>
        <w:bidi w:val="0"/>
        <w:spacing w:before="0" w:after="0"/>
        <w:jc w:val="left"/>
        <w:rPr/>
      </w:pPr>
      <w:r>
        <w:rPr/>
        <w:t> </w:t>
      </w:r>
    </w:p>
    <w:tbl>
      <w:tblPr>
        <w:tblW w:w="9515" w:type="dxa"/>
        <w:jc w:val="left"/>
        <w:tblInd w:w="0" w:type="dxa"/>
        <w:tblLayout w:type="fixed"/>
        <w:tblCellMar>
          <w:top w:w="0" w:type="dxa"/>
          <w:left w:w="0" w:type="dxa"/>
          <w:bottom w:w="0" w:type="dxa"/>
          <w:right w:w="0" w:type="dxa"/>
        </w:tblCellMar>
      </w:tblPr>
      <w:tblGrid>
        <w:gridCol w:w="4070"/>
        <w:gridCol w:w="120"/>
        <w:gridCol w:w="102"/>
        <w:gridCol w:w="1163"/>
        <w:gridCol w:w="60"/>
        <w:gridCol w:w="120"/>
        <w:gridCol w:w="153"/>
        <w:gridCol w:w="1742"/>
        <w:gridCol w:w="60"/>
        <w:gridCol w:w="120"/>
        <w:gridCol w:w="140"/>
        <w:gridCol w:w="1590"/>
        <w:gridCol w:w="75"/>
      </w:tblGrid>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share 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Weighted average</w:t>
              <w:br/>
              <w:t>grant date fair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Weighted average</w:t>
              <w:br/>
              <w:t>exercise price</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pPr>
            <w:r>
              <w:rPr/>
              <w:t>(US$ 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(US$ per share)</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2023, 2024 and 2025</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2.2624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5.8853</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bdr w:val="single" w:sz="2" w:space="1" w:color="000000"/>
              </w:rPr>
            </w:pPr>
            <w:r>
              <w:rPr>
                <w:bdr w:val="single" w:sz="2" w:space="1" w:color="000000"/>
              </w:rPr>
              <w:t> </w:t>
            </w:r>
          </w:p>
        </w:tc>
        <w:tc>
          <w:tcPr>
            <w:tcW w:w="11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 as of December 31, 2023, 2024 and 2025</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53,737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2.2624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5.8853</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bdr w:val="single" w:sz="2" w:space="1" w:color="000000"/>
              </w:rPr>
            </w:pPr>
            <w:r>
              <w:rPr>
                <w:bdr w:val="single" w:sz="2" w:space="1" w:color="000000"/>
              </w:rPr>
              <w:t> </w:t>
            </w:r>
          </w:p>
        </w:tc>
        <w:tc>
          <w:tcPr>
            <w:tcW w:w="116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2025</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53,737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2.2624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5.8853</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0"/>
              <w:jc w:val="left"/>
              <w:rPr>
                <w:bdr w:val="double" w:sz="6" w:space="1" w:color="000000"/>
              </w:rPr>
            </w:pPr>
            <w:r>
              <w:rPr>
                <w:bdr w:val="double" w:sz="6" w:space="1" w:color="000000"/>
              </w:rPr>
              <w:t> </w:t>
            </w:r>
          </w:p>
        </w:tc>
        <w:tc>
          <w:tcPr>
            <w:tcW w:w="116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share options activity under the 2023 Plan: </w:t>
      </w:r>
    </w:p>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3425"/>
        <w:gridCol w:w="120"/>
        <w:gridCol w:w="60"/>
        <w:gridCol w:w="1055"/>
        <w:gridCol w:w="155"/>
        <w:gridCol w:w="120"/>
        <w:gridCol w:w="153"/>
        <w:gridCol w:w="1742"/>
        <w:gridCol w:w="60"/>
        <w:gridCol w:w="120"/>
        <w:gridCol w:w="140"/>
        <w:gridCol w:w="1590"/>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pPr>
            <w:r>
              <w:rPr/>
              <w:t>Number of</w:t>
              <w:br/>
              <w:t>options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bottom w:val="single" w:sz="8" w:space="0" w:color="000000"/>
            </w:tcBorders>
            <w:tcMar>
              <w:bottom w:w="28" w:type="dxa"/>
            </w:tcMar>
            <w:vAlign w:val="center"/>
          </w:tcPr>
          <w:p>
            <w:pPr>
              <w:pStyle w:val="TableContents"/>
              <w:bidi w:val="0"/>
              <w:spacing w:before="0" w:after="283"/>
              <w:jc w:val="center"/>
              <w:rPr/>
            </w:pPr>
            <w:r>
              <w:rPr/>
              <w:t>Weighted average</w:t>
              <w:br/>
              <w:t>grant date fair value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pPr>
            <w:r>
              <w:rPr/>
              <w:t>Weighted average</w:t>
              <w:br/>
              <w:t>exercise price</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95" w:type="dxa"/>
            <w:gridSpan w:val="2"/>
            <w:tcBorders/>
            <w:vAlign w:val="center"/>
          </w:tcPr>
          <w:p>
            <w:pPr>
              <w:pStyle w:val="TableContents"/>
              <w:bidi w:val="0"/>
              <w:spacing w:before="0" w:after="283"/>
              <w:jc w:val="center"/>
              <w:rPr/>
            </w:pPr>
            <w:r>
              <w:rPr/>
              <w:t>(US$ 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30" w:type="dxa"/>
            <w:gridSpan w:val="2"/>
            <w:tcBorders/>
            <w:vAlign w:val="center"/>
          </w:tcPr>
          <w:p>
            <w:pPr>
              <w:pStyle w:val="TableContents"/>
              <w:bidi w:val="0"/>
              <w:spacing w:before="0" w:after="283"/>
              <w:jc w:val="center"/>
              <w:rPr/>
            </w:pPr>
            <w:r>
              <w:rPr/>
              <w:t>(US$ per share)</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5,519,320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5.1312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0.0001</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(2,413,570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5.1487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0.0001</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4.7675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0.0001</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3,071,250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5.0436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0.0001</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2,370,000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7.2700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0.0001</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(1,299,150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5.5448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0.0001</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(216,500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742" w:type="dxa"/>
            <w:tcBorders/>
            <w:vAlign w:val="center"/>
          </w:tcPr>
          <w:p>
            <w:pPr>
              <w:pStyle w:val="TableContents"/>
              <w:bidi w:val="0"/>
              <w:spacing w:before="0" w:after="283"/>
              <w:jc w:val="right"/>
              <w:rPr/>
            </w:pPr>
            <w:r>
              <w:rPr/>
              <w:t>5.5364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90" w:type="dxa"/>
            <w:tcBorders/>
            <w:vAlign w:val="center"/>
          </w:tcPr>
          <w:p>
            <w:pPr>
              <w:pStyle w:val="TableContents"/>
              <w:bidi w:val="0"/>
              <w:spacing w:before="0" w:after="283"/>
              <w:jc w:val="right"/>
              <w:rPr/>
            </w:pPr>
            <w:r>
              <w:rPr/>
              <w:t>0.0001</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December 31, 2025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3,925,600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742" w:type="dxa"/>
            <w:tcBorders/>
            <w:shd w:fill="CCEEFF" w:val="clear"/>
            <w:vAlign w:val="center"/>
          </w:tcPr>
          <w:p>
            <w:pPr>
              <w:pStyle w:val="TableContents"/>
              <w:bidi w:val="0"/>
              <w:spacing w:before="0" w:after="283"/>
              <w:jc w:val="right"/>
              <w:rPr/>
            </w:pPr>
            <w:r>
              <w:rPr/>
              <w:t>6.1375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0" w:type="dxa"/>
            <w:tcBorders/>
            <w:shd w:fill="CCEEFF" w:val="clear"/>
            <w:vAlign w:val="center"/>
          </w:tcPr>
          <w:p>
            <w:pPr>
              <w:pStyle w:val="TableContents"/>
              <w:bidi w:val="0"/>
              <w:spacing w:before="0" w:after="283"/>
              <w:jc w:val="right"/>
              <w:rPr/>
            </w:pPr>
            <w:r>
              <w:rPr/>
              <w:t>0.0001</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to vest as of December 31, 2025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3,925,600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calculated the estimated fair value of the share options under the 2023 Plan on the grant date using the Black-Scholes valuation model. Assumptions used to determine the fair value of the share options granted under the 2023 Plan are summarized in the following table: </w:t>
      </w:r>
    </w:p>
    <w:p>
      <w:pPr>
        <w:pStyle w:val="TextBody"/>
        <w:bidi w:val="0"/>
        <w:spacing w:before="0" w:after="0"/>
        <w:jc w:val="left"/>
        <w:rPr/>
      </w:pPr>
      <w:r>
        <w:rPr/>
        <w:t> </w:t>
      </w:r>
    </w:p>
    <w:tbl>
      <w:tblPr>
        <w:tblW w:w="7211" w:type="dxa"/>
        <w:jc w:val="left"/>
        <w:tblInd w:w="0" w:type="dxa"/>
        <w:tblLayout w:type="fixed"/>
        <w:tblCellMar>
          <w:top w:w="0" w:type="dxa"/>
          <w:left w:w="0" w:type="dxa"/>
          <w:bottom w:w="0" w:type="dxa"/>
          <w:right w:w="0" w:type="dxa"/>
        </w:tblCellMar>
      </w:tblPr>
      <w:tblGrid>
        <w:gridCol w:w="3620"/>
        <w:gridCol w:w="120"/>
        <w:gridCol w:w="75"/>
        <w:gridCol w:w="704"/>
        <w:gridCol w:w="345"/>
        <w:gridCol w:w="75"/>
        <w:gridCol w:w="75"/>
        <w:gridCol w:w="704"/>
        <w:gridCol w:w="345"/>
        <w:gridCol w:w="75"/>
        <w:gridCol w:w="75"/>
        <w:gridCol w:w="708"/>
        <w:gridCol w:w="290"/>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1" w:type="dxa"/>
            <w:gridSpan w:val="10"/>
            <w:tcBorders>
              <w:bottom w:val="single" w:sz="8" w:space="0" w:color="000000"/>
            </w:tcBorders>
            <w:tcMar>
              <w:bottom w:w="28" w:type="dxa"/>
            </w:tcMar>
            <w:vAlign w:val="center"/>
          </w:tcPr>
          <w:p>
            <w:pPr>
              <w:pStyle w:val="TableContents"/>
              <w:bidi w:val="0"/>
              <w:spacing w:before="0" w:after="283"/>
              <w:jc w:val="center"/>
              <w:rPr/>
            </w:pPr>
            <w:r>
              <w:rPr/>
              <w:t>For the year ended December 31,</w:t>
            </w:r>
          </w:p>
        </w:tc>
        <w:tc>
          <w:tcPr>
            <w:tcW w:w="29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8" w:type="dxa"/>
            <w:gridSpan w:val="6"/>
            <w:tcBorders>
              <w:bottom w:val="single" w:sz="8" w:space="0" w:color="000000"/>
            </w:tcBorders>
            <w:tcMar>
              <w:bottom w:w="28" w:type="dxa"/>
            </w:tcMar>
            <w:vAlign w:val="center"/>
          </w:tcPr>
          <w:p>
            <w:pPr>
              <w:pStyle w:val="TableContents"/>
              <w:bidi w:val="0"/>
              <w:spacing w:before="0" w:after="283"/>
              <w:jc w:val="center"/>
              <w:rPr/>
            </w:pPr>
            <w:r>
              <w:rPr/>
              <w:t>2024</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83"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29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9" w:type="dxa"/>
            <w:gridSpan w:val="2"/>
            <w:tcBorders/>
            <w:vAlign w:val="center"/>
          </w:tcPr>
          <w:p>
            <w:pPr>
              <w:pStyle w:val="TableContents"/>
              <w:bidi w:val="0"/>
              <w:spacing w:before="0" w:after="283"/>
              <w:jc w:val="center"/>
              <w:rPr/>
            </w:pPr>
            <w:r>
              <w:rPr/>
              <w:t>Batch 1</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79" w:type="dxa"/>
            <w:gridSpan w:val="2"/>
            <w:tcBorders/>
            <w:vAlign w:val="center"/>
          </w:tcPr>
          <w:p>
            <w:pPr>
              <w:pStyle w:val="TableContents"/>
              <w:bidi w:val="0"/>
              <w:spacing w:before="0" w:after="283"/>
              <w:jc w:val="center"/>
              <w:rPr/>
            </w:pPr>
            <w:r>
              <w:rPr/>
              <w:t>Batch 2</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83" w:type="dxa"/>
            <w:gridSpan w:val="2"/>
            <w:tcBorders/>
            <w:vAlign w:val="center"/>
          </w:tcPr>
          <w:p>
            <w:pPr>
              <w:pStyle w:val="TableContents"/>
              <w:bidi w:val="0"/>
              <w:spacing w:before="0" w:after="283"/>
              <w:jc w:val="center"/>
              <w:rPr/>
            </w:pPr>
            <w:r>
              <w:rPr/>
              <w:t>Batch 3</w:t>
            </w:r>
          </w:p>
        </w:tc>
        <w:tc>
          <w:tcPr>
            <w:tcW w:w="29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Term in years</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9.9</w:t>
            </w:r>
          </w:p>
        </w:tc>
        <w:tc>
          <w:tcPr>
            <w:tcW w:w="3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9.3</w:t>
            </w:r>
          </w:p>
        </w:tc>
        <w:tc>
          <w:tcPr>
            <w:tcW w:w="3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9.7</w:t>
            </w:r>
          </w:p>
        </w:tc>
        <w:tc>
          <w:tcPr>
            <w:tcW w:w="29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Volatility</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78.00</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74.30</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79.70</w:t>
            </w:r>
          </w:p>
        </w:tc>
        <w:tc>
          <w:tcPr>
            <w:tcW w:w="29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1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4.20</w:t>
            </w:r>
          </w:p>
        </w:tc>
        <w:tc>
          <w:tcPr>
            <w:tcW w:w="3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3.70</w:t>
            </w:r>
          </w:p>
        </w:tc>
        <w:tc>
          <w:tcPr>
            <w:tcW w:w="3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right"/>
              <w:rPr/>
            </w:pPr>
            <w:r>
              <w:rPr/>
              <w:t>4.40</w:t>
            </w:r>
          </w:p>
        </w:tc>
        <w:tc>
          <w:tcPr>
            <w:tcW w:w="29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per ordinary share (US$ per share)</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4.77</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7.17</w:t>
            </w:r>
          </w:p>
        </w:tc>
        <w:tc>
          <w:tcPr>
            <w:tcW w:w="3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right"/>
              <w:rPr/>
            </w:pPr>
            <w:r>
              <w:rPr/>
              <w:t>7.27</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335"/>
        <w:gridCol w:w="3410"/>
      </w:tblGrid>
      <w:tr>
        <w:trPr/>
        <w:tc>
          <w:tcPr>
            <w:tcW w:w="335" w:type="dxa"/>
            <w:tcBorders/>
            <w:vAlign w:val="center"/>
          </w:tcPr>
          <w:p>
            <w:pPr>
              <w:pStyle w:val="TableContents"/>
              <w:bidi w:val="0"/>
              <w:spacing w:before="0" w:after="0"/>
              <w:jc w:val="left"/>
              <w:rPr>
                <w:b/>
                <w:spacing w:val="0"/>
              </w:rPr>
            </w:pPr>
            <w:r>
              <w:rPr>
                <w:b/>
                <w:spacing w:val="0"/>
              </w:rPr>
              <w:t>15.</w:t>
            </w:r>
          </w:p>
        </w:tc>
        <w:tc>
          <w:tcPr>
            <w:tcW w:w="34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total share-based compensation expenses relating to share options for the years ended December 31, 2023, 2024 and 2025 were nil, RMB92,376 and RMB84,247 (US$12,047), respectively. Total share-based compensation expense relating to share options capitalized to inventory was not material for any of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there was RMB134,390 (US$19,218) of unrecognized share-based compensation expenses related to share options which is expected to be recognized over a weighted average vesting period of 2.38 years. Total unrecognized compensation cost may be adjusted for actual forfeitures occurring in the future. </w:t>
      </w:r>
    </w:p>
    <w:p>
      <w:pPr>
        <w:pStyle w:val="TextBody"/>
        <w:bidi w:val="0"/>
        <w:spacing w:before="120" w:after="0"/>
        <w:jc w:val="left"/>
        <w:rPr>
          <w:rFonts w:ascii="Times New Roman" w:hAnsi="Times New Roman"/>
          <w:sz w:val="20"/>
        </w:rPr>
      </w:pPr>
      <w:r>
        <w:rPr>
          <w:rFonts w:ascii="Times New Roman" w:hAnsi="Times New Roman"/>
          <w:sz w:val="20"/>
        </w:rPr>
        <w:t xml:space="preserve">Total share-based compensation expenses relating to RSUs and share options granted to employees recognized for the years ended December 31, 2023, 2024 and 2025 were as follows: </w:t>
      </w:r>
    </w:p>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3005"/>
        <w:gridCol w:w="120"/>
        <w:gridCol w:w="64"/>
        <w:gridCol w:w="736"/>
        <w:gridCol w:w="60"/>
        <w:gridCol w:w="120"/>
        <w:gridCol w:w="60"/>
        <w:gridCol w:w="800"/>
        <w:gridCol w:w="60"/>
        <w:gridCol w:w="120"/>
        <w:gridCol w:w="60"/>
        <w:gridCol w:w="800"/>
        <w:gridCol w:w="60"/>
        <w:gridCol w:w="120"/>
        <w:gridCol w:w="60"/>
        <w:gridCol w:w="680"/>
        <w:gridCol w:w="75"/>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0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59</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18,958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65,597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45,537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6,512</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79,327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134,984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154,838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22,142</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53,200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72,543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45,367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6,487</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single" w:sz="2" w:space="1" w:color="000000"/>
              </w:rPr>
            </w:pPr>
            <w:r>
              <w:rPr>
                <w:bdr w:val="single" w:sz="2" w:space="1" w:color="000000"/>
              </w:rPr>
              <w:t> </w:t>
            </w:r>
          </w:p>
        </w:tc>
        <w:tc>
          <w:tcPr>
            <w:tcW w:w="73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0"/>
              <w:jc w:val="right"/>
              <w:rPr>
                <w:b/>
                <w:spacing w:val="0"/>
              </w:rPr>
            </w:pPr>
            <w:r>
              <w:rPr>
                <w:b/>
                <w:spacing w:val="0"/>
              </w:rPr>
              <w:t>151,485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right"/>
              <w:rPr>
                <w:b/>
                <w:spacing w:val="0"/>
              </w:rPr>
            </w:pPr>
            <w:r>
              <w:rPr>
                <w:b/>
                <w:spacing w:val="0"/>
              </w:rPr>
              <w:t>273,124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right"/>
              <w:rPr>
                <w:b/>
                <w:spacing w:val="0"/>
              </w:rPr>
            </w:pPr>
            <w:r>
              <w:rPr>
                <w:b/>
                <w:spacing w:val="0"/>
              </w:rPr>
              <w:t>246,158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right"/>
              <w:rPr>
                <w:b/>
                <w:spacing w:val="0"/>
              </w:rPr>
            </w:pPr>
            <w:r>
              <w:rPr>
                <w:b/>
                <w:spacing w:val="0"/>
              </w:rPr>
              <w:t>35,200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bdr w:val="double" w:sz="6" w:space="1" w:color="000000"/>
              </w:rPr>
            </w:pPr>
            <w:r>
              <w:rPr>
                <w:bdr w:val="double" w:sz="6" w:space="1" w:color="000000"/>
              </w:rPr>
              <w:t> </w:t>
            </w:r>
          </w:p>
        </w:tc>
        <w:tc>
          <w:tcPr>
            <w:tcW w:w="73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July 2024, the Company’s Board of Directors approved the share-based compensation modification by accelerating and adjusting the vesting of 562,500 share options which shall be vested in next three years according to original vesting schedule, resulting in share-based compensation expense of RMB19,028 for the year ended December 31, 2024.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335"/>
        <w:gridCol w:w="1235"/>
      </w:tblGrid>
      <w:tr>
        <w:trPr/>
        <w:tc>
          <w:tcPr>
            <w:tcW w:w="335" w:type="dxa"/>
            <w:tcBorders/>
            <w:vAlign w:val="center"/>
          </w:tcPr>
          <w:p>
            <w:pPr>
              <w:pStyle w:val="TableContents"/>
              <w:bidi w:val="0"/>
              <w:spacing w:before="0" w:after="0"/>
              <w:jc w:val="left"/>
              <w:rPr>
                <w:b/>
                <w:spacing w:val="0"/>
              </w:rPr>
            </w:pPr>
            <w:r>
              <w:rPr>
                <w:b/>
                <w:spacing w:val="0"/>
              </w:rPr>
              <w:t>16.</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non-operating</w:t>
            </w:r>
          </w:p>
          <w:p>
            <w:pPr>
              <w:pStyle w:val="TableContents"/>
              <w:bidi w:val="0"/>
              <w:spacing w:before="0" w:after="0"/>
              <w:jc w:val="left"/>
              <w:rPr>
                <w:rFonts w:ascii="Times New Roman" w:hAnsi="Times New Roman"/>
                <w:b/>
                <w:sz w:val="20"/>
              </w:rPr>
            </w:pPr>
            <w:r>
              <w:rPr>
                <w:rFonts w:ascii="Times New Roman" w:hAnsi="Times New Roman"/>
                <w:b/>
                <w:sz w:val="20"/>
              </w:rPr>
              <w:t xml:space="preserve">expenses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December 4, 2023, a securities class action complaint (captioned Pujo v. EHang Holdings Limited, No. </w:t>
      </w:r>
    </w:p>
    <w:p>
      <w:pPr>
        <w:pStyle w:val="TextBody"/>
        <w:bidi w:val="0"/>
        <w:spacing w:before="120" w:after="0"/>
        <w:jc w:val="left"/>
        <w:rPr>
          <w:rFonts w:ascii="Times New Roman" w:hAnsi="Times New Roman"/>
          <w:spacing w:val="0"/>
          <w:sz w:val="20"/>
        </w:rPr>
      </w:pPr>
      <w:r>
        <w:rPr>
          <w:rFonts w:ascii="Times New Roman" w:hAnsi="Times New Roman"/>
          <w:spacing w:val="0"/>
          <w:sz w:val="20"/>
        </w:rPr>
        <w:t>2:23-cv-10165</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(C.D. Cal.)) was filed by purported holders of the Company’s ADSs in federal court (“the Court”). The complaint asserts claims under Sections 10(b) and 20(a) of the Securities Exchange Act of 1934, as amended, and generally alleged that the Company and certain of its officers and directors made false and misleading statements regarding the Company’s business, operations, and prospects, among other allegations. The complaint was based in large part on a November 7, 2023, report issued by short seller Hindenburg Research. The complaint named as defendants certain of the Company’s officers and directors. The complaint seeks unspecified monetary damages on behalf of the putative class and an award of costs and expenses, including reasonable attorneys’ fees.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lead plaintiff (“The Parties”) participated in private mediation on July 1, 2025 and on July 3, 2025, the Parties agreed to settle the matter for US$1,985. On July 7, 2025, the Parties notified the Court that they had reached an agreement in principle and anticipated filing a motion for preliminary approval of the settlement. The Parties have executed stipulation of settlement by their undersigned counsel effective as of August 11, 2025, and determined the settlement fee of US$1,985. As of December 31, 2025, Ehang has paid a settlement amount of US$1,985. On January 12, 2026, the Court granted final approval of the class action settlement.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Company recorded the settlement fee of US$1,985 (equivalent to RMB14,254) in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non-operating</w:t>
      </w:r>
    </w:p>
    <w:p>
      <w:pPr>
        <w:pStyle w:val="TextBody"/>
        <w:bidi w:val="0"/>
        <w:spacing w:before="120" w:after="0"/>
        <w:jc w:val="left"/>
        <w:rPr>
          <w:rFonts w:ascii="Times New Roman" w:hAnsi="Times New Roman"/>
          <w:sz w:val="20"/>
        </w:rPr>
      </w:pPr>
      <w:r>
        <w:rPr>
          <w:rFonts w:ascii="Times New Roman" w:hAnsi="Times New Roman"/>
          <w:sz w:val="20"/>
        </w:rPr>
        <w:t xml:space="preserve">expenses as the loss from aforementioned shareholder securities litigation.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335"/>
        <w:gridCol w:w="1265"/>
      </w:tblGrid>
      <w:tr>
        <w:trPr/>
        <w:tc>
          <w:tcPr>
            <w:tcW w:w="335" w:type="dxa"/>
            <w:tcBorders/>
            <w:vAlign w:val="center"/>
          </w:tcPr>
          <w:p>
            <w:pPr>
              <w:pStyle w:val="TableContents"/>
              <w:bidi w:val="0"/>
              <w:spacing w:before="0" w:after="0"/>
              <w:jc w:val="left"/>
              <w:rPr>
                <w:b/>
                <w:spacing w:val="0"/>
              </w:rPr>
            </w:pPr>
            <w:r>
              <w:rPr>
                <w:b/>
                <w:spacing w:val="0"/>
              </w:rPr>
              <w:t>17.</w:t>
            </w:r>
          </w:p>
        </w:tc>
        <w:tc>
          <w:tcPr>
            <w:tcW w:w="1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Under the current laws of the Cayman Islands, the Company is not subject to tax on income or capital gain arising in Cayman Islands.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Austria </w:t>
      </w:r>
    </w:p>
    <w:p>
      <w:pPr>
        <w:pStyle w:val="TextBody"/>
        <w:bidi w:val="0"/>
        <w:spacing w:before="120" w:after="0"/>
        <w:jc w:val="left"/>
        <w:rPr>
          <w:rFonts w:ascii="Times New Roman" w:hAnsi="Times New Roman"/>
          <w:sz w:val="20"/>
        </w:rPr>
      </w:pPr>
      <w:r>
        <w:rPr>
          <w:rFonts w:ascii="Times New Roman" w:hAnsi="Times New Roman"/>
          <w:sz w:val="20"/>
        </w:rPr>
        <w:t xml:space="preserve">EHang GmbH is subject to Austria profits tax of 23% on its activities conducted in Austria.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France </w:t>
      </w:r>
    </w:p>
    <w:p>
      <w:pPr>
        <w:pStyle w:val="TextBody"/>
        <w:bidi w:val="0"/>
        <w:spacing w:before="120" w:after="0"/>
        <w:jc w:val="left"/>
        <w:rPr>
          <w:rFonts w:ascii="Times New Roman" w:hAnsi="Times New Roman"/>
          <w:sz w:val="20"/>
        </w:rPr>
      </w:pPr>
      <w:r>
        <w:rPr>
          <w:rFonts w:ascii="Times New Roman" w:hAnsi="Times New Roman"/>
          <w:sz w:val="20"/>
        </w:rPr>
        <w:t xml:space="preserve">EHang France was subject to France profits tax of 28% on its activities conducted in France.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Spain </w:t>
      </w:r>
    </w:p>
    <w:p>
      <w:pPr>
        <w:pStyle w:val="TextBody"/>
        <w:bidi w:val="0"/>
        <w:spacing w:before="120" w:after="0"/>
        <w:jc w:val="left"/>
        <w:rPr>
          <w:rFonts w:ascii="Times New Roman" w:hAnsi="Times New Roman"/>
          <w:sz w:val="20"/>
        </w:rPr>
      </w:pPr>
      <w:r>
        <w:rPr>
          <w:rFonts w:ascii="Times New Roman" w:hAnsi="Times New Roman"/>
          <w:sz w:val="20"/>
        </w:rPr>
        <w:t xml:space="preserve">EHang Spain is subject to Spain profits tax of 23% on its activities conducted in Spain.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Ehfly and EHang HK are incorporated in Hong Kong and are subject to Hong Kong profits tax. Hong Kong profits tax for a corporation from the year of assessment 2018 and 2019 onwards is generally 8.25% on assessable profits up to HK$2.0 million; and 16.5% on any part of assessable profits over HK$2.0 million.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PRC </w:t>
      </w:r>
    </w:p>
    <w:p>
      <w:pPr>
        <w:pStyle w:val="TextBody"/>
        <w:bidi w:val="0"/>
        <w:spacing w:before="120" w:after="0"/>
        <w:jc w:val="left"/>
        <w:rPr>
          <w:rFonts w:ascii="Times New Roman" w:hAnsi="Times New Roman"/>
          <w:sz w:val="20"/>
        </w:rPr>
      </w:pPr>
      <w:r>
        <w:rPr>
          <w:rFonts w:ascii="Times New Roman" w:hAnsi="Times New Roman"/>
          <w:sz w:val="20"/>
        </w:rPr>
        <w:t xml:space="preserve">The Company’s subsidiaries and the VIEs in the PRC are subject to the statutory rate of 25%, in accordance with the Enterprise Income Tax law (the ‘‘EIT Law’’), which was effective since January 1, 2008 except for certain entities eligible for preferential tax rates.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PRC Income Tax Laws, an enterprise awarded with the High and New Technology Enterprise (“HNTE”) certificate may enjoy a reduced EIT rate of 15%. For the year ended December 31, 2023, 2024 and 2025, EHang Intelligent and EHang GZ were qualified as HNTE and eligible for a 15% preferential rate. </w:t>
      </w:r>
    </w:p>
    <w:p>
      <w:pPr>
        <w:pStyle w:val="TextBody"/>
        <w:bidi w:val="0"/>
        <w:spacing w:before="120" w:after="0"/>
        <w:jc w:val="left"/>
        <w:rPr>
          <w:rFonts w:ascii="Times New Roman" w:hAnsi="Times New Roman"/>
          <w:sz w:val="20"/>
        </w:rPr>
      </w:pPr>
      <w:r>
        <w:rPr>
          <w:rFonts w:ascii="Times New Roman" w:hAnsi="Times New Roman"/>
          <w:sz w:val="20"/>
        </w:rPr>
        <w:t xml:space="preserve">According to a policy promulgated by the State Tax Bureau of the PRC and effective from 2008 onwards, enterprises engaged in R&amp;D activities are entitled to claim an additional tax deduction amounting to 50% of the qualified R&amp;D expenses incurred in determining its tax assessable profits for that year. The additional tax deduction amount of the qualified R&amp;D expenses has been increased from 50% to 75%, effective from 2018 to 2020, according to a new tax incentives policy promulgated by the State Tax Bureau of the PRC in September 2018 (“Super Deduction”). According to Announcement of the Ministry of Finance and the State Taxation Administration [2021] No.13 (“Circular 13”), manufacturing enterprise with qualified R&amp;D expenses could enjoy R&amp;D Super Deduction, i.e. to claim additional 100% R&amp;D expenses on top of those actually incurred. Subsequently, pursuant to Announcement of the Ministry of Finance and the State Taxation Administration 2023 No. 7, effective from January 1, 2023, all eligible enterprises are entitled to claim an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100</w:t>
      </w:r>
    </w:p>
    <w:p>
      <w:pPr>
        <w:pStyle w:val="TextBody"/>
        <w:bidi w:val="0"/>
        <w:spacing w:before="120" w:after="0"/>
        <w:jc w:val="left"/>
        <w:rPr>
          <w:rFonts w:ascii="Times New Roman" w:hAnsi="Times New Roman"/>
          <w:sz w:val="20"/>
        </w:rPr>
      </w:pPr>
      <w:r>
        <w:rPr>
          <w:rFonts w:ascii="Times New Roman" w:hAnsi="Times New Roman"/>
          <w:sz w:val="20"/>
        </w:rPr>
        <w:t xml:space="preserve">% deduction for qualified R&amp;D expenses. EHang GZ, EHang Intelligent ,EHang Yunfu and Hefei EHang Intelligent Equipment Co., Ltd. were entitled to 100% super deduction. </w:t>
      </w:r>
    </w:p>
    <w:p>
      <w:pPr>
        <w:pStyle w:val="TextBody"/>
        <w:bidi w:val="0"/>
        <w:spacing w:before="120" w:after="0"/>
        <w:jc w:val="left"/>
        <w:rPr>
          <w:rFonts w:ascii="Times New Roman" w:hAnsi="Times New Roman"/>
          <w:sz w:val="20"/>
        </w:rPr>
      </w:pPr>
      <w:r>
        <w:rPr>
          <w:rFonts w:ascii="Times New Roman" w:hAnsi="Times New Roman"/>
          <w:sz w:val="20"/>
        </w:rPr>
        <w:t xml:space="preserve">Dividends, interests, rent or royalties payable by the Company’s PRC subsidiaries,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non-PRC</w:t>
      </w:r>
    </w:p>
    <w:p>
      <w:pPr>
        <w:pStyle w:val="TextBody"/>
        <w:bidi w:val="0"/>
        <w:spacing w:before="120" w:after="0"/>
        <w:jc w:val="left"/>
        <w:rPr>
          <w:rFonts w:ascii="Times New Roman" w:hAnsi="Times New Roman"/>
          <w:sz w:val="20"/>
        </w:rPr>
      </w:pPr>
      <w:r>
        <w:rPr>
          <w:rFonts w:ascii="Times New Roman" w:hAnsi="Times New Roman"/>
          <w:sz w:val="20"/>
        </w:rPr>
        <w:t xml:space="preserve">resident enterprises, and proceeds from any such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non-resident</w:t>
      </w:r>
    </w:p>
    <w:p>
      <w:pPr>
        <w:pStyle w:val="TextBody"/>
        <w:bidi w:val="0"/>
        <w:spacing w:before="120" w:after="0"/>
        <w:jc w:val="left"/>
        <w:rPr>
          <w:rFonts w:ascii="Times New Roman" w:hAnsi="Times New Roman"/>
          <w:sz w:val="20"/>
        </w:rPr>
      </w:pPr>
      <w:r>
        <w:rPr>
          <w:rFonts w:ascii="Times New Roman" w:hAnsi="Times New Roman"/>
          <w:sz w:val="20"/>
        </w:rPr>
        <w:t xml:space="preserve">enterprise investor’s disposition of assets (after deducting the net value of such assets) shall be subject to 10% withholding tax, unless the respective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non-PRC</w:t>
      </w:r>
    </w:p>
    <w:p>
      <w:pPr>
        <w:pStyle w:val="TextBody"/>
        <w:bidi w:val="0"/>
        <w:spacing w:before="120" w:after="0"/>
        <w:jc w:val="left"/>
        <w:rPr>
          <w:rFonts w:ascii="Times New Roman" w:hAnsi="Times New Roman"/>
          <w:sz w:val="20"/>
        </w:rPr>
      </w:pPr>
      <w:r>
        <w:rPr>
          <w:rFonts w:ascii="Times New Roman" w:hAnsi="Times New Roman"/>
          <w:sz w:val="20"/>
        </w:rPr>
        <w:t xml:space="preserve">resident enterprise’s jurisdiction of incorporation has a tax treaty or arrangements with China that provides for a reduced withholding tax rate or an exemption from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0"/>
              <w:jc w:val="left"/>
              <w:rPr>
                <w:b/>
                <w:spacing w:val="0"/>
              </w:rPr>
            </w:pPr>
            <w:r>
              <w:rPr>
                <w:b/>
                <w:spacing w:val="0"/>
              </w:rPr>
              <w:t>17.</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Income tax expenses (benefits) comprises of: </w:t>
      </w:r>
    </w:p>
    <w:p>
      <w:pPr>
        <w:pStyle w:val="TextBody"/>
        <w:bidi w:val="0"/>
        <w:spacing w:before="0" w:after="0"/>
        <w:jc w:val="left"/>
        <w:rPr/>
      </w:pPr>
      <w:r>
        <w:rPr/>
        <w:t> </w:t>
      </w:r>
    </w:p>
    <w:tbl>
      <w:tblPr>
        <w:tblW w:w="9394" w:type="dxa"/>
        <w:jc w:val="left"/>
        <w:tblInd w:w="0" w:type="dxa"/>
        <w:tblLayout w:type="fixed"/>
        <w:tblCellMar>
          <w:top w:w="0" w:type="dxa"/>
          <w:left w:w="0" w:type="dxa"/>
          <w:bottom w:w="0" w:type="dxa"/>
          <w:right w:w="0" w:type="dxa"/>
        </w:tblCellMar>
      </w:tblPr>
      <w:tblGrid>
        <w:gridCol w:w="5825"/>
        <w:gridCol w:w="120"/>
        <w:gridCol w:w="80"/>
        <w:gridCol w:w="510"/>
        <w:gridCol w:w="68"/>
        <w:gridCol w:w="136"/>
        <w:gridCol w:w="80"/>
        <w:gridCol w:w="510"/>
        <w:gridCol w:w="68"/>
        <w:gridCol w:w="136"/>
        <w:gridCol w:w="68"/>
        <w:gridCol w:w="724"/>
        <w:gridCol w:w="176"/>
        <w:gridCol w:w="136"/>
        <w:gridCol w:w="68"/>
        <w:gridCol w:w="519"/>
        <w:gridCol w:w="170"/>
      </w:tblGrid>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9"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w:t>
            </w:r>
          </w:p>
          <w:p>
            <w:pPr>
              <w:pStyle w:val="TableContents"/>
              <w:bidi w:val="0"/>
              <w:spacing w:before="0" w:after="0"/>
              <w:jc w:val="center"/>
              <w:rPr>
                <w:b/>
                <w:spacing w:val="0"/>
              </w:rPr>
            </w:pPr>
            <w:r>
              <w:rPr>
                <w:b/>
                <w:spacing w:val="0"/>
              </w:rPr>
              <w:t>31</w:t>
            </w:r>
          </w:p>
          <w:p>
            <w:pPr>
              <w:pStyle w:val="TableContents"/>
              <w:bidi w:val="0"/>
              <w:spacing w:before="0" w:after="0"/>
              <w:jc w:val="center"/>
              <w:rPr>
                <w:b/>
                <w:spacing w:val="0"/>
              </w:rPr>
            </w:pPr>
            <w:r>
              <w:rPr>
                <w:b/>
                <w:spacing w:val="0"/>
              </w:rPr>
              <w:t>,</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691"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0"/>
              <w:jc w:val="center"/>
              <w:rPr>
                <w:b/>
                <w:spacing w:val="0"/>
              </w:rPr>
            </w:pPr>
            <w:r>
              <w:rPr>
                <w:b/>
                <w:spacing w:val="0"/>
              </w:rPr>
              <w:t>RMB</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0"/>
              <w:jc w:val="center"/>
              <w:rPr>
                <w:b/>
                <w:spacing w:val="0"/>
              </w:rPr>
            </w:pPr>
            <w:r>
              <w:rPr>
                <w:b/>
                <w:spacing w:val="0"/>
              </w:rPr>
              <w:t>RMB</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92" w:type="dxa"/>
            <w:gridSpan w:val="2"/>
            <w:tcBorders/>
            <w:vAlign w:val="center"/>
          </w:tcPr>
          <w:p>
            <w:pPr>
              <w:pStyle w:val="TableContents"/>
              <w:bidi w:val="0"/>
              <w:spacing w:before="0" w:after="0"/>
              <w:jc w:val="center"/>
              <w:rPr>
                <w:b/>
                <w:spacing w:val="0"/>
              </w:rPr>
            </w:pPr>
            <w:r>
              <w:rPr>
                <w:b/>
                <w:spacing w:val="0"/>
              </w:rPr>
              <w:t>RMB</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87"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tax expenses applicable to PRC operations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51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income tax expenses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181</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281</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2,297</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right"/>
              <w:rPr/>
            </w:pPr>
            <w:r>
              <w:rPr/>
              <w:t>329</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 benefits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(6,969</w:t>
            </w:r>
          </w:p>
        </w:tc>
        <w:tc>
          <w:tcPr>
            <w:tcW w:w="176"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pPr>
            <w:r>
              <w:rPr/>
              <w:t>(997</w:t>
            </w:r>
          </w:p>
        </w:tc>
        <w:tc>
          <w:tcPr>
            <w:tcW w:w="170" w:type="dxa"/>
            <w:tcBorders/>
            <w:shd w:fill="CCEEFF" w:val="clear"/>
            <w:vAlign w:val="center"/>
          </w:tcPr>
          <w:p>
            <w:pPr>
              <w:pStyle w:val="TableContents"/>
              <w:bidi w:val="0"/>
              <w:spacing w:before="0" w:after="283"/>
              <w:jc w:val="left"/>
              <w:rPr/>
            </w:pPr>
            <w:r>
              <w:rPr/>
              <w:t>)</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7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5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Subtotal income tax expenses (benefits) applicable to PRC operations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181</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281</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(4,672</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right"/>
              <w:rPr/>
            </w:pPr>
            <w:r>
              <w:rPr/>
              <w:t>(668</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7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5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expenses applicable to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Non-PRC</w:t>
            </w:r>
          </w:p>
          <w:p>
            <w:pPr>
              <w:pStyle w:val="TableContents"/>
              <w:bidi w:val="0"/>
              <w:spacing w:before="0" w:after="0"/>
              <w:jc w:val="left"/>
              <w:rPr>
                <w:rFonts w:ascii="Times New Roman" w:hAnsi="Times New Roman"/>
                <w:b/>
                <w:sz w:val="20"/>
              </w:rPr>
            </w:pPr>
            <w:r>
              <w:rPr>
                <w:rFonts w:ascii="Times New Roman" w:hAnsi="Times New Roman"/>
                <w:b/>
                <w:sz w:val="20"/>
              </w:rPr>
              <w:t>operations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510" w:type="dxa"/>
            <w:tcBorders/>
            <w:shd w:fill="CCEEFF" w:val="clear"/>
            <w:vAlign w:val="center"/>
          </w:tcPr>
          <w:p>
            <w:pPr>
              <w:pStyle w:val="TableContents"/>
              <w:bidi w:val="0"/>
              <w:spacing w:before="0" w:after="283"/>
              <w:jc w:val="left"/>
              <w:rPr>
                <w:sz w:val="4"/>
                <w:szCs w:val="4"/>
              </w:rPr>
            </w:pPr>
            <w:r>
              <w:rPr>
                <w:sz w:val="4"/>
                <w:szCs w:val="4"/>
              </w:rPr>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724"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sz w:val="4"/>
                <w:szCs w:val="4"/>
              </w:rPr>
            </w:pPr>
            <w:r>
              <w:rPr>
                <w:sz w:val="4"/>
                <w:szCs w:val="4"/>
              </w:rPr>
            </w:r>
          </w:p>
        </w:tc>
        <w:tc>
          <w:tcPr>
            <w:tcW w:w="519"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income tax expenses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25</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105</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right"/>
              <w:rPr/>
            </w:pPr>
            <w:r>
              <w:rPr/>
              <w:t>263</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right"/>
              <w:rPr/>
            </w:pPr>
            <w:r>
              <w:rPr/>
              <w:t>38</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7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5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Subtotal income tax expenses applicable to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Non-PRC</w:t>
            </w:r>
          </w:p>
          <w:p>
            <w:pPr>
              <w:pStyle w:val="TableContents"/>
              <w:bidi w:val="0"/>
              <w:spacing w:before="0" w:after="0"/>
              <w:jc w:val="left"/>
              <w:rPr>
                <w:rFonts w:ascii="Times New Roman" w:hAnsi="Times New Roman"/>
                <w:b/>
                <w:sz w:val="20"/>
              </w:rPr>
            </w:pPr>
            <w:r>
              <w:rPr>
                <w:rFonts w:ascii="Times New Roman" w:hAnsi="Times New Roman"/>
                <w:b/>
                <w:sz w:val="20"/>
              </w:rPr>
              <w:t>operations</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25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105</w:t>
            </w:r>
          </w:p>
        </w:tc>
        <w:tc>
          <w:tcPr>
            <w:tcW w:w="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24" w:type="dxa"/>
            <w:tcBorders/>
            <w:shd w:fill="CCEEFF" w:val="clear"/>
            <w:vAlign w:val="center"/>
          </w:tcPr>
          <w:p>
            <w:pPr>
              <w:pStyle w:val="TableContents"/>
              <w:bidi w:val="0"/>
              <w:spacing w:before="0" w:after="283"/>
              <w:jc w:val="right"/>
              <w:rPr/>
            </w:pPr>
            <w:r>
              <w:rPr/>
              <w:t>263</w:t>
            </w:r>
          </w:p>
        </w:tc>
        <w:tc>
          <w:tcPr>
            <w:tcW w:w="17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pPr>
            <w:r>
              <w:rPr/>
              <w:t>38</w:t>
            </w:r>
          </w:p>
        </w:tc>
        <w:tc>
          <w:tcPr>
            <w:tcW w:w="170"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7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single" w:sz="2" w:space="1" w:color="000000"/>
              </w:rPr>
            </w:pPr>
            <w:r>
              <w:rPr>
                <w:bdr w:val="single" w:sz="2" w:space="1" w:color="000000"/>
              </w:rPr>
              <w:t> </w:t>
            </w:r>
          </w:p>
        </w:tc>
        <w:tc>
          <w:tcPr>
            <w:tcW w:w="5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income tax expenses (benefits)</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510" w:type="dxa"/>
            <w:tcBorders/>
            <w:vAlign w:val="center"/>
          </w:tcPr>
          <w:p>
            <w:pPr>
              <w:pStyle w:val="TableContents"/>
              <w:bidi w:val="0"/>
              <w:spacing w:before="0" w:after="0"/>
              <w:jc w:val="right"/>
              <w:rPr>
                <w:b/>
                <w:spacing w:val="0"/>
              </w:rPr>
            </w:pPr>
            <w:r>
              <w:rPr>
                <w:b/>
                <w:spacing w:val="0"/>
              </w:rPr>
              <w:t>206</w:t>
            </w:r>
          </w:p>
        </w:tc>
        <w:tc>
          <w:tcPr>
            <w:tcW w:w="68" w:type="dxa"/>
            <w:tcBorders/>
            <w:vAlign w:val="center"/>
          </w:tcPr>
          <w:p>
            <w:pPr>
              <w:pStyle w:val="TableContents"/>
              <w:bidi w:val="0"/>
              <w:spacing w:before="0" w:after="0"/>
              <w:jc w:val="left"/>
              <w:rPr>
                <w:spacing w:val="0"/>
              </w:rPr>
            </w:pPr>
            <w:r>
              <w:rPr>
                <w:spacing w:val="0"/>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510" w:type="dxa"/>
            <w:tcBorders/>
            <w:vAlign w:val="center"/>
          </w:tcPr>
          <w:p>
            <w:pPr>
              <w:pStyle w:val="TableContents"/>
              <w:bidi w:val="0"/>
              <w:spacing w:before="0" w:after="0"/>
              <w:jc w:val="right"/>
              <w:rPr>
                <w:b/>
                <w:spacing w:val="0"/>
              </w:rPr>
            </w:pPr>
            <w:r>
              <w:rPr>
                <w:b/>
                <w:spacing w:val="0"/>
              </w:rPr>
              <w:t>386</w:t>
            </w:r>
          </w:p>
        </w:tc>
        <w:tc>
          <w:tcPr>
            <w:tcW w:w="68" w:type="dxa"/>
            <w:tcBorders/>
            <w:vAlign w:val="center"/>
          </w:tcPr>
          <w:p>
            <w:pPr>
              <w:pStyle w:val="TableContents"/>
              <w:bidi w:val="0"/>
              <w:spacing w:before="0" w:after="0"/>
              <w:jc w:val="left"/>
              <w:rPr>
                <w:spacing w:val="0"/>
              </w:rPr>
            </w:pPr>
            <w:r>
              <w:rPr>
                <w:spacing w:val="0"/>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spacing w:val="0"/>
              </w:rPr>
            </w:pPr>
            <w:r>
              <w:rPr>
                <w:spacing w:val="0"/>
              </w:rPr>
              <w:t> </w:t>
            </w:r>
          </w:p>
        </w:tc>
        <w:tc>
          <w:tcPr>
            <w:tcW w:w="724" w:type="dxa"/>
            <w:tcBorders/>
            <w:vAlign w:val="center"/>
          </w:tcPr>
          <w:p>
            <w:pPr>
              <w:pStyle w:val="TableContents"/>
              <w:bidi w:val="0"/>
              <w:spacing w:before="0" w:after="0"/>
              <w:jc w:val="right"/>
              <w:rPr>
                <w:b/>
                <w:spacing w:val="0"/>
              </w:rPr>
            </w:pPr>
            <w:r>
              <w:rPr>
                <w:b/>
                <w:spacing w:val="0"/>
              </w:rPr>
              <w:t>(4,409</w:t>
            </w:r>
          </w:p>
        </w:tc>
        <w:tc>
          <w:tcPr>
            <w:tcW w:w="176" w:type="dxa"/>
            <w:tcBorders/>
            <w:vAlign w:val="center"/>
          </w:tcPr>
          <w:p>
            <w:pPr>
              <w:pStyle w:val="TableContents"/>
              <w:bidi w:val="0"/>
              <w:spacing w:before="0" w:after="0"/>
              <w:jc w:val="left"/>
              <w:rPr>
                <w:b/>
                <w:spacing w:val="0"/>
              </w:rPr>
            </w:pPr>
            <w:r>
              <w:rPr>
                <w:b/>
                <w:spacing w:val="0"/>
              </w:rPr>
              <w:t>)</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spacing w:val="0"/>
              </w:rPr>
            </w:pPr>
            <w:r>
              <w:rPr>
                <w:spacing w:val="0"/>
              </w:rPr>
              <w:t> </w:t>
            </w:r>
          </w:p>
        </w:tc>
        <w:tc>
          <w:tcPr>
            <w:tcW w:w="519" w:type="dxa"/>
            <w:tcBorders/>
            <w:vAlign w:val="center"/>
          </w:tcPr>
          <w:p>
            <w:pPr>
              <w:pStyle w:val="TableContents"/>
              <w:bidi w:val="0"/>
              <w:spacing w:before="0" w:after="0"/>
              <w:jc w:val="right"/>
              <w:rPr>
                <w:b/>
                <w:spacing w:val="0"/>
              </w:rPr>
            </w:pPr>
            <w:r>
              <w:rPr>
                <w:b/>
                <w:spacing w:val="0"/>
              </w:rPr>
              <w:t>(630</w:t>
            </w:r>
          </w:p>
        </w:tc>
        <w:tc>
          <w:tcPr>
            <w:tcW w:w="170" w:type="dxa"/>
            <w:tcBorders/>
            <w:vAlign w:val="center"/>
          </w:tcPr>
          <w:p>
            <w:pPr>
              <w:pStyle w:val="TableContents"/>
              <w:bidi w:val="0"/>
              <w:spacing w:before="0" w:after="0"/>
              <w:jc w:val="left"/>
              <w:rPr>
                <w:b/>
                <w:spacing w:val="0"/>
              </w:rPr>
            </w:pPr>
            <w:r>
              <w:rPr>
                <w:b/>
                <w:spacing w:val="0"/>
              </w:rPr>
              <w:t>)</w:t>
            </w:r>
          </w:p>
        </w:tc>
      </w:tr>
      <w:tr>
        <w:trPr/>
        <w:tc>
          <w:tcPr>
            <w:tcW w:w="58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510" w:type="dxa"/>
            <w:tcBorders/>
            <w:vAlign w:val="center"/>
          </w:tcPr>
          <w:p>
            <w:pPr>
              <w:pStyle w:val="TableContents"/>
              <w:bidi w:val="0"/>
              <w:spacing w:before="0" w:after="0"/>
              <w:jc w:val="left"/>
              <w:rPr>
                <w:bdr w:val="double" w:sz="6" w:space="1" w:color="000000"/>
              </w:rPr>
            </w:pPr>
            <w:r>
              <w:rPr>
                <w:bdr w:val="double" w:sz="6"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510" w:type="dxa"/>
            <w:tcBorders/>
            <w:vAlign w:val="center"/>
          </w:tcPr>
          <w:p>
            <w:pPr>
              <w:pStyle w:val="TableContents"/>
              <w:bidi w:val="0"/>
              <w:spacing w:before="0" w:after="0"/>
              <w:jc w:val="left"/>
              <w:rPr>
                <w:bdr w:val="double" w:sz="6" w:space="1" w:color="000000"/>
              </w:rPr>
            </w:pPr>
            <w:r>
              <w:rPr>
                <w:bdr w:val="double" w:sz="6" w:space="1" w:color="000000"/>
              </w:rPr>
              <w:t> </w:t>
            </w:r>
          </w:p>
        </w:tc>
        <w:tc>
          <w:tcPr>
            <w:tcW w:w="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7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bdr w:val="double" w:sz="6" w:space="1" w:color="000000"/>
              </w:rPr>
            </w:pPr>
            <w:r>
              <w:rPr>
                <w:bdr w:val="double" w:sz="6" w:space="1" w:color="000000"/>
              </w:rPr>
              <w:t> </w:t>
            </w:r>
          </w:p>
        </w:tc>
        <w:tc>
          <w:tcPr>
            <w:tcW w:w="519"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adoption of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240" w:after="0"/>
        <w:jc w:val="left"/>
        <w:rPr>
          <w:rFonts w:ascii="Times New Roman" w:hAnsi="Times New Roman"/>
          <w:sz w:val="20"/>
        </w:rPr>
      </w:pPr>
      <w:r>
        <w:rPr>
          <w:rFonts w:ascii="Times New Roman" w:hAnsi="Times New Roman"/>
          <w:sz w:val="20"/>
        </w:rPr>
        <w:t xml:space="preserve">Improvements to Income Tax Disclosures, reconciliations of the income tax expenses (benefits) computed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by </w:t>
      </w:r>
    </w:p>
    <w:p>
      <w:pPr>
        <w:pStyle w:val="TextBody"/>
        <w:bidi w:val="0"/>
        <w:spacing w:before="240" w:after="0"/>
        <w:jc w:val="left"/>
        <w:rPr>
          <w:rFonts w:ascii="Times New Roman" w:hAnsi="Times New Roman"/>
          <w:sz w:val="20"/>
        </w:rPr>
      </w:pPr>
      <w:r>
        <w:rPr>
          <w:rFonts w:ascii="Times New Roman" w:hAnsi="Times New Roman"/>
          <w:sz w:val="20"/>
        </w:rPr>
        <w:t xml:space="preserve">applying the PRC statutory income tax rate of 25% to the Group’s income tax expenses (benefits)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w:t>
      </w:r>
    </w:p>
    <w:p>
      <w:pPr>
        <w:pStyle w:val="TextBody"/>
        <w:bidi w:val="0"/>
        <w:spacing w:before="240" w:after="0"/>
        <w:jc w:val="left"/>
        <w:rPr>
          <w:rFonts w:ascii="Times New Roman" w:hAnsi="Times New Roman"/>
          <w:sz w:val="20"/>
        </w:rPr>
      </w:pPr>
      <w:r>
        <w:rPr>
          <w:rFonts w:ascii="Times New Roman" w:hAnsi="Times New Roman"/>
          <w:sz w:val="20"/>
        </w:rPr>
        <w:t xml:space="preserve">the year ended December 31, 2025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is </w:t>
      </w:r>
    </w:p>
    <w:p>
      <w:pPr>
        <w:pStyle w:val="TextBody"/>
        <w:bidi w:val="0"/>
        <w:spacing w:before="240" w:after="0"/>
        <w:jc w:val="left"/>
        <w:rPr>
          <w:rFonts w:ascii="Times New Roman" w:hAnsi="Times New Roman"/>
          <w:sz w:val="20"/>
        </w:rPr>
      </w:pPr>
      <w:r>
        <w:rPr>
          <w:rFonts w:ascii="Times New Roman" w:hAnsi="Times New Roman"/>
          <w:sz w:val="20"/>
        </w:rPr>
        <w:t xml:space="preserve">presented as follows: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800"/>
        <w:gridCol w:w="120"/>
        <w:gridCol w:w="86"/>
        <w:gridCol w:w="1082"/>
        <w:gridCol w:w="222"/>
        <w:gridCol w:w="172"/>
        <w:gridCol w:w="86"/>
        <w:gridCol w:w="1082"/>
        <w:gridCol w:w="222"/>
        <w:gridCol w:w="172"/>
        <w:gridCol w:w="86"/>
        <w:gridCol w:w="740"/>
        <w:gridCol w:w="335"/>
      </w:tblGrid>
      <w:tr>
        <w:trPr/>
        <w:tc>
          <w:tcPr>
            <w:tcW w:w="5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50" w:type="dxa"/>
            <w:gridSpan w:val="10"/>
            <w:tcBorders/>
            <w:vAlign w:val="center"/>
          </w:tcPr>
          <w:p>
            <w:pPr>
              <w:pStyle w:val="TableContents"/>
              <w:bidi w:val="0"/>
              <w:spacing w:before="0" w:after="0"/>
              <w:jc w:val="center"/>
              <w:rPr>
                <w:b/>
                <w:spacing w:val="0"/>
              </w:rPr>
            </w:pPr>
            <w:r>
              <w:rPr>
                <w:b/>
                <w:spacing w:val="0"/>
              </w:rPr>
              <w:t>For the year ended December 31, 2025</w:t>
            </w:r>
          </w:p>
        </w:tc>
        <w:tc>
          <w:tcPr>
            <w:tcW w:w="335" w:type="dxa"/>
            <w:tcBorders/>
            <w:vAlign w:val="center"/>
          </w:tcPr>
          <w:p>
            <w:pPr>
              <w:pStyle w:val="TableContents"/>
              <w:bidi w:val="0"/>
              <w:spacing w:before="0" w:after="0"/>
              <w:jc w:val="left"/>
              <w:rPr>
                <w:spacing w:val="0"/>
              </w:rPr>
            </w:pPr>
            <w:r>
              <w:rPr>
                <w:spacing w:val="0"/>
              </w:rPr>
              <w:t> </w:t>
            </w:r>
          </w:p>
        </w:tc>
      </w:tr>
      <w:tr>
        <w:trPr/>
        <w:tc>
          <w:tcPr>
            <w:tcW w:w="58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30" w:type="dxa"/>
            <w:gridSpan w:val="6"/>
            <w:tcBorders/>
            <w:vAlign w:val="center"/>
          </w:tcPr>
          <w:p>
            <w:pPr>
              <w:pStyle w:val="TableContents"/>
              <w:bidi w:val="0"/>
              <w:spacing w:before="0" w:after="0"/>
              <w:jc w:val="center"/>
              <w:rPr>
                <w:b/>
                <w:spacing w:val="0"/>
              </w:rPr>
            </w:pPr>
            <w:r>
              <w:rPr>
                <w:b/>
                <w:spacing w:val="0"/>
              </w:rPr>
              <w:t>Amount</w:t>
            </w:r>
          </w:p>
        </w:tc>
        <w:tc>
          <w:tcPr>
            <w:tcW w:w="222" w:type="dxa"/>
            <w:tcBorders/>
            <w:vAlign w:val="center"/>
          </w:tcPr>
          <w:p>
            <w:pPr>
              <w:pStyle w:val="TableContents"/>
              <w:bidi w:val="0"/>
              <w:spacing w:before="0" w:after="0"/>
              <w:jc w:val="left"/>
              <w:rPr>
                <w:spacing w:val="0"/>
              </w:rPr>
            </w:pPr>
            <w:r>
              <w:rPr>
                <w:spacing w:val="0"/>
              </w:rPr>
              <w:t> </w:t>
            </w:r>
          </w:p>
        </w:tc>
        <w:tc>
          <w:tcPr>
            <w:tcW w:w="172" w:type="dxa"/>
            <w:tcBorders/>
            <w:vAlign w:val="center"/>
          </w:tcPr>
          <w:p>
            <w:pPr>
              <w:pStyle w:val="TableContents"/>
              <w:bidi w:val="0"/>
              <w:spacing w:before="0" w:after="0"/>
              <w:jc w:val="left"/>
              <w:rPr>
                <w:spacing w:val="0"/>
              </w:rPr>
            </w:pPr>
            <w:r>
              <w:rPr>
                <w:spacing w:val="0"/>
              </w:rPr>
              <w:t>  </w:t>
            </w:r>
          </w:p>
        </w:tc>
        <w:tc>
          <w:tcPr>
            <w:tcW w:w="826" w:type="dxa"/>
            <w:gridSpan w:val="2"/>
            <w:tcBorders/>
            <w:vAlign w:val="center"/>
          </w:tcPr>
          <w:p>
            <w:pPr>
              <w:pStyle w:val="TableContents"/>
              <w:bidi w:val="0"/>
              <w:spacing w:before="0" w:after="0"/>
              <w:jc w:val="center"/>
              <w:rPr>
                <w:b/>
                <w:spacing w:val="0"/>
              </w:rPr>
            </w:pPr>
            <w:r>
              <w:rPr>
                <w:b/>
                <w:spacing w:val="0"/>
              </w:rPr>
              <w:t>Percent</w:t>
            </w:r>
          </w:p>
        </w:tc>
        <w:tc>
          <w:tcPr>
            <w:tcW w:w="335" w:type="dxa"/>
            <w:tcBorders/>
            <w:vAlign w:val="center"/>
          </w:tcPr>
          <w:p>
            <w:pPr>
              <w:pStyle w:val="TableContents"/>
              <w:bidi w:val="0"/>
              <w:spacing w:before="0" w:after="0"/>
              <w:jc w:val="left"/>
              <w:rPr>
                <w:spacing w:val="0"/>
              </w:rPr>
            </w:pPr>
            <w:r>
              <w:rPr>
                <w:spacing w:val="0"/>
              </w:rPr>
              <w:t> </w:t>
            </w:r>
          </w:p>
        </w:tc>
      </w:tr>
      <w:tr>
        <w:trPr/>
        <w:tc>
          <w:tcPr>
            <w:tcW w:w="58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68" w:type="dxa"/>
            <w:gridSpan w:val="2"/>
            <w:tcBorders/>
            <w:vAlign w:val="center"/>
          </w:tcPr>
          <w:p>
            <w:pPr>
              <w:pStyle w:val="TableContents"/>
              <w:bidi w:val="0"/>
              <w:spacing w:before="0" w:after="0"/>
              <w:jc w:val="center"/>
              <w:rPr>
                <w:b/>
                <w:spacing w:val="0"/>
              </w:rPr>
            </w:pPr>
            <w:r>
              <w:rPr>
                <w:b/>
                <w:spacing w:val="0"/>
              </w:rPr>
              <w:t>RMB</w:t>
            </w:r>
          </w:p>
        </w:tc>
        <w:tc>
          <w:tcPr>
            <w:tcW w:w="222" w:type="dxa"/>
            <w:tcBorders/>
            <w:vAlign w:val="center"/>
          </w:tcPr>
          <w:p>
            <w:pPr>
              <w:pStyle w:val="TableContents"/>
              <w:bidi w:val="0"/>
              <w:spacing w:before="0" w:after="0"/>
              <w:jc w:val="left"/>
              <w:rPr>
                <w:spacing w:val="0"/>
              </w:rPr>
            </w:pPr>
            <w:r>
              <w:rPr>
                <w:spacing w:val="0"/>
              </w:rPr>
              <w:t> </w:t>
            </w:r>
          </w:p>
        </w:tc>
        <w:tc>
          <w:tcPr>
            <w:tcW w:w="172" w:type="dxa"/>
            <w:tcBorders/>
            <w:vAlign w:val="center"/>
          </w:tcPr>
          <w:p>
            <w:pPr>
              <w:pStyle w:val="TableContents"/>
              <w:bidi w:val="0"/>
              <w:spacing w:before="0" w:after="0"/>
              <w:jc w:val="left"/>
              <w:rPr>
                <w:spacing w:val="0"/>
              </w:rPr>
            </w:pPr>
            <w:r>
              <w:rPr>
                <w:spacing w:val="0"/>
              </w:rPr>
              <w:t>  </w:t>
            </w:r>
          </w:p>
        </w:tc>
        <w:tc>
          <w:tcPr>
            <w:tcW w:w="1168" w:type="dxa"/>
            <w:gridSpan w:val="2"/>
            <w:tcBorders/>
            <w:vAlign w:val="center"/>
          </w:tcPr>
          <w:p>
            <w:pPr>
              <w:pStyle w:val="TableContents"/>
              <w:bidi w:val="0"/>
              <w:spacing w:before="0" w:after="0"/>
              <w:jc w:val="center"/>
              <w:rPr>
                <w:b/>
                <w:spacing w:val="0"/>
              </w:rPr>
            </w:pPr>
            <w:r>
              <w:rPr>
                <w:b/>
                <w:spacing w:val="0"/>
              </w:rPr>
              <w:t>US$</w:t>
            </w:r>
          </w:p>
        </w:tc>
        <w:tc>
          <w:tcPr>
            <w:tcW w:w="222" w:type="dxa"/>
            <w:tcBorders/>
            <w:vAlign w:val="center"/>
          </w:tcPr>
          <w:p>
            <w:pPr>
              <w:pStyle w:val="TableContents"/>
              <w:bidi w:val="0"/>
              <w:spacing w:before="0" w:after="0"/>
              <w:jc w:val="left"/>
              <w:rPr>
                <w:spacing w:val="0"/>
              </w:rPr>
            </w:pPr>
            <w:r>
              <w:rPr>
                <w:spacing w:val="0"/>
              </w:rPr>
              <w:t> </w:t>
            </w:r>
          </w:p>
        </w:tc>
        <w:tc>
          <w:tcPr>
            <w:tcW w:w="172" w:type="dxa"/>
            <w:tcBorders/>
            <w:vAlign w:val="center"/>
          </w:tcPr>
          <w:p>
            <w:pPr>
              <w:pStyle w:val="TableContents"/>
              <w:bidi w:val="0"/>
              <w:spacing w:before="0" w:after="0"/>
              <w:jc w:val="left"/>
              <w:rPr>
                <w:spacing w:val="0"/>
              </w:rPr>
            </w:pPr>
            <w:r>
              <w:rPr>
                <w:spacing w:val="0"/>
              </w:rPr>
              <w:t>  </w:t>
            </w:r>
          </w:p>
        </w:tc>
        <w:tc>
          <w:tcPr>
            <w:tcW w:w="826" w:type="dxa"/>
            <w:gridSpan w:val="2"/>
            <w:tcBorders/>
            <w:vAlign w:val="center"/>
          </w:tcPr>
          <w:p>
            <w:pPr>
              <w:pStyle w:val="TableContents"/>
              <w:bidi w:val="0"/>
              <w:spacing w:before="0" w:after="0"/>
              <w:jc w:val="left"/>
              <w:rPr>
                <w:spacing w:val="0"/>
              </w:rPr>
            </w:pPr>
            <w:r>
              <w:rPr>
                <w:spacing w:val="0"/>
              </w:rPr>
              <w:t> </w:t>
            </w:r>
          </w:p>
        </w:tc>
        <w:tc>
          <w:tcPr>
            <w:tcW w:w="335" w:type="dxa"/>
            <w:tcBorders/>
            <w:vAlign w:val="center"/>
          </w:tcPr>
          <w:p>
            <w:pPr>
              <w:pStyle w:val="TableContents"/>
              <w:bidi w:val="0"/>
              <w:spacing w:before="0" w:after="0"/>
              <w:jc w:val="left"/>
              <w:rPr>
                <w:spacing w:val="0"/>
              </w:rPr>
            </w:pPr>
            <w:r>
              <w:rPr>
                <w:spacing w:val="0"/>
              </w:rPr>
              <w:t> </w:t>
            </w:r>
          </w:p>
        </w:tc>
      </w:tr>
      <w:tr>
        <w:trPr/>
        <w:tc>
          <w:tcPr>
            <w:tcW w:w="580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Income tax benefits at PRC statutory tax rate of 25%</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082" w:type="dxa"/>
            <w:tcBorders/>
            <w:shd w:fill="CCEEFF" w:val="clear"/>
            <w:vAlign w:val="center"/>
          </w:tcPr>
          <w:p>
            <w:pPr>
              <w:pStyle w:val="TableContents"/>
              <w:bidi w:val="0"/>
              <w:spacing w:before="0" w:after="0"/>
              <w:jc w:val="right"/>
              <w:rPr>
                <w:b/>
                <w:spacing w:val="0"/>
              </w:rPr>
            </w:pPr>
            <w:r>
              <w:rPr>
                <w:b/>
                <w:spacing w:val="0"/>
              </w:rPr>
              <w:t>(70,205</w:t>
            </w:r>
          </w:p>
        </w:tc>
        <w:tc>
          <w:tcPr>
            <w:tcW w:w="222" w:type="dxa"/>
            <w:tcBorders/>
            <w:shd w:fill="CCEEFF" w:val="clear"/>
            <w:vAlign w:val="center"/>
          </w:tcPr>
          <w:p>
            <w:pPr>
              <w:pStyle w:val="TableContents"/>
              <w:bidi w:val="0"/>
              <w:spacing w:before="0" w:after="0"/>
              <w:jc w:val="left"/>
              <w:rPr>
                <w:b/>
                <w:spacing w:val="0"/>
              </w:rPr>
            </w:pPr>
            <w:r>
              <w:rPr>
                <w:b/>
                <w:spacing w:val="0"/>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082" w:type="dxa"/>
            <w:tcBorders/>
            <w:shd w:fill="CCEEFF" w:val="clear"/>
            <w:vAlign w:val="center"/>
          </w:tcPr>
          <w:p>
            <w:pPr>
              <w:pStyle w:val="TableContents"/>
              <w:bidi w:val="0"/>
              <w:spacing w:before="0" w:after="0"/>
              <w:jc w:val="right"/>
              <w:rPr>
                <w:b/>
                <w:spacing w:val="0"/>
              </w:rPr>
            </w:pPr>
            <w:r>
              <w:rPr>
                <w:b/>
                <w:spacing w:val="0"/>
              </w:rPr>
              <w:t>(10,039</w:t>
            </w:r>
          </w:p>
        </w:tc>
        <w:tc>
          <w:tcPr>
            <w:tcW w:w="222" w:type="dxa"/>
            <w:tcBorders/>
            <w:shd w:fill="CCEEFF" w:val="clear"/>
            <w:vAlign w:val="center"/>
          </w:tcPr>
          <w:p>
            <w:pPr>
              <w:pStyle w:val="TableContents"/>
              <w:bidi w:val="0"/>
              <w:spacing w:before="0" w:after="0"/>
              <w:jc w:val="left"/>
              <w:rPr>
                <w:b/>
                <w:spacing w:val="0"/>
              </w:rPr>
            </w:pPr>
            <w:r>
              <w:rPr>
                <w:b/>
                <w:spacing w:val="0"/>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740" w:type="dxa"/>
            <w:tcBorders/>
            <w:shd w:fill="CCEEFF" w:val="clear"/>
            <w:vAlign w:val="center"/>
          </w:tcPr>
          <w:p>
            <w:pPr>
              <w:pStyle w:val="TableContents"/>
              <w:bidi w:val="0"/>
              <w:spacing w:before="0" w:after="0"/>
              <w:jc w:val="right"/>
              <w:rPr>
                <w:b/>
                <w:spacing w:val="0"/>
              </w:rPr>
            </w:pPr>
            <w:r>
              <w:rPr>
                <w:b/>
                <w:spacing w:val="0"/>
              </w:rPr>
              <w:t>25.0</w:t>
            </w:r>
          </w:p>
        </w:tc>
        <w:tc>
          <w:tcPr>
            <w:tcW w:w="335" w:type="dxa"/>
            <w:tcBorders/>
            <w:shd w:fill="CCEEFF" w:val="clear"/>
            <w:vAlign w:val="center"/>
          </w:tcPr>
          <w:p>
            <w:pPr>
              <w:pStyle w:val="TableContents"/>
              <w:bidi w:val="0"/>
              <w:spacing w:before="0" w:after="0"/>
              <w:jc w:val="left"/>
              <w:rPr>
                <w:b/>
                <w:spacing w:val="0"/>
              </w:rPr>
            </w:pPr>
            <w:r>
              <w:rPr>
                <w:b/>
                <w:spacing w:val="0"/>
              </w:rPr>
              <w:t>% </w:t>
            </w:r>
          </w:p>
        </w:tc>
      </w:tr>
      <w:tr>
        <w:trPr/>
        <w:tc>
          <w:tcPr>
            <w:tcW w:w="58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jurisdictions tax effects</w:t>
            </w:r>
          </w:p>
        </w:tc>
        <w:tc>
          <w:tcPr>
            <w:tcW w:w="1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sz w:val="4"/>
                <w:szCs w:val="4"/>
              </w:rPr>
            </w:pPr>
            <w:r>
              <w:rPr>
                <w:sz w:val="4"/>
                <w:szCs w:val="4"/>
              </w:rPr>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sz w:val="4"/>
                <w:szCs w:val="4"/>
              </w:rPr>
            </w:pPr>
            <w:r>
              <w:rPr>
                <w:sz w:val="4"/>
                <w:szCs w:val="4"/>
              </w:rPr>
            </w:r>
          </w:p>
        </w:tc>
        <w:tc>
          <w:tcPr>
            <w:tcW w:w="1082"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sz w:val="4"/>
                <w:szCs w:val="4"/>
              </w:rPr>
            </w:pPr>
            <w:r>
              <w:rPr>
                <w:sz w:val="4"/>
                <w:szCs w:val="4"/>
              </w:rPr>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sz w:val="4"/>
                <w:szCs w:val="4"/>
              </w:rPr>
            </w:pPr>
            <w:r>
              <w:rPr>
                <w:sz w:val="4"/>
                <w:szCs w:val="4"/>
              </w:rPr>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r>
      <w:tr>
        <w:trPr/>
        <w:tc>
          <w:tcPr>
            <w:tcW w:w="58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Cayman</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different tax rates in different jurisdictions</w:t>
            </w:r>
          </w:p>
        </w:tc>
        <w:tc>
          <w:tcPr>
            <w:tcW w:w="1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(2,055</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(294</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0.7</w:t>
            </w:r>
          </w:p>
        </w:tc>
        <w:tc>
          <w:tcPr>
            <w:tcW w:w="335" w:type="dxa"/>
            <w:tcBorders/>
            <w:shd w:fill="FFFFFF" w:val="clear"/>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 jurisdictions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92</w:t>
            </w:r>
          </w:p>
        </w:tc>
        <w:tc>
          <w:tcPr>
            <w:tcW w:w="22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13</w:t>
            </w:r>
          </w:p>
        </w:tc>
        <w:tc>
          <w:tcPr>
            <w:tcW w:w="22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335"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Change in valuation allowance</w:t>
            </w:r>
          </w:p>
        </w:tc>
        <w:tc>
          <w:tcPr>
            <w:tcW w:w="1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18,812</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2,690</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(6.7</w:t>
            </w:r>
          </w:p>
        </w:tc>
        <w:tc>
          <w:tcPr>
            <w:tcW w:w="335" w:type="dxa"/>
            <w:tcBorders/>
            <w:shd w:fill="FFFFFF" w:val="clear"/>
            <w:vAlign w:val="center"/>
          </w:tcPr>
          <w:p>
            <w:pPr>
              <w:pStyle w:val="TableContents"/>
              <w:bidi w:val="0"/>
              <w:spacing w:before="0" w:after="283"/>
              <w:jc w:val="left"/>
              <w:rPr/>
            </w:pPr>
            <w:r>
              <w:rPr/>
              <w:t>)</w:t>
            </w:r>
          </w:p>
        </w:tc>
      </w:tr>
      <w:tr>
        <w:trPr/>
        <w:tc>
          <w:tcPr>
            <w:tcW w:w="58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Nontaxable or non-deductible items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36,605</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5,234</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(13.0</w:t>
            </w:r>
          </w:p>
        </w:tc>
        <w:tc>
          <w:tcPr>
            <w:tcW w:w="335" w:type="dxa"/>
            <w:tcBorders/>
            <w:shd w:fill="FFFFFF" w:val="clear"/>
            <w:vAlign w:val="center"/>
          </w:tcPr>
          <w:p>
            <w:pPr>
              <w:pStyle w:val="TableContents"/>
              <w:bidi w:val="0"/>
              <w:spacing w:before="0" w:after="283"/>
              <w:jc w:val="left"/>
              <w:rPr/>
            </w:pPr>
            <w:r>
              <w:rPr/>
              <w:t>)</w:t>
            </w:r>
          </w:p>
        </w:tc>
      </w:tr>
      <w:tr>
        <w:trPr/>
        <w:tc>
          <w:tcPr>
            <w:tcW w:w="5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deduction for qualified R&amp;D expenses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(19,822</w:t>
            </w:r>
          </w:p>
        </w:tc>
        <w:tc>
          <w:tcPr>
            <w:tcW w:w="222" w:type="dxa"/>
            <w:tcBorders/>
            <w:shd w:fill="CCEEFF" w:val="clear"/>
            <w:vAlign w:val="center"/>
          </w:tcPr>
          <w:p>
            <w:pPr>
              <w:pStyle w:val="TableContents"/>
              <w:bidi w:val="0"/>
              <w:spacing w:before="0" w:after="283"/>
              <w:jc w:val="left"/>
              <w:rPr/>
            </w:pPr>
            <w:r>
              <w:rPr/>
              <w:t>)</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(2,835</w:t>
            </w:r>
          </w:p>
        </w:tc>
        <w:tc>
          <w:tcPr>
            <w:tcW w:w="222" w:type="dxa"/>
            <w:tcBorders/>
            <w:shd w:fill="CCEEFF" w:val="clear"/>
            <w:vAlign w:val="center"/>
          </w:tcPr>
          <w:p>
            <w:pPr>
              <w:pStyle w:val="TableContents"/>
              <w:bidi w:val="0"/>
              <w:spacing w:before="0" w:after="283"/>
              <w:jc w:val="left"/>
              <w:rPr/>
            </w:pPr>
            <w:r>
              <w:rPr/>
              <w:t>)</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7.1</w:t>
            </w:r>
          </w:p>
        </w:tc>
        <w:tc>
          <w:tcPr>
            <w:tcW w:w="335" w:type="dxa"/>
            <w:tcBorders/>
            <w:shd w:fill="CCEEFF"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1,231</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177</w:t>
            </w:r>
          </w:p>
        </w:tc>
        <w:tc>
          <w:tcPr>
            <w:tcW w:w="22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pPr>
            <w:r>
              <w:rPr/>
              <w:t>(0.5</w:t>
            </w:r>
          </w:p>
        </w:tc>
        <w:tc>
          <w:tcPr>
            <w:tcW w:w="335" w:type="dxa"/>
            <w:tcBorders/>
            <w:shd w:fill="FFFFFF" w:val="clear"/>
            <w:vAlign w:val="center"/>
          </w:tcPr>
          <w:p>
            <w:pPr>
              <w:pStyle w:val="TableContents"/>
              <w:bidi w:val="0"/>
              <w:spacing w:before="0" w:after="283"/>
              <w:jc w:val="left"/>
              <w:rPr/>
            </w:pPr>
            <w:r>
              <w:rPr/>
              <w:t>)</w:t>
            </w:r>
          </w:p>
        </w:tc>
      </w:tr>
      <w:tr>
        <w:trPr/>
        <w:tc>
          <w:tcPr>
            <w:tcW w:w="58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Others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1082" w:type="dxa"/>
            <w:tcBorders/>
            <w:shd w:fill="CCEEFF" w:val="clear"/>
            <w:vAlign w:val="center"/>
          </w:tcPr>
          <w:p>
            <w:pPr>
              <w:pStyle w:val="TableContents"/>
              <w:bidi w:val="0"/>
              <w:spacing w:before="0" w:after="283"/>
              <w:jc w:val="left"/>
              <w:rPr>
                <w:sz w:val="4"/>
                <w:szCs w:val="4"/>
              </w:rPr>
            </w:pPr>
            <w:r>
              <w:rPr>
                <w:sz w:val="4"/>
                <w:szCs w:val="4"/>
              </w:rPr>
            </w:r>
          </w:p>
        </w:tc>
        <w:tc>
          <w:tcPr>
            <w:tcW w:w="222"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jc w:val="left"/>
              <w:rPr>
                <w:sz w:val="4"/>
                <w:szCs w:val="4"/>
              </w:rPr>
            </w:pPr>
            <w:r>
              <w:rPr>
                <w:sz w:val="4"/>
                <w:szCs w:val="4"/>
              </w:rPr>
            </w:r>
          </w:p>
        </w:tc>
      </w:tr>
      <w:tr>
        <w:trPr/>
        <w:tc>
          <w:tcPr>
            <w:tcW w:w="580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on adoption of preferential tax rate</w:t>
            </w:r>
          </w:p>
        </w:tc>
        <w:tc>
          <w:tcPr>
            <w:tcW w:w="120" w:type="dxa"/>
            <w:tcBorders/>
            <w:shd w:fill="FFFFFF" w:val="clear"/>
            <w:vAlign w:val="center"/>
          </w:tcPr>
          <w:p>
            <w:pPr>
              <w:pStyle w:val="TableContents"/>
              <w:bidi w:val="0"/>
              <w:spacing w:before="0" w:after="0"/>
              <w:jc w:val="left"/>
              <w:rPr/>
            </w:pPr>
            <w:r>
              <w:rPr/>
              <w:t> </w:t>
            </w:r>
          </w:p>
        </w:tc>
        <w:tc>
          <w:tcPr>
            <w:tcW w:w="86" w:type="dxa"/>
            <w:tcBorders/>
            <w:shd w:fill="FFFFFF" w:val="clear"/>
            <w:vAlign w:val="center"/>
          </w:tcPr>
          <w:p>
            <w:pPr>
              <w:pStyle w:val="TableContents"/>
              <w:bidi w:val="0"/>
              <w:spacing w:before="0" w:after="0"/>
              <w:jc w:val="left"/>
              <w:rPr/>
            </w:pPr>
            <w:r>
              <w:rPr/>
              <w:t> </w:t>
            </w:r>
          </w:p>
        </w:tc>
        <w:tc>
          <w:tcPr>
            <w:tcW w:w="1082" w:type="dxa"/>
            <w:tcBorders/>
            <w:shd w:fill="FFFFFF" w:val="clear"/>
            <w:vAlign w:val="center"/>
          </w:tcPr>
          <w:p>
            <w:pPr>
              <w:pStyle w:val="TableContents"/>
              <w:bidi w:val="0"/>
              <w:spacing w:before="0" w:after="283"/>
              <w:jc w:val="right"/>
              <w:rPr/>
            </w:pPr>
            <w:r>
              <w:rPr/>
              <w:t>30,933</w:t>
            </w:r>
          </w:p>
        </w:tc>
        <w:tc>
          <w:tcPr>
            <w:tcW w:w="222" w:type="dxa"/>
            <w:tcBorders/>
            <w:shd w:fill="FFFFFF" w:val="clear"/>
            <w:vAlign w:val="center"/>
          </w:tcPr>
          <w:p>
            <w:pPr>
              <w:pStyle w:val="TableContents"/>
              <w:bidi w:val="0"/>
              <w:spacing w:before="0" w:after="0"/>
              <w:jc w:val="left"/>
              <w:rPr/>
            </w:pPr>
            <w:r>
              <w:rPr/>
              <w:t> </w:t>
            </w:r>
          </w:p>
        </w:tc>
        <w:tc>
          <w:tcPr>
            <w:tcW w:w="172" w:type="dxa"/>
            <w:tcBorders/>
            <w:shd w:fill="FFFFFF" w:val="clear"/>
            <w:vAlign w:val="center"/>
          </w:tcPr>
          <w:p>
            <w:pPr>
              <w:pStyle w:val="TableContents"/>
              <w:bidi w:val="0"/>
              <w:spacing w:before="0" w:after="0"/>
              <w:jc w:val="left"/>
              <w:rPr/>
            </w:pPr>
            <w:r>
              <w:rPr/>
              <w:t> </w:t>
            </w:r>
          </w:p>
        </w:tc>
        <w:tc>
          <w:tcPr>
            <w:tcW w:w="86" w:type="dxa"/>
            <w:tcBorders/>
            <w:shd w:fill="FFFFFF" w:val="clear"/>
            <w:vAlign w:val="center"/>
          </w:tcPr>
          <w:p>
            <w:pPr>
              <w:pStyle w:val="TableContents"/>
              <w:bidi w:val="0"/>
              <w:spacing w:before="0" w:after="0"/>
              <w:jc w:val="left"/>
              <w:rPr/>
            </w:pPr>
            <w:r>
              <w:rPr/>
              <w:t> </w:t>
            </w:r>
          </w:p>
        </w:tc>
        <w:tc>
          <w:tcPr>
            <w:tcW w:w="1082" w:type="dxa"/>
            <w:tcBorders/>
            <w:shd w:fill="FFFFFF" w:val="clear"/>
            <w:vAlign w:val="center"/>
          </w:tcPr>
          <w:p>
            <w:pPr>
              <w:pStyle w:val="TableContents"/>
              <w:bidi w:val="0"/>
              <w:spacing w:before="0" w:after="283"/>
              <w:jc w:val="right"/>
              <w:rPr/>
            </w:pPr>
            <w:r>
              <w:rPr/>
              <w:t>4,424</w:t>
            </w:r>
          </w:p>
        </w:tc>
        <w:tc>
          <w:tcPr>
            <w:tcW w:w="222" w:type="dxa"/>
            <w:tcBorders/>
            <w:shd w:fill="FFFFFF" w:val="clear"/>
            <w:vAlign w:val="center"/>
          </w:tcPr>
          <w:p>
            <w:pPr>
              <w:pStyle w:val="TableContents"/>
              <w:bidi w:val="0"/>
              <w:spacing w:before="0" w:after="0"/>
              <w:jc w:val="left"/>
              <w:rPr/>
            </w:pPr>
            <w:r>
              <w:rPr/>
              <w:t> </w:t>
            </w:r>
          </w:p>
        </w:tc>
        <w:tc>
          <w:tcPr>
            <w:tcW w:w="172" w:type="dxa"/>
            <w:tcBorders/>
            <w:shd w:fill="FFFFFF" w:val="clear"/>
            <w:vAlign w:val="center"/>
          </w:tcPr>
          <w:p>
            <w:pPr>
              <w:pStyle w:val="TableContents"/>
              <w:bidi w:val="0"/>
              <w:spacing w:before="0" w:after="0"/>
              <w:jc w:val="left"/>
              <w:rPr/>
            </w:pPr>
            <w:r>
              <w:rPr/>
              <w:t> </w:t>
            </w:r>
          </w:p>
        </w:tc>
        <w:tc>
          <w:tcPr>
            <w:tcW w:w="86" w:type="dxa"/>
            <w:tcBorders/>
            <w:shd w:fill="FFFFFF" w:val="clear"/>
            <w:vAlign w:val="center"/>
          </w:tcPr>
          <w:p>
            <w:pPr>
              <w:pStyle w:val="TableContents"/>
              <w:bidi w:val="0"/>
              <w:spacing w:before="0" w:after="0"/>
              <w:jc w:val="left"/>
              <w:rPr/>
            </w:pPr>
            <w:r>
              <w:rPr/>
              <w:t> </w:t>
            </w:r>
          </w:p>
        </w:tc>
        <w:tc>
          <w:tcPr>
            <w:tcW w:w="740" w:type="dxa"/>
            <w:tcBorders/>
            <w:shd w:fill="FFFFFF" w:val="clear"/>
            <w:vAlign w:val="center"/>
          </w:tcPr>
          <w:p>
            <w:pPr>
              <w:pStyle w:val="TableContents"/>
              <w:bidi w:val="0"/>
              <w:spacing w:before="0" w:after="283"/>
              <w:jc w:val="right"/>
              <w:rPr/>
            </w:pPr>
            <w:r>
              <w:rPr/>
              <w:t>(11.0</w:t>
            </w:r>
          </w:p>
        </w:tc>
        <w:tc>
          <w:tcPr>
            <w:tcW w:w="335" w:type="dxa"/>
            <w:tcBorders/>
            <w:shd w:fill="FFFFFF" w:val="clear"/>
            <w:vAlign w:val="center"/>
          </w:tcPr>
          <w:p>
            <w:pPr>
              <w:pStyle w:val="TableContents"/>
              <w:bidi w:val="0"/>
              <w:spacing w:before="0" w:after="0"/>
              <w:jc w:val="left"/>
              <w:rPr>
                <w:spacing w:val="0"/>
              </w:rPr>
            </w:pPr>
            <w:r>
              <w:rPr>
                <w:spacing w:val="0"/>
              </w:rPr>
              <w:t>)</w:t>
            </w:r>
          </w:p>
        </w:tc>
      </w:tr>
      <w:tr>
        <w:trPr/>
        <w:tc>
          <w:tcPr>
            <w:tcW w:w="5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2"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2"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5800" w:type="dxa"/>
            <w:tcBorders/>
            <w:shd w:fill="CCEEFF" w:val="clear"/>
            <w:vAlign w:val="center"/>
          </w:tcPr>
          <w:p>
            <w:pPr>
              <w:pStyle w:val="TableContents"/>
              <w:bidi w:val="0"/>
              <w:spacing w:before="0" w:after="20"/>
              <w:jc w:val="left"/>
              <w:rPr>
                <w:rFonts w:ascii="Times New Roman" w:hAnsi="Times New Roman"/>
                <w:b/>
                <w:sz w:val="20"/>
              </w:rPr>
            </w:pPr>
            <w:r>
              <w:rPr>
                <w:rFonts w:ascii="Times New Roman" w:hAnsi="Times New Roman"/>
                <w:b/>
                <w:sz w:val="20"/>
              </w:rPr>
              <w:t>Income tax expenses (benefits)</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082" w:type="dxa"/>
            <w:tcBorders/>
            <w:shd w:fill="CCEEFF" w:val="clear"/>
            <w:vAlign w:val="center"/>
          </w:tcPr>
          <w:p>
            <w:pPr>
              <w:pStyle w:val="TableContents"/>
              <w:bidi w:val="0"/>
              <w:spacing w:before="0" w:after="0"/>
              <w:jc w:val="right"/>
              <w:rPr>
                <w:b/>
                <w:spacing w:val="0"/>
              </w:rPr>
            </w:pPr>
            <w:r>
              <w:rPr>
                <w:b/>
                <w:spacing w:val="0"/>
              </w:rPr>
              <w:t>(4,409</w:t>
            </w:r>
          </w:p>
        </w:tc>
        <w:tc>
          <w:tcPr>
            <w:tcW w:w="222" w:type="dxa"/>
            <w:tcBorders/>
            <w:shd w:fill="CCEEFF" w:val="clear"/>
            <w:vAlign w:val="center"/>
          </w:tcPr>
          <w:p>
            <w:pPr>
              <w:pStyle w:val="TableContents"/>
              <w:bidi w:val="0"/>
              <w:spacing w:before="0" w:after="0"/>
              <w:jc w:val="left"/>
              <w:rPr>
                <w:b/>
                <w:spacing w:val="0"/>
              </w:rPr>
            </w:pPr>
            <w:r>
              <w:rPr>
                <w:b/>
                <w:spacing w:val="0"/>
              </w:rPr>
              <w:t>)</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082" w:type="dxa"/>
            <w:tcBorders/>
            <w:shd w:fill="CCEEFF" w:val="clear"/>
            <w:vAlign w:val="center"/>
          </w:tcPr>
          <w:p>
            <w:pPr>
              <w:pStyle w:val="TableContents"/>
              <w:bidi w:val="0"/>
              <w:spacing w:before="0" w:after="0"/>
              <w:jc w:val="right"/>
              <w:rPr>
                <w:b/>
                <w:spacing w:val="0"/>
              </w:rPr>
            </w:pPr>
            <w:r>
              <w:rPr>
                <w:b/>
                <w:spacing w:val="0"/>
              </w:rPr>
              <w:t>(630</w:t>
            </w:r>
          </w:p>
        </w:tc>
        <w:tc>
          <w:tcPr>
            <w:tcW w:w="222" w:type="dxa"/>
            <w:tcBorders/>
            <w:shd w:fill="CCEEFF" w:val="clear"/>
            <w:vAlign w:val="center"/>
          </w:tcPr>
          <w:p>
            <w:pPr>
              <w:pStyle w:val="TableContents"/>
              <w:bidi w:val="0"/>
              <w:spacing w:before="0" w:after="0"/>
              <w:jc w:val="left"/>
              <w:rPr>
                <w:b/>
                <w:spacing w:val="0"/>
              </w:rPr>
            </w:pPr>
            <w:r>
              <w:rPr>
                <w:b/>
                <w:spacing w:val="0"/>
              </w:rPr>
              <w:t>)</w:t>
            </w:r>
          </w:p>
        </w:tc>
        <w:tc>
          <w:tcPr>
            <w:tcW w:w="17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740" w:type="dxa"/>
            <w:tcBorders/>
            <w:shd w:fill="CCEEFF" w:val="clear"/>
            <w:vAlign w:val="center"/>
          </w:tcPr>
          <w:p>
            <w:pPr>
              <w:pStyle w:val="TableContents"/>
              <w:bidi w:val="0"/>
              <w:spacing w:before="0" w:after="0"/>
              <w:jc w:val="right"/>
              <w:rPr>
                <w:b/>
                <w:spacing w:val="0"/>
              </w:rPr>
            </w:pPr>
            <w:r>
              <w:rPr>
                <w:b/>
                <w:spacing w:val="0"/>
              </w:rPr>
              <w:t>1.6</w:t>
            </w:r>
          </w:p>
        </w:tc>
        <w:tc>
          <w:tcPr>
            <w:tcW w:w="335" w:type="dxa"/>
            <w:tcBorders/>
            <w:shd w:fill="CCEEFF" w:val="clear"/>
            <w:vAlign w:val="center"/>
          </w:tcPr>
          <w:p>
            <w:pPr>
              <w:pStyle w:val="TableContents"/>
              <w:bidi w:val="0"/>
              <w:spacing w:before="0" w:after="0"/>
              <w:jc w:val="left"/>
              <w:rPr>
                <w:b/>
                <w:spacing w:val="0"/>
              </w:rPr>
            </w:pPr>
            <w:r>
              <w:rPr>
                <w:b/>
                <w:spacing w:val="0"/>
              </w:rPr>
              <w:t>%</w:t>
            </w:r>
          </w:p>
          <w:p>
            <w:pPr>
              <w:pStyle w:val="TableContents"/>
              <w:bidi w:val="0"/>
              <w:spacing w:before="0" w:after="0"/>
              <w:jc w:val="left"/>
              <w:rPr>
                <w:spacing w:val="0"/>
              </w:rPr>
            </w:pPr>
            <w:r>
              <w:rPr>
                <w:spacing w:val="0"/>
              </w:rPr>
              <w:t> </w:t>
            </w:r>
          </w:p>
        </w:tc>
      </w:tr>
      <w:tr>
        <w:trPr/>
        <w:tc>
          <w:tcPr>
            <w:tcW w:w="5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2"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1082" w:type="dxa"/>
            <w:tcBorders/>
            <w:vAlign w:val="center"/>
          </w:tcPr>
          <w:p>
            <w:pPr>
              <w:pStyle w:val="TableContents"/>
              <w:bidi w:val="0"/>
              <w:spacing w:before="0" w:after="0"/>
              <w:jc w:val="left"/>
              <w:rPr>
                <w:bdr w:val="single" w:sz="2" w:space="1" w:color="000000"/>
              </w:rPr>
            </w:pPr>
            <w:r>
              <w:rPr>
                <w:bdr w:val="single" w:sz="2"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740"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5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Effect of preferential tax rate inside the PRC on basic and dilutive loss per share</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right"/>
              <w:rPr/>
            </w:pPr>
            <w:r>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1082" w:type="dxa"/>
            <w:tcBorders/>
            <w:vAlign w:val="center"/>
          </w:tcPr>
          <w:p>
            <w:pPr>
              <w:pStyle w:val="TableContents"/>
              <w:bidi w:val="0"/>
              <w:spacing w:before="0" w:after="0"/>
              <w:jc w:val="left"/>
              <w:rPr>
                <w:bdr w:val="double" w:sz="6" w:space="1" w:color="000000"/>
              </w:rPr>
            </w:pPr>
            <w:r>
              <w:rPr>
                <w:bdr w:val="double" w:sz="6"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1082" w:type="dxa"/>
            <w:tcBorders/>
            <w:vAlign w:val="center"/>
          </w:tcPr>
          <w:p>
            <w:pPr>
              <w:pStyle w:val="TableContents"/>
              <w:bidi w:val="0"/>
              <w:spacing w:before="0" w:after="0"/>
              <w:jc w:val="left"/>
              <w:rPr>
                <w:bdr w:val="double" w:sz="6" w:space="1" w:color="000000"/>
              </w:rPr>
            </w:pPr>
            <w:r>
              <w:rPr>
                <w:bdr w:val="double" w:sz="6" w:space="1" w:color="000000"/>
              </w:rPr>
              <w:t> </w:t>
            </w:r>
          </w:p>
        </w:tc>
        <w:tc>
          <w:tcPr>
            <w:tcW w:w="22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305"/>
        <w:gridCol w:w="9695"/>
      </w:tblGrid>
      <w:tr>
        <w:trPr/>
        <w:tc>
          <w:tcPr>
            <w:tcW w:w="305" w:type="dxa"/>
            <w:tcBorders/>
            <w:vAlign w:val="center"/>
          </w:tcPr>
          <w:p>
            <w:pPr>
              <w:pStyle w:val="TableContents"/>
              <w:bidi w:val="0"/>
              <w:spacing w:before="0" w:after="283"/>
              <w:jc w:val="left"/>
              <w:rPr/>
            </w:pPr>
            <w:r>
              <w:rPr/>
              <w:t>(1)</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statutory tax rate is used for the reconciliation as the majority of the Group’s operations are based in the PRC.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pacing w:val="0"/>
          <w:sz w:val="20"/>
        </w:rPr>
      </w:pPr>
      <w:r>
        <w:rPr>
          <w:rFonts w:ascii="Times New Roman" w:hAnsi="Times New Roman"/>
          <w:spacing w:val="0"/>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0"/>
              <w:jc w:val="left"/>
              <w:rPr>
                <w:b/>
                <w:spacing w:val="0"/>
              </w:rPr>
            </w:pPr>
            <w:r>
              <w:rPr>
                <w:b/>
                <w:spacing w:val="0"/>
              </w:rPr>
              <w:t>17.</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Reconciliations of the income tax expense computed by applying the PRC statutory income tax rate of 25% to the Group’s income tax expense for the years ended December 31,2023 and 2024 in accordance with the guidance prior to the adoption of ASU </w:t>
      </w:r>
    </w:p>
    <w:p>
      <w:pPr>
        <w:pStyle w:val="TextBody"/>
        <w:bidi w:val="0"/>
        <w:spacing w:before="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0" w:after="0"/>
        <w:jc w:val="left"/>
        <w:rPr>
          <w:rFonts w:ascii="Times New Roman" w:hAnsi="Times New Roman"/>
          <w:sz w:val="20"/>
        </w:rPr>
      </w:pPr>
      <w:r>
        <w:rPr>
          <w:rFonts w:ascii="Times New Roman" w:hAnsi="Times New Roman"/>
          <w:sz w:val="20"/>
        </w:rPr>
        <w:t xml:space="preserve">presented are as follows: </w:t>
      </w:r>
    </w:p>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6755"/>
        <w:gridCol w:w="120"/>
        <w:gridCol w:w="60"/>
        <w:gridCol w:w="875"/>
        <w:gridCol w:w="275"/>
        <w:gridCol w:w="60"/>
        <w:gridCol w:w="60"/>
        <w:gridCol w:w="875"/>
        <w:gridCol w:w="290"/>
      </w:tblGrid>
      <w:tr>
        <w:trPr/>
        <w:tc>
          <w:tcPr>
            <w:tcW w:w="6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br/>
              <w:t>December 31,</w:t>
            </w:r>
          </w:p>
        </w:tc>
        <w:tc>
          <w:tcPr>
            <w:tcW w:w="29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29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(302,135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(229,646</w:t>
            </w:r>
          </w:p>
        </w:tc>
        <w:tc>
          <w:tcPr>
            <w:tcW w:w="29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PRC statutory tax rate </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w:t>
            </w:r>
          </w:p>
        </w:tc>
        <w:tc>
          <w:tcPr>
            <w:tcW w:w="29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benefits at PRC statutory tax rate of 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(75,534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(57,412</w:t>
            </w:r>
          </w:p>
        </w:tc>
        <w:tc>
          <w:tcPr>
            <w:tcW w:w="29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different tax rates in different jurisdictions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(547</w:t>
            </w:r>
          </w:p>
        </w:tc>
        <w:tc>
          <w:tcPr>
            <w:tcW w:w="29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expenses</w:t>
            </w:r>
          </w:p>
          <w:p>
            <w:pPr>
              <w:pStyle w:val="TableContents"/>
              <w:bidi w:val="0"/>
              <w:spacing w:before="0" w:after="0"/>
              <w:jc w:val="left"/>
              <w:rPr>
                <w:rFonts w:ascii="Times New Roman" w:hAnsi="Times New Roman"/>
                <w:sz w:val="12"/>
              </w:rPr>
            </w:pPr>
            <w:r>
              <w:rPr>
                <w:rFonts w:ascii="Times New Roman" w:hAnsi="Times New Roman"/>
                <w:sz w:val="12"/>
              </w:rPr>
              <w:t>(2)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24,855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42,563</w:t>
            </w:r>
          </w:p>
        </w:tc>
        <w:tc>
          <w:tcPr>
            <w:tcW w:w="29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Additional deduction for qualified R&amp;D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(16,012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(17,941</w:t>
            </w:r>
          </w:p>
        </w:tc>
        <w:tc>
          <w:tcPr>
            <w:tcW w:w="29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on adoption of preferential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27,227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24,566</w:t>
            </w:r>
          </w:p>
        </w:tc>
        <w:tc>
          <w:tcPr>
            <w:tcW w:w="29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163</w:t>
            </w:r>
          </w:p>
        </w:tc>
        <w:tc>
          <w:tcPr>
            <w:tcW w:w="29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39,772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8,994</w:t>
            </w:r>
          </w:p>
        </w:tc>
        <w:tc>
          <w:tcPr>
            <w:tcW w:w="29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290" w:type="dxa"/>
            <w:tcBorders/>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Income tax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206</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386</w:t>
            </w:r>
          </w:p>
        </w:tc>
        <w:tc>
          <w:tcPr>
            <w:tcW w:w="290" w:type="dxa"/>
            <w:tcBorders/>
            <w:vAlign w:val="center"/>
          </w:tcPr>
          <w:p>
            <w:pPr>
              <w:pStyle w:val="TableContents"/>
              <w:bidi w:val="0"/>
              <w:spacing w:before="0" w:after="0"/>
              <w:jc w:val="left"/>
              <w:rPr>
                <w:spacing w:val="0"/>
              </w:rPr>
            </w:pPr>
            <w:r>
              <w:rPr>
                <w:spacing w:val="0"/>
              </w:rPr>
              <w:t> </w:t>
            </w:r>
          </w:p>
        </w:tc>
      </w:tr>
      <w:tr>
        <w:trPr/>
        <w:tc>
          <w:tcPr>
            <w:tcW w:w="6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r>
        <w:trPr/>
        <w:tc>
          <w:tcPr>
            <w:tcW w:w="67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Effect of preferential tax rate inside the PRC on basic and dilutive loss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6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305"/>
        <w:gridCol w:w="9695"/>
      </w:tblGrid>
      <w:tr>
        <w:trPr/>
        <w:tc>
          <w:tcPr>
            <w:tcW w:w="305" w:type="dxa"/>
            <w:tcBorders/>
            <w:vAlign w:val="center"/>
          </w:tcPr>
          <w:p>
            <w:pPr>
              <w:pStyle w:val="TableContents"/>
              <w:bidi w:val="0"/>
              <w:spacing w:before="0" w:after="283"/>
              <w:jc w:val="left"/>
              <w:rPr/>
            </w:pPr>
            <w:r>
              <w:rPr/>
              <w:t>(1)</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statutory tax rate is used for the reconciliation as the majority of the Group’s operations are based in the PRC. </w:t>
            </w:r>
          </w:p>
        </w:tc>
      </w:tr>
    </w:tbl>
    <w:tbl>
      <w:tblPr>
        <w:tblW w:w="5815" w:type="dxa"/>
        <w:jc w:val="left"/>
        <w:tblInd w:w="0" w:type="dxa"/>
        <w:tblLayout w:type="fixed"/>
        <w:tblCellMar>
          <w:top w:w="0" w:type="dxa"/>
          <w:left w:w="0" w:type="dxa"/>
          <w:bottom w:w="0" w:type="dxa"/>
          <w:right w:w="0" w:type="dxa"/>
        </w:tblCellMar>
      </w:tblPr>
      <w:tblGrid>
        <w:gridCol w:w="305"/>
        <w:gridCol w:w="5510"/>
      </w:tblGrid>
      <w:tr>
        <w:trPr/>
        <w:tc>
          <w:tcPr>
            <w:tcW w:w="305" w:type="dxa"/>
            <w:tcBorders/>
            <w:vAlign w:val="center"/>
          </w:tcPr>
          <w:p>
            <w:pPr>
              <w:pStyle w:val="TableContents"/>
              <w:bidi w:val="0"/>
              <w:spacing w:before="0" w:after="283"/>
              <w:jc w:val="left"/>
              <w:rPr/>
            </w:pPr>
            <w:r>
              <w:rPr/>
              <w:t>(2)</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years ended December 31, 2023 and 2024,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 xml:space="preserve">expenses mainly represent the share-based compensation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 xml:space="preserve">Improvements to Income Tax Disclosures, cash paid for income taxes, net of refunds, during the year ended December 31, 2025 was as follows: </w:t>
      </w:r>
    </w:p>
    <w:p>
      <w:pPr>
        <w:pStyle w:val="TextBody"/>
        <w:bidi w:val="0"/>
        <w:spacing w:before="0" w:after="0"/>
        <w:jc w:val="left"/>
        <w:rPr>
          <w:spacing w:val="0"/>
        </w:rPr>
      </w:pPr>
      <w:r>
        <w:rPr>
          <w:spacing w:val="0"/>
        </w:rPr>
        <w:t> </w:t>
      </w:r>
    </w:p>
    <w:tbl>
      <w:tblPr>
        <w:tblW w:w="5025" w:type="dxa"/>
        <w:jc w:val="left"/>
        <w:tblInd w:w="0" w:type="dxa"/>
        <w:tblLayout w:type="fixed"/>
        <w:tblCellMar>
          <w:top w:w="0" w:type="dxa"/>
          <w:left w:w="0" w:type="dxa"/>
          <w:bottom w:w="0" w:type="dxa"/>
          <w:right w:w="0" w:type="dxa"/>
        </w:tblCellMar>
      </w:tblPr>
      <w:tblGrid>
        <w:gridCol w:w="2615"/>
        <w:gridCol w:w="120"/>
        <w:gridCol w:w="110"/>
        <w:gridCol w:w="700"/>
        <w:gridCol w:w="110"/>
        <w:gridCol w:w="221"/>
        <w:gridCol w:w="110"/>
        <w:gridCol w:w="704"/>
        <w:gridCol w:w="335"/>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w:t>
              <w:br/>
              <w:t>December 31, 2025</w:t>
            </w:r>
          </w:p>
        </w:tc>
        <w:tc>
          <w:tcPr>
            <w:tcW w:w="335" w:type="dxa"/>
            <w:tcBorders/>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10" w:type="dxa"/>
            <w:gridSpan w:val="2"/>
            <w:tcBorders/>
            <w:vAlign w:val="center"/>
          </w:tcPr>
          <w:p>
            <w:pPr>
              <w:pStyle w:val="TableContents"/>
              <w:bidi w:val="0"/>
              <w:spacing w:before="0" w:after="0"/>
              <w:jc w:val="center"/>
              <w:rPr>
                <w:b/>
                <w:spacing w:val="0"/>
              </w:rPr>
            </w:pPr>
            <w:r>
              <w:rPr>
                <w:b/>
                <w:spacing w:val="0"/>
              </w:rPr>
              <w:t>RMB</w:t>
            </w:r>
          </w:p>
        </w:tc>
        <w:tc>
          <w:tcPr>
            <w:tcW w:w="11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0"/>
              <w:jc w:val="left"/>
              <w:rPr>
                <w:spacing w:val="0"/>
              </w:rPr>
            </w:pPr>
            <w:r>
              <w:rPr>
                <w:spacing w:val="0"/>
              </w:rPr>
              <w:t>  </w:t>
            </w:r>
          </w:p>
        </w:tc>
        <w:tc>
          <w:tcPr>
            <w:tcW w:w="814" w:type="dxa"/>
            <w:gridSpan w:val="2"/>
            <w:tcBorders/>
            <w:vAlign w:val="center"/>
          </w:tcPr>
          <w:p>
            <w:pPr>
              <w:pStyle w:val="TableContents"/>
              <w:bidi w:val="0"/>
              <w:spacing w:before="0" w:after="0"/>
              <w:jc w:val="center"/>
              <w:rPr>
                <w:b/>
                <w:spacing w:val="0"/>
              </w:rPr>
            </w:pPr>
            <w:r>
              <w:rPr>
                <w:b/>
                <w:spacing w:val="0"/>
              </w:rPr>
              <w:t>US$</w:t>
            </w:r>
          </w:p>
        </w:tc>
        <w:tc>
          <w:tcPr>
            <w:tcW w:w="335" w:type="dxa"/>
            <w:tcBorders/>
            <w:vAlign w:val="center"/>
          </w:tcPr>
          <w:p>
            <w:pPr>
              <w:pStyle w:val="TableContents"/>
              <w:bidi w:val="0"/>
              <w:spacing w:before="0" w:after="0"/>
              <w:ind w:left="0" w:right="0" w:hanging="0"/>
              <w:jc w:val="left"/>
              <w:rPr>
                <w:spacing w:val="0"/>
              </w:rPr>
            </w:pPr>
            <w:r>
              <w:rPr>
                <w:spacing w:val="0"/>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PRC</w:t>
            </w:r>
          </w:p>
        </w:tc>
        <w:tc>
          <w:tcPr>
            <w:tcW w:w="12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00" w:type="dxa"/>
            <w:tcBorders/>
            <w:shd w:fill="CCEEFF" w:val="clear"/>
            <w:vAlign w:val="center"/>
          </w:tcPr>
          <w:p>
            <w:pPr>
              <w:pStyle w:val="TableContents"/>
              <w:bidi w:val="0"/>
              <w:spacing w:before="0" w:after="283"/>
              <w:ind w:left="0" w:right="0" w:hanging="0"/>
              <w:jc w:val="right"/>
              <w:rPr/>
            </w:pPr>
            <w:r>
              <w:rPr/>
              <w:t>781</w:t>
            </w:r>
          </w:p>
        </w:tc>
        <w:tc>
          <w:tcPr>
            <w:tcW w:w="11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jc w:val="right"/>
              <w:rPr/>
            </w:pPr>
            <w:r>
              <w:rPr/>
              <w:t>112</w:t>
            </w:r>
          </w:p>
        </w:tc>
        <w:tc>
          <w:tcPr>
            <w:tcW w:w="3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 Kong</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82</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12</w:t>
            </w:r>
          </w:p>
        </w:tc>
        <w:tc>
          <w:tcPr>
            <w:tcW w:w="3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jurisdictions</w:t>
            </w:r>
          </w:p>
        </w:tc>
        <w:tc>
          <w:tcPr>
            <w:tcW w:w="120"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700" w:type="dxa"/>
            <w:tcBorders/>
            <w:shd w:fill="CCEEFF" w:val="clear"/>
            <w:vAlign w:val="center"/>
          </w:tcPr>
          <w:p>
            <w:pPr>
              <w:pStyle w:val="TableContents"/>
              <w:bidi w:val="0"/>
              <w:spacing w:before="0" w:after="283"/>
              <w:jc w:val="right"/>
              <w:rPr/>
            </w:pPr>
            <w:r>
              <w:rPr/>
              <w:t>16</w:t>
            </w:r>
          </w:p>
        </w:tc>
        <w:tc>
          <w:tcPr>
            <w:tcW w:w="110" w:type="dxa"/>
            <w:tcBorders/>
            <w:shd w:fill="CCEEFF" w:val="clear"/>
            <w:vAlign w:val="center"/>
          </w:tcPr>
          <w:p>
            <w:pPr>
              <w:pStyle w:val="TableContents"/>
              <w:bidi w:val="0"/>
              <w:spacing w:before="0" w:after="0"/>
              <w:jc w:val="left"/>
              <w:rPr/>
            </w:pPr>
            <w:r>
              <w:rPr/>
              <w:t> </w:t>
            </w:r>
          </w:p>
        </w:tc>
        <w:tc>
          <w:tcPr>
            <w:tcW w:w="221" w:type="dxa"/>
            <w:tcBorders/>
            <w:shd w:fill="CCEEFF" w:val="clear"/>
            <w:vAlign w:val="center"/>
          </w:tcPr>
          <w:p>
            <w:pPr>
              <w:pStyle w:val="TableContents"/>
              <w:bidi w:val="0"/>
              <w:spacing w:before="0" w:after="0"/>
              <w:jc w:val="left"/>
              <w:rPr/>
            </w:pPr>
            <w:r>
              <w:rPr/>
              <w:t> </w:t>
            </w:r>
          </w:p>
        </w:tc>
        <w:tc>
          <w:tcPr>
            <w:tcW w:w="110" w:type="dxa"/>
            <w:tcBorders/>
            <w:shd w:fill="CCEEFF" w:val="clear"/>
            <w:vAlign w:val="center"/>
          </w:tcPr>
          <w:p>
            <w:pPr>
              <w:pStyle w:val="TableContents"/>
              <w:bidi w:val="0"/>
              <w:spacing w:before="0" w:after="0"/>
              <w:jc w:val="left"/>
              <w:rPr/>
            </w:pPr>
            <w:r>
              <w:rPr/>
              <w:t> </w:t>
            </w:r>
          </w:p>
        </w:tc>
        <w:tc>
          <w:tcPr>
            <w:tcW w:w="704" w:type="dxa"/>
            <w:tcBorders/>
            <w:shd w:fill="CCEEFF" w:val="clear"/>
            <w:vAlign w:val="center"/>
          </w:tcPr>
          <w:p>
            <w:pPr>
              <w:pStyle w:val="TableContents"/>
              <w:bidi w:val="0"/>
              <w:spacing w:before="0" w:after="283"/>
              <w:jc w:val="right"/>
              <w:rPr/>
            </w:pPr>
            <w:r>
              <w:rPr/>
              <w:t>2</w:t>
            </w:r>
          </w:p>
        </w:tc>
        <w:tc>
          <w:tcPr>
            <w:tcW w:w="335" w:type="dxa"/>
            <w:tcBorders/>
            <w:shd w:fill="CCEEFF" w:val="clear"/>
            <w:vAlign w:val="center"/>
          </w:tcPr>
          <w:p>
            <w:pPr>
              <w:pStyle w:val="TableContents"/>
              <w:bidi w:val="0"/>
              <w:spacing w:before="0" w:after="0"/>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bdr w:val="single" w:sz="2" w:space="1" w:color="000000"/>
              </w:rPr>
            </w:pPr>
            <w:r>
              <w:rPr>
                <w:bdr w:val="single" w:sz="2" w:space="1" w:color="000000"/>
              </w:rPr>
              <w:t> </w:t>
            </w:r>
          </w:p>
        </w:tc>
        <w:tc>
          <w:tcPr>
            <w:tcW w:w="704" w:type="dxa"/>
            <w:tcBorders/>
            <w:vAlign w:val="center"/>
          </w:tcPr>
          <w:p>
            <w:pPr>
              <w:pStyle w:val="TableContents"/>
              <w:bidi w:val="0"/>
              <w:spacing w:before="0" w:after="0"/>
              <w:jc w:val="left"/>
              <w:rPr>
                <w:bdr w:val="single" w:sz="2" w:space="1" w:color="000000"/>
              </w:rPr>
            </w:pPr>
            <w:r>
              <w:rPr>
                <w:bdr w:val="single" w:sz="2" w:space="1" w:color="000000"/>
              </w:rPr>
              <w:t> </w:t>
            </w:r>
          </w:p>
        </w:tc>
        <w:tc>
          <w:tcPr>
            <w:tcW w:w="33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cash paid for income tax</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rPr>
            </w:pPr>
            <w:r>
              <w:rPr>
                <w:spacing w:val="0"/>
              </w:rPr>
              <w:t> </w:t>
            </w:r>
          </w:p>
        </w:tc>
        <w:tc>
          <w:tcPr>
            <w:tcW w:w="700" w:type="dxa"/>
            <w:tcBorders/>
            <w:vAlign w:val="center"/>
          </w:tcPr>
          <w:p>
            <w:pPr>
              <w:pStyle w:val="TableContents"/>
              <w:bidi w:val="0"/>
              <w:spacing w:before="0" w:after="0"/>
              <w:jc w:val="right"/>
              <w:rPr>
                <w:b/>
                <w:spacing w:val="0"/>
              </w:rPr>
            </w:pPr>
            <w:r>
              <w:rPr>
                <w:b/>
                <w:spacing w:val="0"/>
              </w:rPr>
              <w:t>879</w:t>
            </w:r>
          </w:p>
        </w:tc>
        <w:tc>
          <w:tcPr>
            <w:tcW w:w="110" w:type="dxa"/>
            <w:tcBorders/>
            <w:vAlign w:val="center"/>
          </w:tcPr>
          <w:p>
            <w:pPr>
              <w:pStyle w:val="TableContents"/>
              <w:bidi w:val="0"/>
              <w:spacing w:before="0" w:after="0"/>
              <w:jc w:val="left"/>
              <w:rPr>
                <w:spacing w:val="0"/>
              </w:rPr>
            </w:pPr>
            <w:r>
              <w:rPr>
                <w:spacing w:val="0"/>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spacing w:val="0"/>
              </w:rPr>
            </w:pPr>
            <w:r>
              <w:rPr>
                <w:spacing w:val="0"/>
              </w:rPr>
              <w:t> </w:t>
            </w:r>
          </w:p>
        </w:tc>
        <w:tc>
          <w:tcPr>
            <w:tcW w:w="704" w:type="dxa"/>
            <w:tcBorders/>
            <w:vAlign w:val="center"/>
          </w:tcPr>
          <w:p>
            <w:pPr>
              <w:pStyle w:val="TableContents"/>
              <w:bidi w:val="0"/>
              <w:spacing w:before="0" w:after="0"/>
              <w:jc w:val="right"/>
              <w:rPr>
                <w:b/>
                <w:spacing w:val="0"/>
              </w:rPr>
            </w:pPr>
            <w:r>
              <w:rPr>
                <w:b/>
                <w:spacing w:val="0"/>
              </w:rPr>
              <w:t>126</w:t>
            </w:r>
          </w:p>
        </w:tc>
        <w:tc>
          <w:tcPr>
            <w:tcW w:w="335" w:type="dxa"/>
            <w:tcBorders/>
            <w:vAlign w:val="center"/>
          </w:tcPr>
          <w:p>
            <w:pPr>
              <w:pStyle w:val="TableContents"/>
              <w:bidi w:val="0"/>
              <w:spacing w:before="0" w:after="0"/>
              <w:jc w:val="left"/>
              <w:rPr>
                <w:spacing w:val="0"/>
              </w:rPr>
            </w:pPr>
            <w:r>
              <w:rPr>
                <w:spacing w:val="0"/>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bdr w:val="double" w:sz="6" w:space="1" w:color="000000"/>
              </w:rPr>
            </w:pPr>
            <w:r>
              <w:rPr>
                <w:bdr w:val="double" w:sz="6" w:space="1" w:color="000000"/>
              </w:rPr>
              <w:t> </w:t>
            </w:r>
          </w:p>
        </w:tc>
        <w:tc>
          <w:tcPr>
            <w:tcW w:w="704" w:type="dxa"/>
            <w:tcBorders/>
            <w:vAlign w:val="center"/>
          </w:tcPr>
          <w:p>
            <w:pPr>
              <w:pStyle w:val="TableContents"/>
              <w:bidi w:val="0"/>
              <w:spacing w:before="0" w:after="0"/>
              <w:jc w:val="left"/>
              <w:rPr>
                <w:bdr w:val="double" w:sz="6" w:space="1" w:color="000000"/>
              </w:rPr>
            </w:pPr>
            <w:r>
              <w:rPr>
                <w:bdr w:val="double" w:sz="6" w:space="1" w:color="000000"/>
              </w:rPr>
              <w:t> </w:t>
            </w:r>
          </w:p>
        </w:tc>
        <w:tc>
          <w:tcPr>
            <w:tcW w:w="33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Cash paid for income taxes, net of refunds, during the years ended December 31, 2023 and 2024 was RMB184 and RMB101,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pacing w:val="0"/>
          <w:sz w:val="20"/>
        </w:rPr>
      </w:pPr>
      <w:r>
        <w:rPr>
          <w:rFonts w:ascii="Times New Roman" w:hAnsi="Times New Roman"/>
          <w:spacing w:val="0"/>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0"/>
              <w:jc w:val="left"/>
              <w:rPr>
                <w:b/>
                <w:spacing w:val="0"/>
              </w:rPr>
            </w:pPr>
            <w:r>
              <w:rPr>
                <w:b/>
                <w:spacing w:val="0"/>
              </w:rPr>
              <w:t>17.</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significant components of the Group’s deferred tax assets(liabilities) were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70"/>
        <w:gridCol w:w="120"/>
        <w:gridCol w:w="60"/>
        <w:gridCol w:w="875"/>
        <w:gridCol w:w="155"/>
        <w:gridCol w:w="120"/>
        <w:gridCol w:w="60"/>
        <w:gridCol w:w="875"/>
        <w:gridCol w:w="155"/>
        <w:gridCol w:w="120"/>
        <w:gridCol w:w="60"/>
        <w:gridCol w:w="875"/>
        <w:gridCol w:w="155"/>
        <w:gridCol w:w="120"/>
        <w:gridCol w:w="60"/>
        <w:gridCol w:w="755"/>
        <w:gridCol w:w="170"/>
      </w:tblGrid>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4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losses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160,563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169,879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189,984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27,167</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21,477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20,522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2,935</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credit losses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20,337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16,264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18,102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2,589</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Welfare payables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6,382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8,093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1,157</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 and 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875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2,527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4,122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589</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profit arising from elimination of</w:t>
            </w:r>
          </w:p>
          <w:p>
            <w:pPr>
              <w:pStyle w:val="TableContents"/>
              <w:bidi w:val="0"/>
              <w:spacing w:before="0" w:after="20"/>
              <w:jc w:val="left"/>
              <w:rPr>
                <w:rFonts w:ascii="Times New Roman" w:hAnsi="Times New Roman"/>
                <w:sz w:val="20"/>
              </w:rPr>
            </w:pPr>
            <w:r>
              <w:rPr>
                <w:rFonts w:ascii="Times New Roman" w:hAnsi="Times New Roman"/>
                <w:sz w:val="20"/>
              </w:rPr>
              <w:t>inter-company transactions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394</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 provision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194</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w:t>
            </w:r>
          </w:p>
        </w:tc>
        <w:tc>
          <w:tcPr>
            <w:tcW w:w="170" w:type="dxa"/>
            <w:tcBorders/>
            <w:shd w:fill="CCEEFF" w:val="clear"/>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201,337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218,147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245,034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35,039</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(189,418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(198,412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(218,223</w:t>
            </w:r>
          </w:p>
        </w:tc>
        <w:tc>
          <w:tcPr>
            <w:tcW w:w="15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(31,205</w:t>
            </w:r>
          </w:p>
        </w:tc>
        <w:tc>
          <w:tcPr>
            <w:tcW w:w="170" w:type="dxa"/>
            <w:tcBorders/>
            <w:shd w:fill="CCEEFF" w:val="clear"/>
            <w:vAlign w:val="center"/>
          </w:tcPr>
          <w:p>
            <w:pPr>
              <w:pStyle w:val="TableContents"/>
              <w:bidi w:val="0"/>
              <w:spacing w:before="0" w:after="283"/>
              <w:jc w:val="left"/>
              <w:rPr/>
            </w:pPr>
            <w:r>
              <w:rPr/>
              <w:t>)</w:t>
            </w:r>
          </w:p>
        </w:tc>
      </w:tr>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assets, net of valuation allowance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11,919</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19,735</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26,811</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3,834</w:t>
            </w:r>
          </w:p>
        </w:tc>
        <w:tc>
          <w:tcPr>
            <w:tcW w:w="170" w:type="dxa"/>
            <w:tcBorders/>
            <w:vAlign w:val="center"/>
          </w:tcPr>
          <w:p>
            <w:pPr>
              <w:pStyle w:val="TableContents"/>
              <w:bidi w:val="0"/>
              <w:spacing w:before="0" w:after="0"/>
              <w:jc w:val="left"/>
              <w:rPr>
                <w:spacing w:val="0"/>
              </w:rPr>
            </w:pPr>
            <w:r>
              <w:rPr>
                <w:spacing w:val="0"/>
              </w:rPr>
              <w:t> </w:t>
            </w:r>
          </w:p>
        </w:tc>
      </w:tr>
      <w:tr>
        <w:trPr/>
        <w:tc>
          <w:tcPr>
            <w:tcW w:w="54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Non-current</w:t>
            </w:r>
          </w:p>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4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(11,919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(19,682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(18,039</w:t>
            </w:r>
          </w:p>
        </w:tc>
        <w:tc>
          <w:tcPr>
            <w:tcW w:w="155"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(2,579</w:t>
            </w:r>
          </w:p>
        </w:tc>
        <w:tc>
          <w:tcPr>
            <w:tcW w:w="170" w:type="dxa"/>
            <w:tcBorders/>
            <w:vAlign w:val="center"/>
          </w:tcPr>
          <w:p>
            <w:pPr>
              <w:pStyle w:val="TableContents"/>
              <w:bidi w:val="0"/>
              <w:spacing w:before="0" w:after="283"/>
              <w:jc w:val="left"/>
              <w:rPr/>
            </w:pPr>
            <w:r>
              <w:rPr/>
              <w:t>)</w:t>
            </w:r>
          </w:p>
        </w:tc>
      </w:tr>
      <w:tr>
        <w:trPr/>
        <w:tc>
          <w:tcPr>
            <w:tcW w:w="5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gain on investments accounted for using equity method and other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(2,095</w:t>
            </w:r>
          </w:p>
        </w:tc>
        <w:tc>
          <w:tcPr>
            <w:tcW w:w="155" w:type="dxa"/>
            <w:tcBorders/>
            <w:shd w:fill="CCEEFF" w:val="clear"/>
            <w:vAlign w:val="center"/>
          </w:tcPr>
          <w:p>
            <w:pPr>
              <w:pStyle w:val="TableContents"/>
              <w:bidi w:val="0"/>
              <w:spacing w:before="0" w:after="283"/>
              <w:jc w:val="lef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w:t>
            </w:r>
          </w:p>
        </w:tc>
        <w:tc>
          <w:tcPr>
            <w:tcW w:w="170" w:type="dxa"/>
            <w:tcBorders/>
            <w:shd w:fill="CCEEFF" w:val="clear"/>
            <w:vAlign w:val="center"/>
          </w:tcPr>
          <w:p>
            <w:pPr>
              <w:pStyle w:val="TableContents"/>
              <w:bidi w:val="0"/>
              <w:spacing w:before="0" w:after="283"/>
              <w:jc w:val="left"/>
              <w:rPr/>
            </w:pPr>
            <w:r>
              <w:rPr/>
              <w:t>)</w:t>
            </w:r>
          </w:p>
        </w:tc>
      </w:tr>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deferred tax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(12,211</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(20,027</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(20,134</w:t>
            </w:r>
          </w:p>
        </w:tc>
        <w:tc>
          <w:tcPr>
            <w:tcW w:w="155" w:type="dxa"/>
            <w:tcBorders/>
            <w:vAlign w:val="center"/>
          </w:tcPr>
          <w:p>
            <w:pPr>
              <w:pStyle w:val="TableContents"/>
              <w:bidi w:val="0"/>
              <w:spacing w:before="0" w:after="0"/>
              <w:jc w:val="left"/>
              <w:rPr>
                <w:b/>
                <w:spacing w:val="0"/>
              </w:rPr>
            </w:pPr>
            <w:r>
              <w:rPr>
                <w:b/>
                <w:spacing w:val="0"/>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(2,879</w:t>
            </w:r>
          </w:p>
        </w:tc>
        <w:tc>
          <w:tcPr>
            <w:tcW w:w="170" w:type="dxa"/>
            <w:tcBorders/>
            <w:vAlign w:val="center"/>
          </w:tcPr>
          <w:p>
            <w:pPr>
              <w:pStyle w:val="TableContents"/>
              <w:bidi w:val="0"/>
              <w:spacing w:before="0" w:after="0"/>
              <w:jc w:val="left"/>
              <w:rPr>
                <w:b/>
                <w:spacing w:val="0"/>
              </w:rPr>
            </w:pPr>
            <w:r>
              <w:rPr>
                <w:b/>
                <w:spacing w:val="0"/>
              </w:rPr>
              <w:t>)</w:t>
            </w:r>
          </w:p>
        </w:tc>
      </w:tr>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6,969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997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5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Deferred tax liabilities,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(292</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(292</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(292</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(42</w:t>
            </w:r>
          </w:p>
        </w:tc>
        <w:tc>
          <w:tcPr>
            <w:tcW w:w="170" w:type="dxa"/>
            <w:tcBorders/>
            <w:vAlign w:val="center"/>
          </w:tcPr>
          <w:p>
            <w:pPr>
              <w:pStyle w:val="TableContents"/>
              <w:bidi w:val="0"/>
              <w:spacing w:before="0" w:after="0"/>
              <w:jc w:val="left"/>
              <w:rPr>
                <w:b/>
                <w:spacing w:val="0"/>
              </w:rPr>
            </w:pPr>
            <w:r>
              <w:rPr>
                <w:b/>
                <w:spacing w:val="0"/>
              </w:rPr>
              <w:t>) </w:t>
            </w:r>
          </w:p>
        </w:tc>
      </w:tr>
      <w:tr>
        <w:trPr/>
        <w:tc>
          <w:tcPr>
            <w:tcW w:w="5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Movement of valuation allowance is as follows: </w:t>
      </w:r>
    </w:p>
    <w:p>
      <w:pPr>
        <w:pStyle w:val="TextBody"/>
        <w:bidi w:val="0"/>
        <w:spacing w:before="0" w:after="0"/>
        <w:jc w:val="left"/>
        <w:rPr/>
      </w:pPr>
      <w:r>
        <w:rPr/>
        <w:t> </w:t>
      </w:r>
    </w:p>
    <w:tbl>
      <w:tblPr>
        <w:tblW w:w="7485" w:type="dxa"/>
        <w:jc w:val="left"/>
        <w:tblInd w:w="0" w:type="dxa"/>
        <w:tblLayout w:type="fixed"/>
        <w:tblCellMar>
          <w:top w:w="0" w:type="dxa"/>
          <w:left w:w="0" w:type="dxa"/>
          <w:bottom w:w="0" w:type="dxa"/>
          <w:right w:w="0" w:type="dxa"/>
        </w:tblCellMar>
      </w:tblPr>
      <w:tblGrid>
        <w:gridCol w:w="3050"/>
        <w:gridCol w:w="120"/>
        <w:gridCol w:w="60"/>
        <w:gridCol w:w="800"/>
        <w:gridCol w:w="155"/>
        <w:gridCol w:w="120"/>
        <w:gridCol w:w="60"/>
        <w:gridCol w:w="800"/>
        <w:gridCol w:w="155"/>
        <w:gridCol w:w="120"/>
        <w:gridCol w:w="60"/>
        <w:gridCol w:w="800"/>
        <w:gridCol w:w="155"/>
        <w:gridCol w:w="120"/>
        <w:gridCol w:w="60"/>
        <w:gridCol w:w="680"/>
        <w:gridCol w:w="17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4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beginning of the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149,646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189,418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198,412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28,372</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39,853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21,550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31,526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4,508</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loss utilized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(12,556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(11,715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(1,675</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end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189,418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198,412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218,223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80" w:type="dxa"/>
            <w:tcBorders/>
            <w:shd w:fill="CCEEFF" w:val="clear"/>
            <w:vAlign w:val="center"/>
          </w:tcPr>
          <w:p>
            <w:pPr>
              <w:pStyle w:val="TableContents"/>
              <w:bidi w:val="0"/>
              <w:spacing w:before="0" w:after="0"/>
              <w:jc w:val="right"/>
              <w:rPr>
                <w:b/>
                <w:spacing w:val="0"/>
              </w:rPr>
            </w:pPr>
            <w:r>
              <w:rPr>
                <w:b/>
                <w:spacing w:val="0"/>
              </w:rPr>
              <w:t>31,205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335"/>
        <w:gridCol w:w="2300"/>
      </w:tblGrid>
      <w:tr>
        <w:trPr/>
        <w:tc>
          <w:tcPr>
            <w:tcW w:w="335" w:type="dxa"/>
            <w:tcBorders/>
            <w:vAlign w:val="center"/>
          </w:tcPr>
          <w:p>
            <w:pPr>
              <w:pStyle w:val="TableContents"/>
              <w:bidi w:val="0"/>
              <w:spacing w:before="0" w:after="0"/>
              <w:jc w:val="left"/>
              <w:rPr>
                <w:b/>
                <w:spacing w:val="0"/>
              </w:rPr>
            </w:pPr>
            <w:r>
              <w:rPr>
                <w:b/>
                <w:spacing w:val="0"/>
              </w:rPr>
              <w:t>17.</w:t>
            </w:r>
          </w:p>
        </w:tc>
        <w:tc>
          <w:tcPr>
            <w:tcW w:w="23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years ended December 31, 2024 and 2025, with the growth of its business performance, some subsidiaries of the Group are generating profits and utilizing tax losses brought forward from prior years.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2024 and 2025, the Group had deductible tax losses of RMB976,068, RMB1,034,638 and RMB1,154,646 (US$165,112) derived from entities in the PRC. The tax losses in PRC can be carried forward for five years to offset future taxable profit, and the period was extended to ten years for entities qualified as HNTE in 2018 and thereafter. The tax losses of entities in the PRC began to expire from December 31, 2026 to 2035 if not utilized. </w:t>
      </w:r>
    </w:p>
    <w:p>
      <w:pPr>
        <w:pStyle w:val="TextBody"/>
        <w:bidi w:val="0"/>
        <w:spacing w:before="120" w:after="0"/>
        <w:jc w:val="left"/>
        <w:rPr>
          <w:rFonts w:ascii="Times New Roman" w:hAnsi="Times New Roman"/>
          <w:sz w:val="20"/>
        </w:rPr>
      </w:pPr>
      <w:r>
        <w:rPr>
          <w:rFonts w:ascii="Times New Roman" w:hAnsi="Times New Roman"/>
          <w:sz w:val="20"/>
        </w:rPr>
        <w:t>As of December 31, 2023, 2024 and 2025, the Group had deductible tax losses of RMB31,890, RMB32,893 and RMB29,463</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(US$4,213) derived from entities in Hong Kong that will not expire if not utilized.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Unrecognized Tax Benefit </w:t>
      </w:r>
    </w:p>
    <w:p>
      <w:pPr>
        <w:pStyle w:val="TextBody"/>
        <w:bidi w:val="0"/>
        <w:spacing w:before="120" w:after="0"/>
        <w:jc w:val="left"/>
        <w:rPr>
          <w:rFonts w:ascii="Times New Roman" w:hAnsi="Times New Roman"/>
          <w:sz w:val="20"/>
        </w:rPr>
      </w:pPr>
      <w:r>
        <w:rPr>
          <w:rFonts w:ascii="Times New Roman" w:hAnsi="Times New Roman"/>
          <w:sz w:val="20"/>
        </w:rPr>
        <w:t>As of December 31, 2024 and 2025, the Group had unrecognized tax benefit of RMB5,480 and RMB5,480</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(US$784), respectively. The unrecognized tax benefit was mainly related to the withholding tax accrued for the facilitating service in the acquisition of land use right from Guangzhou government by EHang HK on behalf of a third-party buyer in 2017 and under-reported statutory profits before tax. The Group does not anticipate that the amount of existing unrecognized tax benefits will significantly change within the next 12 months; however, an estimate of the range of the possible change cannot be made at this moment. The unrecognized tax benefits of RMB5,480</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z w:val="20"/>
        </w:rPr>
      </w:pPr>
      <w:r>
        <w:rPr>
          <w:rFonts w:ascii="Times New Roman" w:hAnsi="Times New Roman"/>
          <w:sz w:val="20"/>
        </w:rPr>
        <w:t xml:space="preserve">(US$784), if ultimately recognized, will impact the 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beginning and ending amount of unrecognized tax benefit was as follows: </w:t>
      </w:r>
    </w:p>
    <w:p>
      <w:pPr>
        <w:pStyle w:val="TextBody"/>
        <w:bidi w:val="0"/>
        <w:spacing w:before="0" w:after="0"/>
        <w:jc w:val="left"/>
        <w:rPr/>
      </w:pPr>
      <w:r>
        <w:rPr/>
        <w:t> </w:t>
      </w:r>
    </w:p>
    <w:tbl>
      <w:tblPr>
        <w:tblW w:w="6765" w:type="dxa"/>
        <w:jc w:val="left"/>
        <w:tblInd w:w="0" w:type="dxa"/>
        <w:tblLayout w:type="fixed"/>
        <w:tblCellMar>
          <w:top w:w="0" w:type="dxa"/>
          <w:left w:w="0" w:type="dxa"/>
          <w:bottom w:w="0" w:type="dxa"/>
          <w:right w:w="0" w:type="dxa"/>
        </w:tblCellMar>
      </w:tblPr>
      <w:tblGrid>
        <w:gridCol w:w="3050"/>
        <w:gridCol w:w="120"/>
        <w:gridCol w:w="60"/>
        <w:gridCol w:w="635"/>
        <w:gridCol w:w="155"/>
        <w:gridCol w:w="120"/>
        <w:gridCol w:w="60"/>
        <w:gridCol w:w="635"/>
        <w:gridCol w:w="155"/>
        <w:gridCol w:w="120"/>
        <w:gridCol w:w="60"/>
        <w:gridCol w:w="635"/>
        <w:gridCol w:w="155"/>
        <w:gridCol w:w="120"/>
        <w:gridCol w:w="60"/>
        <w:gridCol w:w="455"/>
        <w:gridCol w:w="170"/>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beginning of the years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(784</w:t>
            </w:r>
          </w:p>
        </w:tc>
        <w:tc>
          <w:tcPr>
            <w:tcW w:w="17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4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Balance at the end of the years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35" w:type="dxa"/>
            <w:tcBorders/>
            <w:vAlign w:val="center"/>
          </w:tcPr>
          <w:p>
            <w:pPr>
              <w:pStyle w:val="TableContents"/>
              <w:bidi w:val="0"/>
              <w:spacing w:before="0" w:after="0"/>
              <w:jc w:val="right"/>
              <w:rPr>
                <w:b/>
                <w:spacing w:val="0"/>
              </w:rPr>
            </w:pPr>
            <w:r>
              <w:rPr>
                <w:b/>
                <w:spacing w:val="0"/>
              </w:rPr>
              <w:t>(5,480</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35" w:type="dxa"/>
            <w:tcBorders/>
            <w:vAlign w:val="center"/>
          </w:tcPr>
          <w:p>
            <w:pPr>
              <w:pStyle w:val="TableContents"/>
              <w:bidi w:val="0"/>
              <w:spacing w:before="0" w:after="0"/>
              <w:jc w:val="right"/>
              <w:rPr>
                <w:b/>
                <w:spacing w:val="0"/>
              </w:rPr>
            </w:pPr>
            <w:r>
              <w:rPr>
                <w:b/>
                <w:spacing w:val="0"/>
              </w:rPr>
              <w:t>(5,480</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635" w:type="dxa"/>
            <w:tcBorders/>
            <w:vAlign w:val="center"/>
          </w:tcPr>
          <w:p>
            <w:pPr>
              <w:pStyle w:val="TableContents"/>
              <w:bidi w:val="0"/>
              <w:spacing w:before="0" w:after="0"/>
              <w:jc w:val="right"/>
              <w:rPr>
                <w:b/>
                <w:spacing w:val="0"/>
              </w:rPr>
            </w:pPr>
            <w:r>
              <w:rPr>
                <w:b/>
                <w:spacing w:val="0"/>
              </w:rPr>
              <w:t>(5,480</w:t>
            </w:r>
          </w:p>
        </w:tc>
        <w:tc>
          <w:tcPr>
            <w:tcW w:w="155" w:type="dxa"/>
            <w:tcBorders/>
            <w:vAlign w:val="center"/>
          </w:tcPr>
          <w:p>
            <w:pPr>
              <w:pStyle w:val="TableContents"/>
              <w:bidi w:val="0"/>
              <w:spacing w:before="0" w:after="0"/>
              <w:jc w:val="left"/>
              <w:rPr>
                <w:b/>
                <w:spacing w:val="0"/>
              </w:rPr>
            </w:pPr>
            <w:r>
              <w:rPr>
                <w:b/>
                <w:spacing w:val="0"/>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455" w:type="dxa"/>
            <w:tcBorders/>
            <w:vAlign w:val="center"/>
          </w:tcPr>
          <w:p>
            <w:pPr>
              <w:pStyle w:val="TableContents"/>
              <w:bidi w:val="0"/>
              <w:spacing w:before="0" w:after="0"/>
              <w:jc w:val="right"/>
              <w:rPr>
                <w:b/>
                <w:spacing w:val="0"/>
              </w:rPr>
            </w:pPr>
            <w:r>
              <w:rPr>
                <w:b/>
                <w:spacing w:val="0"/>
              </w:rPr>
              <w:t>(784</w:t>
            </w:r>
          </w:p>
        </w:tc>
        <w:tc>
          <w:tcPr>
            <w:tcW w:w="170" w:type="dxa"/>
            <w:tcBorders/>
            <w:vAlign w:val="center"/>
          </w:tcPr>
          <w:p>
            <w:pPr>
              <w:pStyle w:val="TableContents"/>
              <w:bidi w:val="0"/>
              <w:spacing w:before="0" w:after="0"/>
              <w:jc w:val="left"/>
              <w:rPr>
                <w:b/>
                <w:spacing w:val="0"/>
              </w:rPr>
            </w:pPr>
            <w:r>
              <w:rPr>
                <w:b/>
                <w:spacing w:val="0"/>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4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did not record any significant interest and penalties related to an uncertain tax position for the years ended December 31, 2023, 2024 and 2025. No accumulated interest expenses and penalties were recorded in unrecognized tax benefit as of December 31, 2023, 2024 and 2025,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material jurisdictions in which the Group is subject to potential examination is China. In general, the PRC tax authorities have up to five years to review a company’s tax filings. As of December 31, 2025, the tax years ended December 31, 2020 through year ended as of the reporting dates for WFOE, the VIEs remain open to examination by the PRC tax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335"/>
        <w:gridCol w:w="2405"/>
      </w:tblGrid>
      <w:tr>
        <w:trPr/>
        <w:tc>
          <w:tcPr>
            <w:tcW w:w="335" w:type="dxa"/>
            <w:tcBorders/>
            <w:vAlign w:val="center"/>
          </w:tcPr>
          <w:p>
            <w:pPr>
              <w:pStyle w:val="TableContents"/>
              <w:bidi w:val="0"/>
              <w:spacing w:before="0" w:after="0"/>
              <w:jc w:val="left"/>
              <w:rPr>
                <w:b/>
                <w:spacing w:val="0"/>
              </w:rPr>
            </w:pPr>
            <w:r>
              <w:rPr>
                <w:b/>
                <w:spacing w:val="0"/>
              </w:rPr>
              <w:t>18.</w:t>
            </w:r>
          </w:p>
        </w:tc>
        <w:tc>
          <w:tcPr>
            <w:tcW w:w="2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related parties with which the Group had transactions during the years presented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28"/>
        <w:gridCol w:w="120"/>
        <w:gridCol w:w="6657"/>
      </w:tblGrid>
      <w:tr>
        <w:trPr/>
        <w:tc>
          <w:tcPr>
            <w:tcW w:w="34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57" w:type="dxa"/>
            <w:tcBorders/>
            <w:vAlign w:val="center"/>
          </w:tcPr>
          <w:p>
            <w:pPr>
              <w:pStyle w:val="TableContents"/>
              <w:bidi w:val="0"/>
              <w:spacing w:before="0" w:after="283"/>
              <w:jc w:val="left"/>
              <w:rPr>
                <w:sz w:val="4"/>
                <w:szCs w:val="4"/>
              </w:rPr>
            </w:pPr>
            <w:r>
              <w:rPr>
                <w:sz w:val="4"/>
                <w:szCs w:val="4"/>
              </w:rPr>
            </w:r>
          </w:p>
        </w:tc>
      </w:tr>
      <w:tr>
        <w:trPr/>
        <w:tc>
          <w:tcPr>
            <w:tcW w:w="3428"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 of Entity or Individual</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Relationship with the Company</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Mr. Huazhi Hu</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Principal Shareholder of the Company, Chairman of the Board and Chief Executive Officer</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Hefei Heyi Aviation Co., LTD (“Hefei Heyi”)</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Zhejiang Zhiyi Navigation Co., Ltd. (“Zhejiang Zhiyi”)</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 Yitong Zhihang Technology Co., Ltd. (“Yitong Zhihang”)</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Hangzhou Zhongan Aviation Co., LTD (“Hangzhou Zhongan”)</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Wanyi Tianxia (Zhuhai) Aviation Co., LTD (“Wanyi Tianxia”)</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Guangxi Fengshan Fengyi Aviation Service Co., LTD (“Fengshan Fengyi”)</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Xinjiang Xiyu Qingniao General Aviation Co., Ltd. (“Xiyu Qingniao”)</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Wuxi Liangyun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low-altitude</w:t>
            </w:r>
          </w:p>
          <w:p>
            <w:pPr>
              <w:pStyle w:val="TableContents"/>
              <w:bidi w:val="0"/>
              <w:spacing w:before="0" w:after="0"/>
              <w:jc w:val="left"/>
              <w:rPr>
                <w:rFonts w:ascii="Times New Roman" w:hAnsi="Times New Roman"/>
                <w:sz w:val="20"/>
              </w:rPr>
            </w:pPr>
            <w:r>
              <w:rPr>
                <w:rFonts w:ascii="Times New Roman" w:hAnsi="Times New Roman"/>
                <w:sz w:val="20"/>
              </w:rPr>
              <w:t>commercial operation management Co., LTD (“Wuxi Liangyun”)</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Shenzhen Pengcheng Wing General Aviation Co., Ltd. (“Pengcheng Wing”)</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over which the Group has significant influence</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Yihang Zhifang Equipment (Guangzhou) Co., Ltd. (“Zhifang”)</w:t>
            </w:r>
          </w:p>
        </w:tc>
        <w:tc>
          <w:tcPr>
            <w:tcW w:w="120" w:type="dxa"/>
            <w:tcBorders/>
            <w:vAlign w:val="center"/>
          </w:tcPr>
          <w:p>
            <w:pPr>
              <w:pStyle w:val="TableContents"/>
              <w:bidi w:val="0"/>
              <w:spacing w:before="0" w:after="283"/>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controlled by the Group’s founder and director</w:t>
            </w:r>
          </w:p>
        </w:tc>
      </w:tr>
      <w:tr>
        <w:trPr/>
        <w:tc>
          <w:tcPr>
            <w:tcW w:w="34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RedChip Strategy Limited (“RedChip”)</w:t>
            </w:r>
          </w:p>
        </w:tc>
        <w:tc>
          <w:tcPr>
            <w:tcW w:w="120" w:type="dxa"/>
            <w:tcBorders/>
            <w:vAlign w:val="center"/>
          </w:tcPr>
          <w:p>
            <w:pPr>
              <w:pStyle w:val="TableContents"/>
              <w:bidi w:val="0"/>
              <w:spacing w:before="0" w:after="0"/>
              <w:jc w:val="left"/>
              <w:rPr/>
            </w:pPr>
            <w:r>
              <w:rPr/>
              <w:t> </w:t>
            </w:r>
          </w:p>
        </w:tc>
        <w:tc>
          <w:tcPr>
            <w:tcW w:w="66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company wholly owned by a director, classified as a related party of the Group on November 24, 2025 upon its shareholder’s appointment to the Group’s director</w:t>
            </w:r>
          </w:p>
        </w:tc>
      </w:tr>
    </w:tbl>
    <w:p>
      <w:pPr>
        <w:pStyle w:val="TextBody"/>
        <w:bidi w:val="0"/>
        <w:spacing w:before="0" w:after="0"/>
        <w:jc w:val="left"/>
        <w:rPr/>
      </w:pPr>
      <w:r>
        <w:rPr/>
        <w:t> </w:t>
      </w:r>
    </w:p>
    <w:tbl>
      <w:tblPr>
        <w:tblW w:w="3160" w:type="dxa"/>
        <w:jc w:val="left"/>
        <w:tblInd w:w="0" w:type="dxa"/>
        <w:tblLayout w:type="fixed"/>
        <w:tblCellMar>
          <w:top w:w="0" w:type="dxa"/>
          <w:left w:w="0" w:type="dxa"/>
          <w:bottom w:w="0" w:type="dxa"/>
          <w:right w:w="0" w:type="dxa"/>
        </w:tblCellMar>
      </w:tblPr>
      <w:tblGrid>
        <w:gridCol w:w="75"/>
        <w:gridCol w:w="290"/>
        <w:gridCol w:w="279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(1)</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with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Sales of products </w:t>
      </w:r>
    </w:p>
    <w:p>
      <w:pPr>
        <w:pStyle w:val="TextBody"/>
        <w:bidi w:val="0"/>
        <w:spacing w:before="0" w:after="0"/>
        <w:jc w:val="left"/>
        <w:rPr/>
      </w:pPr>
      <w:r>
        <w:rPr/>
        <w:t> </w:t>
      </w:r>
    </w:p>
    <w:tbl>
      <w:tblPr>
        <w:tblW w:w="5356" w:type="dxa"/>
        <w:jc w:val="left"/>
        <w:tblInd w:w="0" w:type="dxa"/>
        <w:tblLayout w:type="fixed"/>
        <w:tblCellMar>
          <w:top w:w="0" w:type="dxa"/>
          <w:left w:w="0" w:type="dxa"/>
          <w:bottom w:w="0" w:type="dxa"/>
          <w:right w:w="0" w:type="dxa"/>
        </w:tblCellMar>
      </w:tblPr>
      <w:tblGrid>
        <w:gridCol w:w="1655"/>
        <w:gridCol w:w="120"/>
        <w:gridCol w:w="66"/>
        <w:gridCol w:w="752"/>
        <w:gridCol w:w="66"/>
        <w:gridCol w:w="132"/>
        <w:gridCol w:w="80"/>
        <w:gridCol w:w="510"/>
        <w:gridCol w:w="66"/>
        <w:gridCol w:w="132"/>
        <w:gridCol w:w="66"/>
        <w:gridCol w:w="752"/>
        <w:gridCol w:w="66"/>
        <w:gridCol w:w="132"/>
        <w:gridCol w:w="66"/>
        <w:gridCol w:w="620"/>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06"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702"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8" w:type="dxa"/>
            <w:gridSpan w:val="2"/>
            <w:tcBorders/>
            <w:vAlign w:val="center"/>
          </w:tcPr>
          <w:p>
            <w:pPr>
              <w:pStyle w:val="TableContents"/>
              <w:bidi w:val="0"/>
              <w:spacing w:before="0" w:after="0"/>
              <w:jc w:val="center"/>
              <w:rPr>
                <w:b/>
                <w:spacing w:val="0"/>
              </w:rPr>
            </w:pPr>
            <w:r>
              <w:rPr>
                <w:b/>
                <w:spacing w:val="0"/>
              </w:rPr>
              <w:t>RMB</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0"/>
              <w:jc w:val="center"/>
              <w:rPr>
                <w:b/>
                <w:spacing w:val="0"/>
              </w:rPr>
            </w:pPr>
            <w:r>
              <w:rPr>
                <w:b/>
                <w:spacing w:val="0"/>
              </w:rPr>
              <w:t>RMB</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18" w:type="dxa"/>
            <w:gridSpan w:val="2"/>
            <w:tcBorders/>
            <w:vAlign w:val="center"/>
          </w:tcPr>
          <w:p>
            <w:pPr>
              <w:pStyle w:val="TableContents"/>
              <w:bidi w:val="0"/>
              <w:spacing w:before="0" w:after="0"/>
              <w:jc w:val="center"/>
              <w:rPr>
                <w:b/>
                <w:spacing w:val="0"/>
              </w:rPr>
            </w:pPr>
            <w:r>
              <w:rPr>
                <w:b/>
                <w:spacing w:val="0"/>
              </w:rPr>
              <w:t>RMB</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86"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Hefei Heyi</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106</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13,278</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1,899</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Zhejiang Zhiyi</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16</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Yitong Zhihang</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3,009</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13</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Hangzhou Zhongan</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9</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Wanyi Tianxia</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18</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Fengshan Fengyi</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9</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52" w:type="dxa"/>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Xiyu Qingniao</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8,850</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752"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752" w:type="dxa"/>
            <w:tcBorders/>
            <w:vAlign w:val="center"/>
          </w:tcPr>
          <w:p>
            <w:pPr>
              <w:pStyle w:val="TableContents"/>
              <w:bidi w:val="0"/>
              <w:spacing w:before="0" w:after="0"/>
              <w:jc w:val="left"/>
              <w:rPr>
                <w:bdr w:val="single" w:sz="2" w:space="1" w:color="000000"/>
              </w:rPr>
            </w:pPr>
            <w:r>
              <w:rPr>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single" w:sz="2" w:space="1" w:color="000000"/>
              </w:rPr>
            </w:pPr>
            <w:r>
              <w:rPr>
                <w:bdr w:val="single" w:sz="2" w:space="1" w:color="000000"/>
              </w:rPr>
              <w:t> </w:t>
            </w:r>
          </w:p>
        </w:tc>
        <w:tc>
          <w:tcPr>
            <w:tcW w:w="6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rPr>
            </w:pPr>
            <w:r>
              <w:rPr>
                <w:spacing w:val="0"/>
              </w:rPr>
              <w:t> </w:t>
            </w:r>
          </w:p>
        </w:tc>
        <w:tc>
          <w:tcPr>
            <w:tcW w:w="752" w:type="dxa"/>
            <w:tcBorders/>
            <w:vAlign w:val="center"/>
          </w:tcPr>
          <w:p>
            <w:pPr>
              <w:pStyle w:val="TableContents"/>
              <w:bidi w:val="0"/>
              <w:spacing w:before="0" w:after="0"/>
              <w:jc w:val="right"/>
              <w:rPr>
                <w:b/>
                <w:spacing w:val="0"/>
              </w:rPr>
            </w:pPr>
            <w:r>
              <w:rPr>
                <w:b/>
                <w:spacing w:val="0"/>
              </w:rPr>
              <w:t>11,859</w:t>
            </w:r>
          </w:p>
        </w:tc>
        <w:tc>
          <w:tcPr>
            <w:tcW w:w="66" w:type="dxa"/>
            <w:tcBorders/>
            <w:vAlign w:val="center"/>
          </w:tcPr>
          <w:p>
            <w:pPr>
              <w:pStyle w:val="TableContents"/>
              <w:bidi w:val="0"/>
              <w:spacing w:before="0" w:after="0"/>
              <w:jc w:val="left"/>
              <w:rPr>
                <w:spacing w:val="0"/>
              </w:rPr>
            </w:pPr>
            <w:r>
              <w:rPr>
                <w:spacing w:val="0"/>
              </w:rPr>
              <w:t> </w:t>
            </w:r>
          </w:p>
        </w:tc>
        <w:tc>
          <w:tcPr>
            <w:tcW w:w="1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spacing w:val="0"/>
              </w:rPr>
            </w:pPr>
            <w:r>
              <w:rPr>
                <w:spacing w:val="0"/>
              </w:rPr>
              <w:t> </w:t>
            </w:r>
          </w:p>
        </w:tc>
        <w:tc>
          <w:tcPr>
            <w:tcW w:w="510" w:type="dxa"/>
            <w:tcBorders/>
            <w:vAlign w:val="center"/>
          </w:tcPr>
          <w:p>
            <w:pPr>
              <w:pStyle w:val="TableContents"/>
              <w:bidi w:val="0"/>
              <w:spacing w:before="0" w:after="0"/>
              <w:jc w:val="right"/>
              <w:rPr>
                <w:b/>
                <w:spacing w:val="0"/>
              </w:rPr>
            </w:pPr>
            <w:r>
              <w:rPr>
                <w:b/>
                <w:spacing w:val="0"/>
              </w:rPr>
              <w:t>133</w:t>
            </w:r>
          </w:p>
        </w:tc>
        <w:tc>
          <w:tcPr>
            <w:tcW w:w="66" w:type="dxa"/>
            <w:tcBorders/>
            <w:vAlign w:val="center"/>
          </w:tcPr>
          <w:p>
            <w:pPr>
              <w:pStyle w:val="TableContents"/>
              <w:bidi w:val="0"/>
              <w:spacing w:before="0" w:after="0"/>
              <w:jc w:val="left"/>
              <w:rPr>
                <w:spacing w:val="0"/>
              </w:rPr>
            </w:pPr>
            <w:r>
              <w:rPr>
                <w:spacing w:val="0"/>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rPr>
            </w:pPr>
            <w:r>
              <w:rPr>
                <w:spacing w:val="0"/>
              </w:rPr>
              <w:t> </w:t>
            </w:r>
          </w:p>
        </w:tc>
        <w:tc>
          <w:tcPr>
            <w:tcW w:w="752" w:type="dxa"/>
            <w:tcBorders/>
            <w:vAlign w:val="center"/>
          </w:tcPr>
          <w:p>
            <w:pPr>
              <w:pStyle w:val="TableContents"/>
              <w:bidi w:val="0"/>
              <w:spacing w:before="0" w:after="0"/>
              <w:jc w:val="right"/>
              <w:rPr>
                <w:b/>
                <w:spacing w:val="0"/>
              </w:rPr>
            </w:pPr>
            <w:r>
              <w:rPr>
                <w:b/>
                <w:spacing w:val="0"/>
              </w:rPr>
              <w:t>13,316</w:t>
            </w:r>
          </w:p>
        </w:tc>
        <w:tc>
          <w:tcPr>
            <w:tcW w:w="66" w:type="dxa"/>
            <w:tcBorders/>
            <w:vAlign w:val="center"/>
          </w:tcPr>
          <w:p>
            <w:pPr>
              <w:pStyle w:val="TableContents"/>
              <w:bidi w:val="0"/>
              <w:spacing w:before="0" w:after="0"/>
              <w:jc w:val="left"/>
              <w:rPr>
                <w:spacing w:val="0"/>
              </w:rPr>
            </w:pPr>
            <w:r>
              <w:rPr>
                <w:spacing w:val="0"/>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spacing w:val="0"/>
              </w:rPr>
            </w:pPr>
            <w:r>
              <w:rPr>
                <w:spacing w:val="0"/>
              </w:rPr>
              <w:t> </w:t>
            </w:r>
          </w:p>
        </w:tc>
        <w:tc>
          <w:tcPr>
            <w:tcW w:w="620" w:type="dxa"/>
            <w:tcBorders/>
            <w:vAlign w:val="center"/>
          </w:tcPr>
          <w:p>
            <w:pPr>
              <w:pStyle w:val="TableContents"/>
              <w:bidi w:val="0"/>
              <w:spacing w:before="0" w:after="0"/>
              <w:jc w:val="right"/>
              <w:rPr>
                <w:b/>
                <w:spacing w:val="0"/>
              </w:rPr>
            </w:pPr>
            <w:r>
              <w:rPr>
                <w:b/>
                <w:spacing w:val="0"/>
              </w:rPr>
              <w:t>1,904</w:t>
            </w:r>
          </w:p>
        </w:tc>
        <w:tc>
          <w:tcPr>
            <w:tcW w:w="75" w:type="dxa"/>
            <w:tcBorders/>
            <w:vAlign w:val="center"/>
          </w:tcPr>
          <w:p>
            <w:pPr>
              <w:pStyle w:val="TableContents"/>
              <w:bidi w:val="0"/>
              <w:spacing w:before="0" w:after="0"/>
              <w:jc w:val="left"/>
              <w:rPr>
                <w:spacing w:val="0"/>
              </w:rPr>
            </w:pPr>
            <w:r>
              <w:rPr>
                <w:spacing w:val="0"/>
              </w:rPr>
              <w:t> </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752" w:type="dxa"/>
            <w:tcBorders/>
            <w:vAlign w:val="center"/>
          </w:tcPr>
          <w:p>
            <w:pPr>
              <w:pStyle w:val="TableContents"/>
              <w:bidi w:val="0"/>
              <w:spacing w:before="0" w:after="0"/>
              <w:jc w:val="left"/>
              <w:rPr>
                <w:bdr w:val="double" w:sz="6" w:space="1" w:color="000000"/>
              </w:rPr>
            </w:pPr>
            <w:r>
              <w:rPr>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510" w:type="dxa"/>
            <w:tcBorders/>
            <w:vAlign w:val="center"/>
          </w:tcPr>
          <w:p>
            <w:pPr>
              <w:pStyle w:val="TableContents"/>
              <w:bidi w:val="0"/>
              <w:spacing w:before="0" w:after="0"/>
              <w:jc w:val="left"/>
              <w:rPr>
                <w:bdr w:val="double" w:sz="6" w:space="1" w:color="000000"/>
              </w:rPr>
            </w:pPr>
            <w:r>
              <w:rPr>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752" w:type="dxa"/>
            <w:tcBorders/>
            <w:vAlign w:val="center"/>
          </w:tcPr>
          <w:p>
            <w:pPr>
              <w:pStyle w:val="TableContents"/>
              <w:bidi w:val="0"/>
              <w:spacing w:before="0" w:after="0"/>
              <w:jc w:val="left"/>
              <w:rPr>
                <w:bdr w:val="double" w:sz="6" w:space="1" w:color="000000"/>
              </w:rPr>
            </w:pPr>
            <w:r>
              <w:rPr>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0"/>
              <w:jc w:val="left"/>
              <w:rPr>
                <w:bdr w:val="double" w:sz="6" w:space="1" w:color="000000"/>
              </w:rPr>
            </w:pPr>
            <w:r>
              <w:rPr>
                <w:bdr w:val="double" w:sz="6" w:space="1" w:color="000000"/>
              </w:rPr>
              <w:t> </w:t>
            </w:r>
          </w:p>
        </w:tc>
        <w:tc>
          <w:tcPr>
            <w:tcW w:w="6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pacing w:val="0"/>
          <w:sz w:val="20"/>
        </w:rPr>
      </w:pPr>
      <w:r>
        <w:rPr>
          <w:rFonts w:ascii="Times New Roman" w:hAnsi="Times New Roman"/>
          <w:spacing w:val="0"/>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335"/>
        <w:gridCol w:w="3440"/>
      </w:tblGrid>
      <w:tr>
        <w:trPr/>
        <w:tc>
          <w:tcPr>
            <w:tcW w:w="335" w:type="dxa"/>
            <w:tcBorders/>
            <w:vAlign w:val="center"/>
          </w:tcPr>
          <w:p>
            <w:pPr>
              <w:pStyle w:val="TableContents"/>
              <w:bidi w:val="0"/>
              <w:spacing w:before="0" w:after="0"/>
              <w:jc w:val="left"/>
              <w:rPr>
                <w:b/>
                <w:spacing w:val="0"/>
              </w:rPr>
            </w:pPr>
            <w:r>
              <w:rPr>
                <w:b/>
                <w:spacing w:val="0"/>
              </w:rPr>
              <w:t>18.</w:t>
            </w:r>
          </w:p>
        </w:tc>
        <w:tc>
          <w:tcPr>
            <w:tcW w:w="34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(Continued)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290"/>
        <w:gridCol w:w="38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(1)</w:t>
            </w:r>
          </w:p>
        </w:tc>
        <w:tc>
          <w:tcPr>
            <w:tcW w:w="3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Transaction with related parties (Continued) </w:t>
            </w:r>
          </w:p>
        </w:tc>
      </w:tr>
    </w:tbl>
    <w:p>
      <w:pPr>
        <w:pStyle w:val="TextBody"/>
        <w:bidi w:val="0"/>
        <w:spacing w:before="0" w:after="0"/>
        <w:ind w:left="0" w:right="0" w:hanging="0"/>
        <w:jc w:val="left"/>
        <w:rPr>
          <w:sz w:val="16"/>
        </w:rPr>
      </w:pPr>
      <w:r>
        <w:rPr>
          <w:sz w:val="16"/>
        </w:rPr>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(ii) Provision of services </w:t>
      </w:r>
    </w:p>
    <w:p>
      <w:pPr>
        <w:pStyle w:val="TextBody"/>
        <w:bidi w:val="0"/>
        <w:spacing w:before="0" w:after="0"/>
        <w:ind w:left="0" w:right="0" w:hanging="0"/>
        <w:jc w:val="left"/>
        <w:rPr>
          <w:spacing w:val="0"/>
        </w:rPr>
      </w:pPr>
      <w:r>
        <w:rPr>
          <w:spacing w:val="0"/>
        </w:rPr>
        <w:t> </w:t>
      </w:r>
    </w:p>
    <w:tbl>
      <w:tblPr>
        <w:tblW w:w="5028" w:type="dxa"/>
        <w:jc w:val="left"/>
        <w:tblInd w:w="0" w:type="dxa"/>
        <w:tblLayout w:type="fixed"/>
        <w:tblCellMar>
          <w:top w:w="0" w:type="dxa"/>
          <w:left w:w="0" w:type="dxa"/>
          <w:bottom w:w="0" w:type="dxa"/>
          <w:right w:w="0" w:type="dxa"/>
        </w:tblCellMar>
      </w:tblPr>
      <w:tblGrid>
        <w:gridCol w:w="1430"/>
        <w:gridCol w:w="120"/>
        <w:gridCol w:w="86"/>
        <w:gridCol w:w="549"/>
        <w:gridCol w:w="86"/>
        <w:gridCol w:w="173"/>
        <w:gridCol w:w="86"/>
        <w:gridCol w:w="809"/>
        <w:gridCol w:w="86"/>
        <w:gridCol w:w="173"/>
        <w:gridCol w:w="86"/>
        <w:gridCol w:w="549"/>
        <w:gridCol w:w="86"/>
        <w:gridCol w:w="173"/>
        <w:gridCol w:w="86"/>
        <w:gridCol w:w="375"/>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3"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 the year ended December 31,</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1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0"/>
              <w:jc w:val="center"/>
              <w:rPr>
                <w:b/>
                <w:spacing w:val="0"/>
              </w:rPr>
            </w:pPr>
            <w:r>
              <w:rPr>
                <w:b/>
                <w:spacing w:val="0"/>
              </w:rPr>
              <w:t>RMB</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0"/>
              <w:jc w:val="center"/>
              <w:rPr>
                <w:b/>
                <w:spacing w:val="0"/>
              </w:rPr>
            </w:pPr>
            <w:r>
              <w:rPr>
                <w:b/>
                <w:spacing w:val="0"/>
              </w:rPr>
              <w:t>RMB</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bidi w:val="0"/>
              <w:spacing w:before="0" w:after="0"/>
              <w:jc w:val="center"/>
              <w:rPr>
                <w:b/>
                <w:spacing w:val="0"/>
              </w:rPr>
            </w:pPr>
            <w:r>
              <w:rPr>
                <w:b/>
                <w:spacing w:val="0"/>
              </w:rPr>
              <w:t>RMB</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461"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Wanyi Tianxia</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94</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132</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Fengshan Fengyi</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89</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Hefei Heyi</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599</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85</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Wuxi Liangyun</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33</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41</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Pengcheng Wing</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549" w:type="dxa"/>
            <w:tcBorders/>
            <w:shd w:fill="CCEEFF" w:val="clear"/>
            <w:vAlign w:val="center"/>
          </w:tcPr>
          <w:p>
            <w:pPr>
              <w:pStyle w:val="TableContents"/>
              <w:bidi w:val="0"/>
              <w:spacing w:before="0" w:after="283"/>
              <w:jc w:val="right"/>
              <w:rPr/>
            </w:pPr>
            <w:r>
              <w:rPr/>
              <w:t>28</w:t>
            </w:r>
          </w:p>
        </w:tc>
        <w:tc>
          <w:tcPr>
            <w:tcW w:w="86"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right"/>
              <w:rPr/>
            </w:pPr>
            <w:r>
              <w:rPr/>
              <w:t>4</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Yitong Zhihang</w:t>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right"/>
              <w:rPr/>
            </w:pPr>
            <w:r>
              <w:rPr/>
              <w:t>499</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19</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549"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809"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549" w:type="dxa"/>
            <w:tcBorders/>
            <w:vAlign w:val="center"/>
          </w:tcPr>
          <w:p>
            <w:pPr>
              <w:pStyle w:val="TableContents"/>
              <w:bidi w:val="0"/>
              <w:spacing w:before="0" w:after="0"/>
              <w:jc w:val="left"/>
              <w:rPr>
                <w:bdr w:val="single" w:sz="2" w:space="1" w:color="000000"/>
              </w:rPr>
            </w:pPr>
            <w:r>
              <w:rPr>
                <w:bdr w:val="single" w:sz="2" w:space="1" w:color="000000"/>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single" w:sz="2" w:space="1" w:color="000000"/>
              </w:rPr>
            </w:pPr>
            <w:r>
              <w:rPr>
                <w:bdr w:val="single" w:sz="2" w:space="1" w:color="000000"/>
              </w:rPr>
              <w:t> </w:t>
            </w:r>
          </w:p>
        </w:tc>
        <w:tc>
          <w:tcPr>
            <w:tcW w:w="37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549" w:type="dxa"/>
            <w:tcBorders/>
            <w:shd w:fill="CCEEFF" w:val="clear"/>
            <w:vAlign w:val="center"/>
          </w:tcPr>
          <w:p>
            <w:pPr>
              <w:pStyle w:val="TableContents"/>
              <w:bidi w:val="0"/>
              <w:spacing w:before="0" w:after="0"/>
              <w:jc w:val="right"/>
              <w:rPr>
                <w:spacing w:val="0"/>
              </w:rPr>
            </w:pPr>
            <w:r>
              <w:rPr>
                <w:spacing w:val="0"/>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809" w:type="dxa"/>
            <w:tcBorders/>
            <w:shd w:fill="CCEEFF" w:val="clear"/>
            <w:vAlign w:val="center"/>
          </w:tcPr>
          <w:p>
            <w:pPr>
              <w:pStyle w:val="TableContents"/>
              <w:bidi w:val="0"/>
              <w:spacing w:before="0" w:after="0"/>
              <w:jc w:val="right"/>
              <w:rPr>
                <w:b/>
                <w:spacing w:val="0"/>
              </w:rPr>
            </w:pPr>
            <w:r>
              <w:rPr>
                <w:b/>
                <w:spacing w:val="0"/>
              </w:rPr>
              <w:t>1,225</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549" w:type="dxa"/>
            <w:tcBorders/>
            <w:shd w:fill="CCEEFF" w:val="clear"/>
            <w:vAlign w:val="center"/>
          </w:tcPr>
          <w:p>
            <w:pPr>
              <w:pStyle w:val="TableContents"/>
              <w:bidi w:val="0"/>
              <w:spacing w:before="0" w:after="0"/>
              <w:jc w:val="right"/>
              <w:rPr>
                <w:b/>
                <w:spacing w:val="0"/>
              </w:rPr>
            </w:pPr>
            <w:r>
              <w:rPr>
                <w:b/>
                <w:spacing w:val="0"/>
              </w:rPr>
              <w:t>394</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173"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0"/>
              <w:jc w:val="left"/>
              <w:rPr>
                <w:spacing w:val="0"/>
              </w:rPr>
            </w:pPr>
            <w:r>
              <w:rPr>
                <w:spacing w:val="0"/>
              </w:rPr>
              <w:t> </w:t>
            </w:r>
          </w:p>
        </w:tc>
        <w:tc>
          <w:tcPr>
            <w:tcW w:w="375" w:type="dxa"/>
            <w:tcBorders/>
            <w:shd w:fill="CCEEFF" w:val="clear"/>
            <w:vAlign w:val="center"/>
          </w:tcPr>
          <w:p>
            <w:pPr>
              <w:pStyle w:val="TableContents"/>
              <w:bidi w:val="0"/>
              <w:spacing w:before="0" w:after="0"/>
              <w:jc w:val="right"/>
              <w:rPr>
                <w:b/>
                <w:spacing w:val="0"/>
              </w:rPr>
            </w:pPr>
            <w:r>
              <w:rPr>
                <w:b/>
                <w:spacing w:val="0"/>
              </w:rPr>
              <w:t>56</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549"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809"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549" w:type="dxa"/>
            <w:tcBorders/>
            <w:vAlign w:val="center"/>
          </w:tcPr>
          <w:p>
            <w:pPr>
              <w:pStyle w:val="TableContents"/>
              <w:bidi w:val="0"/>
              <w:spacing w:before="0" w:after="0"/>
              <w:jc w:val="left"/>
              <w:rPr>
                <w:bdr w:val="double" w:sz="6" w:space="1" w:color="000000"/>
              </w:rPr>
            </w:pPr>
            <w:r>
              <w:rPr>
                <w:bdr w:val="double" w:sz="6" w:space="1" w:color="000000"/>
              </w:rPr>
              <w:t> </w:t>
            </w:r>
          </w:p>
        </w:tc>
        <w:tc>
          <w:tcPr>
            <w:tcW w:w="86"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0"/>
              <w:jc w:val="left"/>
              <w:rPr>
                <w:bdr w:val="double" w:sz="6" w:space="1" w:color="000000"/>
              </w:rPr>
            </w:pPr>
            <w:r>
              <w:rPr>
                <w:bdr w:val="double" w:sz="6" w:space="1" w:color="000000"/>
              </w:rPr>
              <w:t> </w:t>
            </w:r>
          </w:p>
        </w:tc>
        <w:tc>
          <w:tcPr>
            <w:tcW w:w="37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60" w:after="0"/>
        <w:ind w:left="0" w:right="0" w:hanging="0"/>
        <w:jc w:val="left"/>
        <w:rPr>
          <w:rFonts w:ascii="Times New Roman" w:hAnsi="Times New Roman"/>
          <w:spacing w:val="0"/>
          <w:sz w:val="20"/>
        </w:rPr>
      </w:pPr>
      <w:r>
        <w:rPr>
          <w:rFonts w:ascii="Times New Roman" w:hAnsi="Times New Roman"/>
          <w:spacing w:val="0"/>
          <w:sz w:val="20"/>
        </w:rPr>
        <w:t xml:space="preserve">(iii) Receipt of services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maintained a consulting agreement with consulting firm RedChip. The consulting fees incurred during the period from November 24, 2025 to December 31, 2025 amounted to RMB1,127 (US$161), which were settled via a combination of cash and RSUs. </w:t>
      </w:r>
    </w:p>
    <w:p>
      <w:pPr>
        <w:pStyle w:val="TextBody"/>
        <w:bidi w:val="0"/>
        <w:spacing w:before="0" w:after="0"/>
        <w:ind w:left="0" w:right="0" w:hanging="0"/>
        <w:jc w:val="left"/>
        <w:rPr>
          <w:spacing w:val="0"/>
        </w:rPr>
      </w:pPr>
      <w:r>
        <w:rPr>
          <w:spacing w:val="0"/>
        </w:rPr>
        <w:t> </w:t>
      </w:r>
    </w:p>
    <w:tbl>
      <w:tblPr>
        <w:tblW w:w="3940" w:type="dxa"/>
        <w:jc w:val="left"/>
        <w:tblInd w:w="0" w:type="dxa"/>
        <w:tblLayout w:type="fixed"/>
        <w:tblCellMar>
          <w:top w:w="0" w:type="dxa"/>
          <w:left w:w="0" w:type="dxa"/>
          <w:bottom w:w="0" w:type="dxa"/>
          <w:right w:w="0" w:type="dxa"/>
        </w:tblCellMar>
      </w:tblPr>
      <w:tblGrid>
        <w:gridCol w:w="75"/>
        <w:gridCol w:w="290"/>
        <w:gridCol w:w="35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(2)</w:t>
            </w:r>
          </w:p>
        </w:tc>
        <w:tc>
          <w:tcPr>
            <w:tcW w:w="35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Contract liabilities from sales of products </w:t>
            </w:r>
          </w:p>
        </w:tc>
      </w:tr>
    </w:tbl>
    <w:p>
      <w:pPr>
        <w:pStyle w:val="TextBody"/>
        <w:bidi w:val="0"/>
        <w:spacing w:before="0" w:after="0"/>
        <w:ind w:left="0" w:right="0" w:hanging="0"/>
        <w:jc w:val="left"/>
        <w:rPr>
          <w:spacing w:val="0"/>
        </w:rPr>
      </w:pPr>
      <w:r>
        <w:rPr>
          <w:spacing w:val="0"/>
        </w:rPr>
        <w:t> </w:t>
      </w:r>
    </w:p>
    <w:tbl>
      <w:tblPr>
        <w:tblW w:w="4299" w:type="dxa"/>
        <w:jc w:val="left"/>
        <w:tblInd w:w="0" w:type="dxa"/>
        <w:tblLayout w:type="fixed"/>
        <w:tblCellMar>
          <w:top w:w="0" w:type="dxa"/>
          <w:left w:w="0" w:type="dxa"/>
          <w:bottom w:w="0" w:type="dxa"/>
          <w:right w:w="0" w:type="dxa"/>
        </w:tblCellMar>
      </w:tblPr>
      <w:tblGrid>
        <w:gridCol w:w="1430"/>
        <w:gridCol w:w="120"/>
        <w:gridCol w:w="60"/>
        <w:gridCol w:w="380"/>
        <w:gridCol w:w="60"/>
        <w:gridCol w:w="120"/>
        <w:gridCol w:w="60"/>
        <w:gridCol w:w="560"/>
        <w:gridCol w:w="60"/>
        <w:gridCol w:w="120"/>
        <w:gridCol w:w="60"/>
        <w:gridCol w:w="560"/>
        <w:gridCol w:w="60"/>
        <w:gridCol w:w="120"/>
        <w:gridCol w:w="62"/>
        <w:gridCol w:w="392"/>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5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0"/>
              <w:jc w:val="left"/>
              <w:rPr>
                <w:spacing w:val="0"/>
              </w:rPr>
            </w:pPr>
            <w:r>
              <w:rPr>
                <w:spacing w:val="0"/>
              </w:rPr>
              <w:t> </w:t>
            </w:r>
          </w:p>
        </w:tc>
      </w:tr>
      <w:tr>
        <w:trPr/>
        <w:tc>
          <w:tcPr>
            <w:tcW w:w="14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5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75" w:type="dxa"/>
            <w:tcBorders/>
            <w:vAlign w:val="center"/>
          </w:tcPr>
          <w:p>
            <w:pPr>
              <w:pStyle w:val="TableContents"/>
              <w:bidi w:val="0"/>
              <w:spacing w:before="0" w:after="0"/>
              <w:jc w:val="left"/>
              <w:rPr>
                <w:spacing w:val="0"/>
              </w:rPr>
            </w:pPr>
            <w:r>
              <w:rPr>
                <w:spacing w:val="0"/>
              </w:rPr>
              <w:t> </w:t>
            </w:r>
          </w:p>
        </w:tc>
      </w:tr>
      <w:tr>
        <w:trPr/>
        <w:tc>
          <w:tcPr>
            <w:tcW w:w="14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40"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2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2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54"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0"/>
              <w:jc w:val="left"/>
              <w:rPr>
                <w:spacing w:val="0"/>
              </w:rPr>
            </w:pPr>
            <w:r>
              <w:rPr>
                <w:spacing w:val="0"/>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Xiyu Qingniao</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326</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Fengshan Fengyi</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39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2,000</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2,307</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392" w:type="dxa"/>
            <w:tcBorders/>
            <w:shd w:fill="CCEEFF" w:val="clear"/>
            <w:vAlign w:val="center"/>
          </w:tcPr>
          <w:p>
            <w:pPr>
              <w:pStyle w:val="TableContents"/>
              <w:bidi w:val="0"/>
              <w:spacing w:before="0" w:after="0"/>
              <w:jc w:val="right"/>
              <w:rPr>
                <w:b/>
                <w:spacing w:val="0"/>
              </w:rPr>
            </w:pPr>
            <w:r>
              <w:rPr>
                <w:b/>
                <w:spacing w:val="0"/>
              </w:rPr>
              <w:t>330</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39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6325" w:type="dxa"/>
        <w:jc w:val="left"/>
        <w:tblInd w:w="0" w:type="dxa"/>
        <w:tblLayout w:type="fixed"/>
        <w:tblCellMar>
          <w:top w:w="0" w:type="dxa"/>
          <w:left w:w="0" w:type="dxa"/>
          <w:bottom w:w="0" w:type="dxa"/>
          <w:right w:w="0" w:type="dxa"/>
        </w:tblCellMar>
      </w:tblPr>
      <w:tblGrid>
        <w:gridCol w:w="75"/>
        <w:gridCol w:w="290"/>
        <w:gridCol w:w="59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(3)</w:t>
            </w:r>
          </w:p>
        </w:tc>
        <w:tc>
          <w:tcPr>
            <w:tcW w:w="5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Amount due from related parties for the sales of products and services </w:t>
            </w:r>
          </w:p>
        </w:tc>
      </w:tr>
    </w:tbl>
    <w:p>
      <w:pPr>
        <w:pStyle w:val="TextBody"/>
        <w:bidi w:val="0"/>
        <w:spacing w:before="0" w:after="0"/>
        <w:ind w:left="0" w:right="0" w:hanging="0"/>
        <w:jc w:val="left"/>
        <w:rPr>
          <w:spacing w:val="0"/>
        </w:rPr>
      </w:pPr>
      <w:r>
        <w:rPr>
          <w:spacing w:val="0"/>
        </w:rPr>
        <w:t> </w:t>
      </w:r>
    </w:p>
    <w:tbl>
      <w:tblPr>
        <w:tblW w:w="6264" w:type="dxa"/>
        <w:jc w:val="left"/>
        <w:tblInd w:w="0" w:type="dxa"/>
        <w:tblLayout w:type="fixed"/>
        <w:tblCellMar>
          <w:top w:w="0" w:type="dxa"/>
          <w:left w:w="0" w:type="dxa"/>
          <w:bottom w:w="0" w:type="dxa"/>
          <w:right w:w="0" w:type="dxa"/>
        </w:tblCellMar>
      </w:tblPr>
      <w:tblGrid>
        <w:gridCol w:w="3095"/>
        <w:gridCol w:w="120"/>
        <w:gridCol w:w="60"/>
        <w:gridCol w:w="425"/>
        <w:gridCol w:w="60"/>
        <w:gridCol w:w="120"/>
        <w:gridCol w:w="80"/>
        <w:gridCol w:w="510"/>
        <w:gridCol w:w="155"/>
        <w:gridCol w:w="120"/>
        <w:gridCol w:w="60"/>
        <w:gridCol w:w="560"/>
        <w:gridCol w:w="155"/>
        <w:gridCol w:w="120"/>
        <w:gridCol w:w="62"/>
        <w:gridCol w:w="392"/>
        <w:gridCol w:w="170"/>
      </w:tblGrid>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4"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3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4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0"/>
              <w:jc w:val="left"/>
              <w:rPr>
                <w:spacing w:val="0"/>
              </w:rPr>
            </w:pPr>
            <w:r>
              <w:rPr>
                <w:spacing w:val="0"/>
              </w:rPr>
              <w:t> </w:t>
            </w:r>
          </w:p>
        </w:tc>
      </w:tr>
      <w:tr>
        <w:trPr/>
        <w:tc>
          <w:tcPr>
            <w:tcW w:w="30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5" w:type="dxa"/>
            <w:gridSpan w:val="2"/>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9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62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54"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0"/>
              <w:jc w:val="left"/>
              <w:rPr>
                <w:spacing w:val="0"/>
              </w:rPr>
            </w:pPr>
            <w:r>
              <w:rPr>
                <w:spacing w:val="0"/>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Hefei Heyi</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465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5,380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769</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Pengcheng Wing</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4</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Wanyi Tianxia</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expected credit losses provision</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right"/>
              <w:rPr/>
            </w:pPr>
            <w:r>
              <w:rPr/>
              <w:t>(47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single" w:sz="2" w:space="1" w:color="000000"/>
              </w:rPr>
            </w:pPr>
            <w:r>
              <w:rPr>
                <w:bdr w:val="single" w:sz="2" w:space="1" w:color="000000"/>
              </w:rPr>
              <w:t> </w:t>
            </w:r>
          </w:p>
        </w:tc>
        <w:tc>
          <w:tcPr>
            <w:tcW w:w="51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single" w:sz="2" w:space="1" w:color="000000"/>
              </w:rPr>
            </w:pPr>
            <w:r>
              <w:rPr>
                <w:bdr w:val="single" w:sz="2" w:space="1" w:color="000000"/>
              </w:rPr>
              <w:t> </w:t>
            </w:r>
          </w:p>
        </w:tc>
        <w:tc>
          <w:tcPr>
            <w:tcW w:w="39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0"/>
              <w:jc w:val="left"/>
              <w:rPr>
                <w:spacing w:val="0"/>
              </w:rPr>
            </w:pPr>
            <w:r>
              <w:rPr>
                <w:spacing w:val="0"/>
              </w:rPr>
              <w:t> </w:t>
            </w:r>
          </w:p>
        </w:tc>
        <w:tc>
          <w:tcPr>
            <w:tcW w:w="510" w:type="dxa"/>
            <w:tcBorders/>
            <w:shd w:fill="CCEEFF" w:val="clear"/>
            <w:vAlign w:val="center"/>
          </w:tcPr>
          <w:p>
            <w:pPr>
              <w:pStyle w:val="TableContents"/>
              <w:bidi w:val="0"/>
              <w:spacing w:before="0" w:after="0"/>
              <w:jc w:val="right"/>
              <w:rPr>
                <w:b/>
                <w:spacing w:val="0"/>
              </w:rPr>
            </w:pPr>
            <w:r>
              <w:rPr>
                <w:b/>
                <w:spacing w:val="0"/>
              </w:rPr>
              <w:t>458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560" w:type="dxa"/>
            <w:tcBorders/>
            <w:shd w:fill="CCEEFF" w:val="clear"/>
            <w:vAlign w:val="center"/>
          </w:tcPr>
          <w:p>
            <w:pPr>
              <w:pStyle w:val="TableContents"/>
              <w:bidi w:val="0"/>
              <w:spacing w:before="0" w:after="0"/>
              <w:jc w:val="right"/>
              <w:rPr>
                <w:b/>
                <w:spacing w:val="0"/>
              </w:rPr>
            </w:pPr>
            <w:r>
              <w:rPr>
                <w:b/>
                <w:spacing w:val="0"/>
              </w:rPr>
              <w:t>5,188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0"/>
              <w:jc w:val="left"/>
              <w:rPr>
                <w:spacing w:val="0"/>
              </w:rPr>
            </w:pPr>
            <w:r>
              <w:rPr>
                <w:spacing w:val="0"/>
              </w:rPr>
              <w:t> </w:t>
            </w:r>
          </w:p>
        </w:tc>
        <w:tc>
          <w:tcPr>
            <w:tcW w:w="392" w:type="dxa"/>
            <w:tcBorders/>
            <w:shd w:fill="CCEEFF" w:val="clear"/>
            <w:vAlign w:val="center"/>
          </w:tcPr>
          <w:p>
            <w:pPr>
              <w:pStyle w:val="TableContents"/>
              <w:bidi w:val="0"/>
              <w:spacing w:before="0" w:after="0"/>
              <w:jc w:val="right"/>
              <w:rPr>
                <w:b/>
                <w:spacing w:val="0"/>
              </w:rPr>
            </w:pPr>
            <w:r>
              <w:rPr>
                <w:b/>
                <w:spacing w:val="0"/>
              </w:rPr>
              <w:t>741</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jc w:val="left"/>
              <w:rPr>
                <w:bdr w:val="double" w:sz="6" w:space="1" w:color="000000"/>
              </w:rPr>
            </w:pPr>
            <w:r>
              <w:rPr>
                <w:bdr w:val="double" w:sz="6" w:space="1" w:color="000000"/>
              </w:rPr>
              <w:t> </w:t>
            </w:r>
          </w:p>
        </w:tc>
        <w:tc>
          <w:tcPr>
            <w:tcW w:w="51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0"/>
              <w:jc w:val="left"/>
              <w:rPr>
                <w:bdr w:val="double" w:sz="6" w:space="1" w:color="000000"/>
              </w:rPr>
            </w:pPr>
            <w:r>
              <w:rPr>
                <w:bdr w:val="double" w:sz="6" w:space="1" w:color="000000"/>
              </w:rPr>
              <w:t> </w:t>
            </w:r>
          </w:p>
        </w:tc>
        <w:tc>
          <w:tcPr>
            <w:tcW w:w="39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3430" w:type="dxa"/>
        <w:jc w:val="left"/>
        <w:tblInd w:w="0" w:type="dxa"/>
        <w:tblLayout w:type="fixed"/>
        <w:tblCellMar>
          <w:top w:w="0" w:type="dxa"/>
          <w:left w:w="0" w:type="dxa"/>
          <w:bottom w:w="0" w:type="dxa"/>
          <w:right w:w="0" w:type="dxa"/>
        </w:tblCellMar>
      </w:tblPr>
      <w:tblGrid>
        <w:gridCol w:w="75"/>
        <w:gridCol w:w="290"/>
        <w:gridCol w:w="30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(4)</w:t>
            </w:r>
          </w:p>
        </w:tc>
        <w:tc>
          <w:tcPr>
            <w:tcW w:w="30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Guarantee received for borrowings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As of December 31, 2024 and 2025, RMB34,472 and RMB29,941 (US$4,282) short-term bank loans, and RMB16,000 and RMB7,000 (US$1,001) long-term bank loans were guaranteed by the Group’s founder and Chairman of the Board, Mr. Huazhi Hu.</w:t>
      </w:r>
    </w:p>
    <w:p>
      <w:pPr>
        <w:pStyle w:val="TextBody"/>
        <w:bidi w:val="0"/>
        <w:spacing w:before="0" w:after="0"/>
        <w:ind w:left="0" w:right="0" w:hanging="0"/>
        <w:jc w:val="left"/>
        <w:rPr>
          <w:spacing w:val="0"/>
        </w:rPr>
      </w:pPr>
      <w:r>
        <w:rPr>
          <w:spacing w:val="0"/>
        </w:rPr>
        <w:t> </w:t>
      </w:r>
    </w:p>
    <w:tbl>
      <w:tblPr>
        <w:tblW w:w="2485" w:type="dxa"/>
        <w:jc w:val="left"/>
        <w:tblInd w:w="0" w:type="dxa"/>
        <w:tblLayout w:type="fixed"/>
        <w:tblCellMar>
          <w:top w:w="0" w:type="dxa"/>
          <w:left w:w="0" w:type="dxa"/>
          <w:bottom w:w="0" w:type="dxa"/>
          <w:right w:w="0" w:type="dxa"/>
        </w:tblCellMar>
      </w:tblPr>
      <w:tblGrid>
        <w:gridCol w:w="75"/>
        <w:gridCol w:w="290"/>
        <w:gridCol w:w="2120"/>
      </w:tblGrid>
      <w:tr>
        <w:trPr/>
        <w:tc>
          <w:tcPr>
            <w:tcW w:w="75" w:type="dxa"/>
            <w:tcBorders/>
            <w:vAlign w:val="center"/>
          </w:tcPr>
          <w:p>
            <w:pPr>
              <w:pStyle w:val="TableContents"/>
              <w:bidi w:val="0"/>
              <w:spacing w:before="0" w:after="0"/>
              <w:jc w:val="left"/>
              <w:rPr>
                <w:spacing w:val="0"/>
              </w:rPr>
            </w:pPr>
            <w:r>
              <w:rPr>
                <w:spacing w:val="0"/>
              </w:rPr>
              <w:t> </w:t>
            </w:r>
          </w:p>
        </w:tc>
        <w:tc>
          <w:tcPr>
            <w:tcW w:w="290" w:type="dxa"/>
            <w:tcBorders/>
            <w:vAlign w:val="center"/>
          </w:tcPr>
          <w:p>
            <w:pPr>
              <w:pStyle w:val="TableContents"/>
              <w:bidi w:val="0"/>
              <w:spacing w:before="0" w:after="0"/>
              <w:jc w:val="left"/>
              <w:rPr>
                <w:b/>
                <w:spacing w:val="0"/>
              </w:rPr>
            </w:pPr>
            <w:r>
              <w:rPr>
                <w:b/>
                <w:spacing w:val="0"/>
              </w:rPr>
              <w:t>(5)</w:t>
            </w:r>
          </w:p>
        </w:tc>
        <w:tc>
          <w:tcPr>
            <w:tcW w:w="21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Loans to a related party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 2025, the Group extended several loans amounting to RMB</w:t>
      </w:r>
    </w:p>
    <w:p>
      <w:pPr>
        <w:pStyle w:val="TextBody"/>
        <w:bidi w:val="0"/>
        <w:spacing w:before="120" w:after="0"/>
        <w:jc w:val="left"/>
        <w:rPr>
          <w:rFonts w:ascii="Times New Roman" w:hAnsi="Times New Roman"/>
          <w:spacing w:val="0"/>
          <w:sz w:val="20"/>
        </w:rPr>
      </w:pPr>
      <w:r>
        <w:rPr>
          <w:rFonts w:ascii="Times New Roman" w:hAnsi="Times New Roman"/>
          <w:spacing w:val="0"/>
          <w:sz w:val="20"/>
        </w:rPr>
        <w:t>5,000 (US$715) to Hefei Heyi, with an annual interest rate of 3%. A partial repayment of RMB3,000 (US$429) was received in December 2025, and as of December 31, 2025, the outstanding principal and interest totaled RM</w:t>
      </w:r>
    </w:p>
    <w:p>
      <w:pPr>
        <w:pStyle w:val="TextBody"/>
        <w:bidi w:val="0"/>
        <w:spacing w:before="120" w:after="0"/>
        <w:jc w:val="left"/>
        <w:rPr>
          <w:rFonts w:ascii="Times New Roman" w:hAnsi="Times New Roman"/>
          <w:spacing w:val="0"/>
          <w:sz w:val="20"/>
        </w:rPr>
      </w:pPr>
      <w:r>
        <w:rPr>
          <w:rFonts w:ascii="Times New Roman" w:hAnsi="Times New Roman"/>
          <w:spacing w:val="0"/>
          <w:sz w:val="20"/>
        </w:rPr>
        <w:t>B</w:t>
      </w:r>
    </w:p>
    <w:p>
      <w:pPr>
        <w:pStyle w:val="TextBody"/>
        <w:bidi w:val="0"/>
        <w:spacing w:before="120" w:after="0"/>
        <w:jc w:val="left"/>
        <w:rPr>
          <w:rFonts w:ascii="Times New Roman" w:hAnsi="Times New Roman"/>
          <w:sz w:val="20"/>
        </w:rPr>
      </w:pPr>
      <w:r>
        <w:rPr>
          <w:rFonts w:ascii="Times New Roman" w:hAnsi="Times New Roman"/>
          <w:sz w:val="20"/>
        </w:rPr>
        <w:t>2,070</w:t>
      </w:r>
    </w:p>
    <w:p>
      <w:pPr>
        <w:pStyle w:val="TextBody"/>
        <w:bidi w:val="0"/>
        <w:spacing w:before="120" w:after="0"/>
        <w:jc w:val="left"/>
        <w:rPr>
          <w:rFonts w:ascii="Times New Roman" w:hAnsi="Times New Roman"/>
          <w:spacing w:val="0"/>
          <w:sz w:val="20"/>
        </w:rPr>
      </w:pPr>
      <w:r>
        <w:rPr>
          <w:rFonts w:ascii="Times New Roman" w:hAnsi="Times New Roman"/>
          <w:spacing w:val="0"/>
          <w:sz w:val="20"/>
        </w:rPr>
        <w:t>(US$</w:t>
      </w:r>
    </w:p>
    <w:p>
      <w:pPr>
        <w:pStyle w:val="TextBody"/>
        <w:bidi w:val="0"/>
        <w:spacing w:before="120" w:after="0"/>
        <w:jc w:val="left"/>
        <w:rPr>
          <w:rFonts w:ascii="Times New Roman" w:hAnsi="Times New Roman"/>
          <w:sz w:val="20"/>
        </w:rPr>
      </w:pPr>
      <w:r>
        <w:rPr>
          <w:rFonts w:ascii="Times New Roman" w:hAnsi="Times New Roman"/>
          <w:sz w:val="20"/>
        </w:rPr>
        <w:t>296</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120" w:after="0"/>
        <w:jc w:val="left"/>
        <w:rPr>
          <w:rFonts w:ascii="Times New Roman" w:hAnsi="Times New Roman"/>
          <w:spacing w:val="0"/>
          <w:sz w:val="20"/>
        </w:rPr>
      </w:pPr>
      <w:r>
        <w:rPr>
          <w:rFonts w:ascii="Times New Roman" w:hAnsi="Times New Roman"/>
          <w:spacing w:val="0"/>
          <w:sz w:val="20"/>
        </w:rPr>
        <w:t>. The remaining balance of the loans were settled in March 2026.</w:t>
      </w:r>
    </w:p>
    <w:p>
      <w:pPr>
        <w:pStyle w:val="TextBody"/>
        <w:bidi w:val="0"/>
        <w:spacing w:before="0" w:after="0"/>
        <w:jc w:val="left"/>
        <w:rPr>
          <w:spacing w:val="0"/>
        </w:rPr>
      </w:pPr>
      <w:r>
        <w:rPr>
          <w:spacing w:val="0"/>
        </w:rPr>
        <w:t> </w:t>
      </w:r>
    </w:p>
    <w:tbl>
      <w:tblPr>
        <w:tblW w:w="2905" w:type="dxa"/>
        <w:jc w:val="left"/>
        <w:tblInd w:w="0" w:type="dxa"/>
        <w:tblLayout w:type="fixed"/>
        <w:tblCellMar>
          <w:top w:w="0" w:type="dxa"/>
          <w:left w:w="0" w:type="dxa"/>
          <w:bottom w:w="0" w:type="dxa"/>
          <w:right w:w="0" w:type="dxa"/>
        </w:tblCellMar>
      </w:tblPr>
      <w:tblGrid>
        <w:gridCol w:w="75"/>
        <w:gridCol w:w="290"/>
        <w:gridCol w:w="2540"/>
      </w:tblGrid>
      <w:tr>
        <w:trPr/>
        <w:tc>
          <w:tcPr>
            <w:tcW w:w="75" w:type="dxa"/>
            <w:tcBorders/>
            <w:vAlign w:val="center"/>
          </w:tcPr>
          <w:p>
            <w:pPr>
              <w:pStyle w:val="TableContents"/>
              <w:bidi w:val="0"/>
              <w:spacing w:before="0" w:after="0"/>
              <w:jc w:val="left"/>
              <w:rPr>
                <w:spacing w:val="0"/>
              </w:rPr>
            </w:pPr>
            <w:r>
              <w:rPr>
                <w:spacing w:val="0"/>
              </w:rPr>
              <w:t> </w:t>
            </w:r>
          </w:p>
        </w:tc>
        <w:tc>
          <w:tcPr>
            <w:tcW w:w="290" w:type="dxa"/>
            <w:tcBorders/>
            <w:vAlign w:val="center"/>
          </w:tcPr>
          <w:p>
            <w:pPr>
              <w:pStyle w:val="TableContents"/>
              <w:bidi w:val="0"/>
              <w:spacing w:before="0" w:after="0"/>
              <w:jc w:val="left"/>
              <w:rPr>
                <w:b/>
                <w:spacing w:val="0"/>
              </w:rPr>
            </w:pPr>
            <w:r>
              <w:rPr>
                <w:b/>
                <w:spacing w:val="0"/>
              </w:rPr>
              <w:t>(6)</w:t>
            </w:r>
          </w:p>
        </w:tc>
        <w:tc>
          <w:tcPr>
            <w:tcW w:w="25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Investment in a related entity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April 2025, the Group invested in Zhifang under the control of the Group’s founder and Chairman of the Board, Mr. Huazhi Hu, which principally engages in research and development of unmanned mart yacht, for a total consideration of RMB</w:t>
      </w:r>
    </w:p>
    <w:p>
      <w:pPr>
        <w:pStyle w:val="TextBody"/>
        <w:bidi w:val="0"/>
        <w:spacing w:before="120" w:after="0"/>
        <w:jc w:val="left"/>
        <w:rPr>
          <w:rFonts w:ascii="Times New Roman" w:hAnsi="Times New Roman"/>
          <w:sz w:val="20"/>
        </w:rPr>
      </w:pPr>
      <w:r>
        <w:rPr>
          <w:rFonts w:ascii="Times New Roman" w:hAnsi="Times New Roman"/>
          <w:sz w:val="20"/>
        </w:rPr>
        <w:t>14,500</w:t>
      </w:r>
    </w:p>
    <w:p>
      <w:pPr>
        <w:pStyle w:val="TextBody"/>
        <w:bidi w:val="0"/>
        <w:spacing w:before="120" w:after="0"/>
        <w:jc w:val="left"/>
        <w:rPr>
          <w:rFonts w:ascii="Times New Roman" w:hAnsi="Times New Roman"/>
          <w:spacing w:val="0"/>
          <w:sz w:val="20"/>
        </w:rPr>
      </w:pPr>
      <w:r>
        <w:rPr>
          <w:rFonts w:ascii="Times New Roman" w:hAnsi="Times New Roman"/>
          <w:spacing w:val="0"/>
          <w:sz w:val="20"/>
        </w:rPr>
        <w:t>(US$</w:t>
      </w:r>
    </w:p>
    <w:p>
      <w:pPr>
        <w:pStyle w:val="TextBody"/>
        <w:bidi w:val="0"/>
        <w:spacing w:before="120" w:after="0"/>
        <w:jc w:val="left"/>
        <w:rPr>
          <w:rFonts w:ascii="Times New Roman" w:hAnsi="Times New Roman"/>
          <w:sz w:val="20"/>
        </w:rPr>
      </w:pPr>
      <w:r>
        <w:rPr>
          <w:rFonts w:ascii="Times New Roman" w:hAnsi="Times New Roman"/>
          <w:sz w:val="20"/>
        </w:rPr>
        <w:t>2,073</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to acquire </w:t>
      </w:r>
    </w:p>
    <w:p>
      <w:pPr>
        <w:pStyle w:val="TextBody"/>
        <w:bidi w:val="0"/>
        <w:spacing w:before="120" w:after="0"/>
        <w:jc w:val="left"/>
        <w:rPr>
          <w:rFonts w:ascii="Times New Roman" w:hAnsi="Times New Roman"/>
          <w:sz w:val="20"/>
        </w:rPr>
      </w:pPr>
      <w:r>
        <w:rPr>
          <w:rFonts w:ascii="Times New Roman" w:hAnsi="Times New Roman"/>
          <w:sz w:val="20"/>
        </w:rPr>
        <w:t>4.63</w:t>
      </w:r>
    </w:p>
    <w:p>
      <w:pPr>
        <w:pStyle w:val="TextBody"/>
        <w:bidi w:val="0"/>
        <w:spacing w:before="120" w:after="0"/>
        <w:jc w:val="left"/>
        <w:rPr>
          <w:rFonts w:ascii="Times New Roman" w:hAnsi="Times New Roman"/>
          <w:spacing w:val="0"/>
          <w:sz w:val="20"/>
        </w:rPr>
      </w:pPr>
      <w:r>
        <w:rPr>
          <w:rFonts w:ascii="Times New Roman" w:hAnsi="Times New Roman"/>
          <w:spacing w:val="0"/>
          <w:sz w:val="20"/>
        </w:rPr>
        <w:t>% equity interests of the investee.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F- 5</w:t>
      </w:r>
    </w:p>
    <w:p>
      <w:pPr>
        <w:pStyle w:val="TextBody"/>
        <w:bidi w:val="0"/>
        <w:spacing w:before="0" w:after="0"/>
        <w:jc w:val="center"/>
        <w:rPr>
          <w:rFonts w:ascii="Times New Roman" w:hAnsi="Times New Roman"/>
          <w:spacing w:val="0"/>
          <w:sz w:val="20"/>
        </w:rPr>
      </w:pPr>
      <w:r>
        <w:rPr>
          <w:rFonts w:ascii="Times New Roman" w:hAnsi="Times New Roman"/>
          <w:spacing w:val="0"/>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335"/>
        <w:gridCol w:w="1880"/>
      </w:tblGrid>
      <w:tr>
        <w:trPr/>
        <w:tc>
          <w:tcPr>
            <w:tcW w:w="335" w:type="dxa"/>
            <w:tcBorders/>
            <w:vAlign w:val="center"/>
          </w:tcPr>
          <w:p>
            <w:pPr>
              <w:pStyle w:val="TableContents"/>
              <w:bidi w:val="0"/>
              <w:spacing w:before="0" w:after="0"/>
              <w:jc w:val="left"/>
              <w:rPr>
                <w:b/>
                <w:spacing w:val="0"/>
              </w:rPr>
            </w:pPr>
            <w:r>
              <w:rPr>
                <w:b/>
                <w:spacing w:val="0"/>
              </w:rPr>
              <w:t>19.</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Equity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In April 2023, the Company completed its issuance of 3,466,204 Class A ordinary shares to Qingdao investor in private placement for a total consideration of RMB66,486, net of issuance costs amounting to RMB2,374. In July 2023, the Company completed its issuance of 4,183,510 Class A ordinary shares to private placement led by South Korean strategic investor for a consideration of RMB163,563, net of issuance costs amounting to RMB1,000. Under the 2019 Plans approved by the Board, the Company issued 221,224 Class A ordinary shares at market price for cash consideration of RMB12,355 in 2023, resulting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w:t>
      </w:r>
    </w:p>
    <w:p>
      <w:pPr>
        <w:pStyle w:val="TextBody"/>
        <w:bidi w:val="0"/>
        <w:spacing w:before="120" w:after="0"/>
        <w:jc w:val="left"/>
        <w:rPr>
          <w:rFonts w:ascii="Times New Roman" w:hAnsi="Times New Roman"/>
          <w:sz w:val="20"/>
        </w:rPr>
      </w:pPr>
      <w:r>
        <w:rPr>
          <w:rFonts w:ascii="Times New Roman" w:hAnsi="Times New Roman"/>
          <w:sz w:val="20"/>
        </w:rPr>
        <w:t xml:space="preserve">On October 20, 2023, the Company issued and transferred 236,000 Class A ordinary shares to The Bank of New York Mellon, its depositary bank to be issued to employees upon the vesting of restricted share units under the 2019 Plans.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2023,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w:t>
      </w:r>
    </w:p>
    <w:p>
      <w:pPr>
        <w:pStyle w:val="TextBody"/>
        <w:bidi w:val="0"/>
        <w:spacing w:before="120" w:after="0"/>
        <w:jc w:val="left"/>
        <w:rPr>
          <w:rFonts w:ascii="Times New Roman" w:hAnsi="Times New Roman"/>
          <w:sz w:val="20"/>
        </w:rPr>
      </w:pPr>
      <w:r>
        <w:rPr>
          <w:rFonts w:ascii="Times New Roman" w:hAnsi="Times New Roman"/>
          <w:sz w:val="20"/>
        </w:rPr>
        <w:t xml:space="preserve">Class B ordinary share was converted to Class A ordinary share. As of December 31, 2023, 461,516 Class A ordinary shares remain available for future issuance. These shares are legally issued but not outstanding for the purpose of accounting and thus are excluded from the basic net loss per share calculation.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2024 and May 8, 2024, the Company issued and transferred 778,890 ordinary shares to The Bank of New York Mellon, its depositary bank to be issued to employees upon the vesting of restricted share units under the 2019 Plans and 2023 Plans. </w:t>
      </w:r>
    </w:p>
    <w:p>
      <w:pPr>
        <w:pStyle w:val="TextBody"/>
        <w:bidi w:val="0"/>
        <w:spacing w:before="120" w:after="0"/>
        <w:jc w:val="left"/>
        <w:rPr>
          <w:rFonts w:ascii="Times New Roman" w:hAnsi="Times New Roman"/>
          <w:sz w:val="20"/>
        </w:rPr>
      </w:pPr>
      <w:r>
        <w:rPr>
          <w:rFonts w:ascii="Times New Roman" w:hAnsi="Times New Roman"/>
          <w:sz w:val="20"/>
        </w:rPr>
        <w:t xml:space="preserve">In April 2024, the Company entered into an At Market Issuance Sales Agreement with China Renaissance Securities (Hong Kong) Limited relating to the sale of ADSs for an aggregate offering price of up to US$100 million from time to time through or to the sales agent, as agent or principal. In 2024, the company issued and transferred 10,800,000 ordinary shares to The Bank of New York Mellon for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at-the-market</w:t>
      </w:r>
    </w:p>
    <w:p>
      <w:pPr>
        <w:pStyle w:val="TextBody"/>
        <w:bidi w:val="0"/>
        <w:spacing w:before="120" w:after="0"/>
        <w:jc w:val="left"/>
        <w:rPr>
          <w:rFonts w:ascii="Times New Roman" w:hAnsi="Times New Roman"/>
          <w:sz w:val="20"/>
        </w:rPr>
      </w:pPr>
      <w:r>
        <w:rPr>
          <w:rFonts w:ascii="Times New Roman" w:hAnsi="Times New Roman"/>
          <w:sz w:val="20"/>
        </w:rPr>
        <w:t xml:space="preserve">offering. For the year ended December 31, 2024, the Company had raised gross proceeds of US$76,243 (equivalent to RMB541,997) including issuance costs of US$2,324 (equivalent to RMB16,518) through sales of 9,231,510 ordinary shares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at-the-market</w:t>
      </w:r>
    </w:p>
    <w:p>
      <w:pPr>
        <w:pStyle w:val="TextBody"/>
        <w:bidi w:val="0"/>
        <w:spacing w:before="120" w:after="0"/>
        <w:jc w:val="left"/>
        <w:rPr>
          <w:rFonts w:ascii="Times New Roman" w:hAnsi="Times New Roman"/>
          <w:sz w:val="20"/>
        </w:rPr>
      </w:pPr>
      <w:r>
        <w:rPr>
          <w:rFonts w:ascii="Times New Roman" w:hAnsi="Times New Roman"/>
          <w:sz w:val="20"/>
        </w:rPr>
        <w:t xml:space="preserve">offering.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Company completed its issuance of 1,351,488 Class A ordinary shares to a strategic investor from the Middle East in private placement for a total gross consideration of US$10,000 (equivalent to RMB71,786). In November 2024, the Company completed its issuance of 1,866,666 Class A ordinary shares to a Zhuhai investor in private placement for a total gross consideration of US$12,600 (equivalent to RMB90,603). The aggregate amount of issuance costs for aforementioned private placements was RMB271 (US$37). Under the 2019 Plans approved by the Board, the Company issued 110,180 Class A ordinary shares at market price for cash consideration of RMB5,999 (US$822) in 2024, resulting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Board of Directors of the Company authorized a share repurchase program (“Share Repurchase Program”) under which the Company may repurchase up to US$30 million worth of its Class A ordinary shares, including those in the form of ADSs over the following 12 months. The share repurchases may be made in accordance with applicable laws and regulations through open market transactions, privately negotiated transactions or other legally permissible means as determined by the management. For the year ended December 31, 2024, the Company repurchased 100,000 ADSs for RMB10,085 on the open market, at a weighted average price of US$13.99 per ADS. The Company accounts for the repurchased ordinary shares under the cost method and includes such treasury shares as a component of the shareholders’ equity.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no Class B ordinary share was converted to Class A ordinary share. As of December 31, 2024, 1,704,790 Class A ordinary shares remain available for future issuance. These shares are legally issued but not outstanding for the purpose of accounting and thus are excluded from the basic net loss per share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335"/>
        <w:gridCol w:w="2915"/>
      </w:tblGrid>
      <w:tr>
        <w:trPr/>
        <w:tc>
          <w:tcPr>
            <w:tcW w:w="335" w:type="dxa"/>
            <w:tcBorders/>
            <w:vAlign w:val="center"/>
          </w:tcPr>
          <w:p>
            <w:pPr>
              <w:pStyle w:val="TableContents"/>
              <w:bidi w:val="0"/>
              <w:spacing w:before="0" w:after="0"/>
              <w:jc w:val="left"/>
              <w:rPr>
                <w:b/>
                <w:spacing w:val="0"/>
              </w:rPr>
            </w:pPr>
            <w:r>
              <w:rPr>
                <w:b/>
                <w:spacing w:val="0"/>
              </w:rPr>
              <w:t>19.</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Equity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Ordinary Shares (Continued)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June 27, 2025, the Company issued and transferred 1,400,000 ordinary shares to The Bank of New York Mellon for </w:t>
      </w:r>
    </w:p>
    <w:p>
      <w:pPr>
        <w:pStyle w:val="TextBody"/>
        <w:bidi w:val="0"/>
        <w:spacing w:before="0" w:after="0"/>
        <w:jc w:val="left"/>
        <w:rPr>
          <w:rFonts w:ascii="Times New Roman" w:hAnsi="Times New Roman"/>
          <w:spacing w:val="0"/>
          <w:sz w:val="20"/>
        </w:rPr>
      </w:pPr>
      <w:r>
        <w:rPr>
          <w:rFonts w:ascii="Times New Roman" w:hAnsi="Times New Roman"/>
          <w:spacing w:val="0"/>
          <w:sz w:val="20"/>
        </w:rPr>
        <w:t>at-the-market</w:t>
      </w:r>
    </w:p>
    <w:p>
      <w:pPr>
        <w:pStyle w:val="TextBody"/>
        <w:bidi w:val="0"/>
        <w:spacing w:before="0" w:after="0"/>
        <w:jc w:val="left"/>
        <w:rPr>
          <w:rFonts w:ascii="Times New Roman" w:hAnsi="Times New Roman"/>
          <w:sz w:val="20"/>
        </w:rPr>
      </w:pPr>
      <w:r>
        <w:rPr>
          <w:rFonts w:ascii="Times New Roman" w:hAnsi="Times New Roman"/>
          <w:sz w:val="20"/>
        </w:rPr>
        <w:t xml:space="preserve">offering. The Company had raised gross consideration of US$23,757 (equivalent to RMB170,146 ) through sales of 2,769,184 ordinary shares in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at-the-market</w:t>
      </w:r>
    </w:p>
    <w:p>
      <w:pPr>
        <w:pStyle w:val="TextBody"/>
        <w:bidi w:val="0"/>
        <w:spacing w:before="0" w:after="0"/>
        <w:jc w:val="left"/>
        <w:rPr>
          <w:rFonts w:ascii="Times New Roman" w:hAnsi="Times New Roman"/>
          <w:sz w:val="20"/>
        </w:rPr>
      </w:pPr>
      <w:r>
        <w:rPr>
          <w:rFonts w:ascii="Times New Roman" w:hAnsi="Times New Roman"/>
          <w:sz w:val="20"/>
        </w:rPr>
        <w:t xml:space="preserve">offering. The corresponding issuance costs was US$639 (equivalent to RMB4,577). </w:t>
      </w:r>
    </w:p>
    <w:p>
      <w:pPr>
        <w:pStyle w:val="TextBody"/>
        <w:bidi w:val="0"/>
        <w:spacing w:before="120" w:after="0"/>
        <w:jc w:val="left"/>
        <w:rPr>
          <w:rFonts w:ascii="Times New Roman" w:hAnsi="Times New Roman"/>
          <w:sz w:val="20"/>
        </w:rPr>
      </w:pPr>
      <w:r>
        <w:rPr>
          <w:rFonts w:ascii="Times New Roman" w:hAnsi="Times New Roman"/>
          <w:sz w:val="20"/>
        </w:rPr>
        <w:t xml:space="preserve">On December 1, 2025, the Company issued and transferred 1,000,000 ordinary shares to The Bank of New York Mellon, its depositary bank to be issued to employees upon the vesting of restricted share units under the 2019 Plans and 2023 Plans. For the year ended December 31, 2025, 3,614,413 Class A ordinary shares were issued pursuant to the vesting of restricted share units, among which 811,138 Class A ordinary shares were settled with shares held by the depositary bank.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no Class B ordinary shares were converted to Class A ordinary shares. As of December 31, 2025, 520,486 Class A ordinary shares remain available for future issuance. These shares are legally issued but not outstanding for the purpose of accounting and thus are excluded from the basic net loss per share calculation.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there were 111,215,614 Class A and 39,026,560 Class B ordinary shares outstanding.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Additional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Paid-in</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 </w:t>
      </w:r>
    </w:p>
    <w:p>
      <w:pPr>
        <w:pStyle w:val="TextBody"/>
        <w:bidi w:val="0"/>
        <w:spacing w:before="120" w:after="0"/>
        <w:jc w:val="left"/>
        <w:rPr>
          <w:rFonts w:ascii="Times New Roman" w:hAnsi="Times New Roman"/>
          <w:sz w:val="20"/>
        </w:rPr>
      </w:pPr>
      <w:r>
        <w:rPr>
          <w:rFonts w:ascii="Times New Roman" w:hAnsi="Times New Roman"/>
          <w:sz w:val="20"/>
        </w:rPr>
        <w:t xml:space="preserve">As detailed above, for the year ended December 31, 2023, issuance of Class A ordinary shares to the Qingdao investor and South Korean investors arising from private placements resulted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amounted to RMB66,484 and RMB163,560, respectively, and the issuance of Class A ordinary shares at market price for cash resulted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amounted to RMB12,355.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2024, the issuance of Class A ordinary shares to the strategic investor from the Middle East and Zhuhai investors arising from private placements resulted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amounted to RMB71,786 and RMB90,330, respectively, and the issuance of Class A ordinary shares at market price for cash and the issuance of Class A ordinary shares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at-the-market</w:t>
      </w:r>
    </w:p>
    <w:p>
      <w:pPr>
        <w:pStyle w:val="TextBody"/>
        <w:bidi w:val="0"/>
        <w:spacing w:before="120" w:after="0"/>
        <w:jc w:val="left"/>
        <w:rPr>
          <w:rFonts w:ascii="Times New Roman" w:hAnsi="Times New Roman"/>
          <w:sz w:val="20"/>
        </w:rPr>
      </w:pPr>
      <w:r>
        <w:rPr>
          <w:rFonts w:ascii="Times New Roman" w:hAnsi="Times New Roman"/>
          <w:sz w:val="20"/>
        </w:rPr>
        <w:t xml:space="preserve">offering resulted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amounted to RMB5,999 and RMB525,471, respectively.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issuance of Class A ordinary shares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at-the-market</w:t>
      </w:r>
    </w:p>
    <w:p>
      <w:pPr>
        <w:pStyle w:val="TextBody"/>
        <w:bidi w:val="0"/>
        <w:spacing w:before="120" w:after="0"/>
        <w:jc w:val="left"/>
        <w:rPr>
          <w:rFonts w:ascii="Times New Roman" w:hAnsi="Times New Roman"/>
          <w:sz w:val="20"/>
        </w:rPr>
      </w:pPr>
      <w:r>
        <w:rPr>
          <w:rFonts w:ascii="Times New Roman" w:hAnsi="Times New Roman"/>
          <w:sz w:val="20"/>
        </w:rPr>
        <w:t xml:space="preserve">offering resulted in the increase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amounting to RMB165,567 (US$23,676). </w:t>
      </w:r>
    </w:p>
    <w:p>
      <w:pPr>
        <w:pStyle w:val="TextBody"/>
        <w:bidi w:val="0"/>
        <w:spacing w:before="120" w:after="0"/>
        <w:jc w:val="left"/>
        <w:rPr>
          <w:rFonts w:ascii="Times New Roman" w:hAnsi="Times New Roman"/>
          <w:sz w:val="20"/>
        </w:rPr>
      </w:pPr>
      <w:r>
        <w:rPr>
          <w:rFonts w:ascii="Times New Roman" w:hAnsi="Times New Roman"/>
          <w:sz w:val="20"/>
        </w:rPr>
        <w:t xml:space="preserve">In January 2022, the Company withheld the individual income tax of RMB11,230 for employees’ vested share-based awards and made the cash payment to tax authorities. Concurrently, the Company withheld and received equivalent ADSs shares with fair value of RMB11,230 on that day from the employees for clearance of the individual income tax. The amount was debited 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For the year ended December 31, 2023, 2024 and 2025, the Company has sold ADSs shares for cash consideration of RMB7,795, RMB4,532 and RMB76 (US$11),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w:t>
      </w:r>
    </w:p>
    <w:p>
      <w:pPr>
        <w:pStyle w:val="TextBody"/>
        <w:bidi w:val="0"/>
        <w:spacing w:before="0" w:after="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335"/>
        <w:gridCol w:w="2915"/>
      </w:tblGrid>
      <w:tr>
        <w:trPr/>
        <w:tc>
          <w:tcPr>
            <w:tcW w:w="335" w:type="dxa"/>
            <w:tcBorders/>
            <w:vAlign w:val="center"/>
          </w:tcPr>
          <w:p>
            <w:pPr>
              <w:pStyle w:val="TableContents"/>
              <w:bidi w:val="0"/>
              <w:spacing w:before="0" w:after="0"/>
              <w:jc w:val="left"/>
              <w:rPr>
                <w:b/>
                <w:spacing w:val="0"/>
              </w:rPr>
            </w:pPr>
            <w:r>
              <w:rPr>
                <w:b/>
                <w:spacing w:val="0"/>
              </w:rPr>
              <w:t>19.</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Shareholders’ Equity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Accumulated Other Comprehensive Income </w:t>
      </w:r>
    </w:p>
    <w:p>
      <w:pPr>
        <w:pStyle w:val="TextBody"/>
        <w:bidi w:val="0"/>
        <w:spacing w:before="0" w:after="0"/>
        <w:ind w:left="0" w:right="0" w:hanging="0"/>
        <w:jc w:val="left"/>
        <w:rPr>
          <w:spacing w:val="0"/>
        </w:rPr>
      </w:pPr>
      <w:r>
        <w:rPr>
          <w:spacing w:val="0"/>
        </w:rPr>
        <w:t> </w:t>
      </w:r>
    </w:p>
    <w:tbl>
      <w:tblPr>
        <w:tblW w:w="7770" w:type="dxa"/>
        <w:jc w:val="left"/>
        <w:tblInd w:w="0" w:type="dxa"/>
        <w:tblLayout w:type="fixed"/>
        <w:tblCellMar>
          <w:top w:w="0" w:type="dxa"/>
          <w:left w:w="0" w:type="dxa"/>
          <w:bottom w:w="0" w:type="dxa"/>
          <w:right w:w="0" w:type="dxa"/>
        </w:tblCellMar>
      </w:tblPr>
      <w:tblGrid>
        <w:gridCol w:w="3335"/>
        <w:gridCol w:w="120"/>
        <w:gridCol w:w="305"/>
        <w:gridCol w:w="3840"/>
        <w:gridCol w:w="170"/>
      </w:tblGrid>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4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1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 currency translation adjustment</w:t>
            </w:r>
          </w:p>
        </w:tc>
        <w:tc>
          <w:tcPr>
            <w:tcW w:w="170" w:type="dxa"/>
            <w:tcBorders/>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14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0"/>
              <w:jc w:val="left"/>
              <w:rPr>
                <w:spacing w:val="0"/>
              </w:rPr>
            </w:pPr>
            <w:r>
              <w:rPr>
                <w:spacing w:val="0"/>
              </w:rPr>
              <w:t> </w:t>
            </w:r>
          </w:p>
        </w:tc>
      </w:tr>
      <w:tr>
        <w:trPr/>
        <w:tc>
          <w:tcPr>
            <w:tcW w:w="3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left"/>
              <w:rPr>
                <w:spacing w:val="0"/>
              </w:rPr>
            </w:pPr>
            <w:r>
              <w:rPr>
                <w:spacing w:val="0"/>
              </w:rPr>
              <w:t> </w:t>
            </w:r>
          </w:p>
        </w:tc>
        <w:tc>
          <w:tcPr>
            <w:tcW w:w="3840" w:type="dxa"/>
            <w:tcBorders/>
            <w:shd w:fill="CCEEFF" w:val="clear"/>
            <w:vAlign w:val="center"/>
          </w:tcPr>
          <w:p>
            <w:pPr>
              <w:pStyle w:val="TableContents"/>
              <w:bidi w:val="0"/>
              <w:spacing w:before="0" w:after="0"/>
              <w:jc w:val="right"/>
              <w:rPr>
                <w:b/>
                <w:spacing w:val="0"/>
              </w:rPr>
            </w:pPr>
            <w:r>
              <w:rPr>
                <w:b/>
                <w:spacing w:val="0"/>
              </w:rPr>
              <w:t>15,010</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right"/>
              <w:rPr/>
            </w:pPr>
            <w:r>
              <w:rPr/>
              <w:t>69</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dr w:val="single" w:sz="2" w:space="1" w:color="000000"/>
              </w:rPr>
            </w:pPr>
            <w:r>
              <w:rPr>
                <w:bdr w:val="single" w:sz="2" w:space="1" w:color="000000"/>
              </w:rPr>
              <w:t> </w:t>
            </w:r>
          </w:p>
        </w:tc>
        <w:tc>
          <w:tcPr>
            <w:tcW w:w="3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left"/>
              <w:rPr>
                <w:spacing w:val="0"/>
              </w:rPr>
            </w:pPr>
            <w:r>
              <w:rPr>
                <w:spacing w:val="0"/>
              </w:rPr>
              <w:t> </w:t>
            </w:r>
          </w:p>
        </w:tc>
        <w:tc>
          <w:tcPr>
            <w:tcW w:w="3840" w:type="dxa"/>
            <w:tcBorders/>
            <w:shd w:fill="CCEEFF" w:val="clear"/>
            <w:vAlign w:val="center"/>
          </w:tcPr>
          <w:p>
            <w:pPr>
              <w:pStyle w:val="TableContents"/>
              <w:bidi w:val="0"/>
              <w:spacing w:before="0" w:after="0"/>
              <w:jc w:val="right"/>
              <w:rPr>
                <w:b/>
                <w:spacing w:val="0"/>
              </w:rPr>
            </w:pPr>
            <w:r>
              <w:rPr>
                <w:b/>
                <w:spacing w:val="0"/>
              </w:rPr>
              <w:t>15,079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right"/>
              <w:rPr/>
            </w:pPr>
            <w:r>
              <w:rPr/>
              <w:t>10,460</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dr w:val="single" w:sz="2" w:space="1" w:color="000000"/>
              </w:rPr>
            </w:pPr>
            <w:r>
              <w:rPr>
                <w:bdr w:val="single" w:sz="2" w:space="1" w:color="000000"/>
              </w:rPr>
              <w:t> </w:t>
            </w:r>
          </w:p>
        </w:tc>
        <w:tc>
          <w:tcPr>
            <w:tcW w:w="3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left"/>
              <w:rPr>
                <w:spacing w:val="0"/>
              </w:rPr>
            </w:pPr>
            <w:r>
              <w:rPr>
                <w:spacing w:val="0"/>
              </w:rPr>
              <w:t> </w:t>
            </w:r>
          </w:p>
        </w:tc>
        <w:tc>
          <w:tcPr>
            <w:tcW w:w="3840" w:type="dxa"/>
            <w:tcBorders/>
            <w:shd w:fill="CCEEFF" w:val="clear"/>
            <w:vAlign w:val="center"/>
          </w:tcPr>
          <w:p>
            <w:pPr>
              <w:pStyle w:val="TableContents"/>
              <w:bidi w:val="0"/>
              <w:spacing w:before="0" w:after="0"/>
              <w:jc w:val="right"/>
              <w:rPr>
                <w:b/>
                <w:spacing w:val="0"/>
              </w:rPr>
            </w:pPr>
            <w:r>
              <w:rPr>
                <w:b/>
                <w:spacing w:val="0"/>
              </w:rPr>
              <w:t>25,539</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dr w:val="single" w:sz="2" w:space="1" w:color="000000"/>
              </w:rPr>
            </w:pPr>
            <w:r>
              <w:rPr>
                <w:bdr w:val="single" w:sz="2" w:space="1" w:color="000000"/>
              </w:rPr>
              <w:t> </w:t>
            </w:r>
          </w:p>
        </w:tc>
        <w:tc>
          <w:tcPr>
            <w:tcW w:w="3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840" w:type="dxa"/>
            <w:tcBorders/>
            <w:vAlign w:val="center"/>
          </w:tcPr>
          <w:p>
            <w:pPr>
              <w:pStyle w:val="TableContents"/>
              <w:bidi w:val="0"/>
              <w:spacing w:before="0" w:after="283"/>
              <w:jc w:val="right"/>
              <w:rPr/>
            </w:pPr>
            <w:r>
              <w:rPr/>
              <w:t>(22,934</w:t>
            </w:r>
          </w:p>
        </w:tc>
        <w:tc>
          <w:tcPr>
            <w:tcW w:w="17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w:t>
            </w:r>
          </w:p>
        </w:tc>
        <w:tc>
          <w:tcPr>
            <w:tcW w:w="12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0"/>
              <w:jc w:val="left"/>
              <w:rPr>
                <w:spacing w:val="0"/>
              </w:rPr>
            </w:pPr>
            <w:r>
              <w:rPr>
                <w:spacing w:val="0"/>
              </w:rPr>
              <w:t> </w:t>
            </w:r>
          </w:p>
        </w:tc>
        <w:tc>
          <w:tcPr>
            <w:tcW w:w="3840" w:type="dxa"/>
            <w:tcBorders/>
            <w:shd w:fill="CCEEFF" w:val="clear"/>
            <w:vAlign w:val="center"/>
          </w:tcPr>
          <w:p>
            <w:pPr>
              <w:pStyle w:val="TableContents"/>
              <w:bidi w:val="0"/>
              <w:spacing w:before="0" w:after="0"/>
              <w:jc w:val="right"/>
              <w:rPr>
                <w:b/>
                <w:spacing w:val="0"/>
              </w:rPr>
            </w:pPr>
            <w:r>
              <w:rPr>
                <w:b/>
                <w:spacing w:val="0"/>
              </w:rPr>
              <w:t>2,605</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dr w:val="single" w:sz="2" w:space="1" w:color="000000"/>
              </w:rPr>
            </w:pPr>
            <w:r>
              <w:rPr>
                <w:bdr w:val="single" w:sz="2" w:space="1" w:color="000000"/>
              </w:rPr>
              <w:t> </w:t>
            </w:r>
          </w:p>
        </w:tc>
        <w:tc>
          <w:tcPr>
            <w:tcW w:w="384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2025 (US$)</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spacing w:val="0"/>
              </w:rPr>
            </w:pPr>
            <w:r>
              <w:rPr>
                <w:spacing w:val="0"/>
              </w:rPr>
              <w:t> </w:t>
            </w:r>
          </w:p>
        </w:tc>
        <w:tc>
          <w:tcPr>
            <w:tcW w:w="3840" w:type="dxa"/>
            <w:tcBorders/>
            <w:vAlign w:val="center"/>
          </w:tcPr>
          <w:p>
            <w:pPr>
              <w:pStyle w:val="TableContents"/>
              <w:bidi w:val="0"/>
              <w:spacing w:before="0" w:after="0"/>
              <w:jc w:val="right"/>
              <w:rPr>
                <w:b/>
                <w:spacing w:val="0"/>
              </w:rPr>
            </w:pPr>
            <w:r>
              <w:rPr>
                <w:b/>
                <w:spacing w:val="0"/>
              </w:rPr>
              <w:t>373</w:t>
            </w:r>
          </w:p>
        </w:tc>
        <w:tc>
          <w:tcPr>
            <w:tcW w:w="170" w:type="dxa"/>
            <w:tcBorders/>
            <w:vAlign w:val="center"/>
          </w:tcPr>
          <w:p>
            <w:pPr>
              <w:pStyle w:val="TableContents"/>
              <w:bidi w:val="0"/>
              <w:spacing w:before="0" w:after="0"/>
              <w:jc w:val="left"/>
              <w:rPr>
                <w:spacing w:val="0"/>
              </w:rPr>
            </w:pPr>
            <w:r>
              <w:rPr>
                <w:spacing w:val="0"/>
              </w:rPr>
              <w:t> </w:t>
            </w:r>
          </w:p>
        </w:tc>
      </w:tr>
      <w:tr>
        <w:trPr/>
        <w:tc>
          <w:tcPr>
            <w:tcW w:w="33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dr w:val="double" w:sz="6" w:space="1" w:color="000000"/>
              </w:rPr>
            </w:pPr>
            <w:r>
              <w:rPr>
                <w:bdr w:val="double" w:sz="6" w:space="1" w:color="000000"/>
              </w:rPr>
              <w:t> </w:t>
            </w:r>
          </w:p>
        </w:tc>
        <w:tc>
          <w:tcPr>
            <w:tcW w:w="384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335"/>
        <w:gridCol w:w="1355"/>
      </w:tblGrid>
      <w:tr>
        <w:trPr/>
        <w:tc>
          <w:tcPr>
            <w:tcW w:w="335" w:type="dxa"/>
            <w:tcBorders/>
            <w:vAlign w:val="center"/>
          </w:tcPr>
          <w:p>
            <w:pPr>
              <w:pStyle w:val="TableContents"/>
              <w:bidi w:val="0"/>
              <w:spacing w:before="0" w:after="0"/>
              <w:jc w:val="left"/>
              <w:rPr>
                <w:b/>
                <w:spacing w:val="0"/>
              </w:rPr>
            </w:pPr>
            <w:r>
              <w:rPr>
                <w:b/>
                <w:spacing w:val="0"/>
              </w:rPr>
              <w:t>20.</w:t>
            </w:r>
          </w:p>
        </w:tc>
        <w:tc>
          <w:tcPr>
            <w:tcW w:w="1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non-controlling</w:t>
            </w:r>
          </w:p>
          <w:p>
            <w:pPr>
              <w:pStyle w:val="TableContents"/>
              <w:bidi w:val="0"/>
              <w:spacing w:before="0" w:after="0"/>
              <w:jc w:val="left"/>
              <w:rPr>
                <w:rFonts w:ascii="Times New Roman" w:hAnsi="Times New Roman"/>
                <w:b/>
                <w:sz w:val="20"/>
              </w:rPr>
            </w:pPr>
            <w:r>
              <w:rPr>
                <w:rFonts w:ascii="Times New Roman" w:hAnsi="Times New Roman"/>
                <w:b/>
                <w:sz w:val="20"/>
              </w:rPr>
              <w:t xml:space="preserve">interests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via Ehang GZ, held 60% interest in EHang Egret GD, which in turn held 60% interest in Xi’an EHang Egret Media Technology Co. Ltd. (“EHang Egret Xi’an”). In March 2023, to further develop the aerial media solutions business under the brand of “Egret” of Ehang Egret GD, the Group entered into an agreement to acquire 40% interest of EHang Egret GD from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shareholder and dispose of 60% equity interests in EHang Egret Xi’an to the same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shareholder. Total consideration was RMB10,711, comprising of cash consideration of RMB4,000 and the Group’s share of net asset value in EHang Egret Xi’an amounting to RMB6,711, including cash of RMB2,920. The difference between the total consideration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 was charged 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Total cash outflow for the acquisition was RMB6,920.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transactions, Ehang GZ holds 100% interest of EHang Egret GD and no longer had any interest in Ehang Egret Xi’an. Subsequently, Ehang Egret Xi’an eliminated “Ehang” and “Egret” in its name and did not have further business with the Group. </w:t>
      </w:r>
    </w:p>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335"/>
        <w:gridCol w:w="1355"/>
      </w:tblGrid>
      <w:tr>
        <w:trPr/>
        <w:tc>
          <w:tcPr>
            <w:tcW w:w="335" w:type="dxa"/>
            <w:tcBorders/>
            <w:vAlign w:val="center"/>
          </w:tcPr>
          <w:p>
            <w:pPr>
              <w:pStyle w:val="TableContents"/>
              <w:bidi w:val="0"/>
              <w:spacing w:before="0" w:after="0"/>
              <w:jc w:val="left"/>
              <w:rPr>
                <w:b/>
                <w:spacing w:val="0"/>
              </w:rPr>
            </w:pPr>
            <w:r>
              <w:rPr>
                <w:b/>
                <w:spacing w:val="0"/>
              </w:rPr>
              <w:t>21.</w:t>
            </w:r>
          </w:p>
        </w:tc>
        <w:tc>
          <w:tcPr>
            <w:tcW w:w="1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computation of basic and diluted net loss per share for the following periods: </w:t>
      </w:r>
    </w:p>
    <w:p>
      <w:pPr>
        <w:pStyle w:val="TextBody"/>
        <w:bidi w:val="0"/>
        <w:spacing w:before="0" w:after="0"/>
        <w:jc w:val="left"/>
        <w:rPr/>
      </w:pPr>
      <w:r>
        <w:rPr/>
        <w:t> </w:t>
      </w:r>
    </w:p>
    <w:tbl>
      <w:tblPr>
        <w:tblW w:w="10315" w:type="dxa"/>
        <w:jc w:val="left"/>
        <w:tblInd w:w="0" w:type="dxa"/>
        <w:tblLayout w:type="fixed"/>
        <w:tblCellMar>
          <w:top w:w="0" w:type="dxa"/>
          <w:left w:w="0" w:type="dxa"/>
          <w:bottom w:w="0" w:type="dxa"/>
          <w:right w:w="0" w:type="dxa"/>
        </w:tblCellMar>
      </w:tblPr>
      <w:tblGrid>
        <w:gridCol w:w="1595"/>
        <w:gridCol w:w="120"/>
        <w:gridCol w:w="60"/>
        <w:gridCol w:w="875"/>
        <w:gridCol w:w="155"/>
        <w:gridCol w:w="60"/>
        <w:gridCol w:w="60"/>
        <w:gridCol w:w="755"/>
        <w:gridCol w:w="155"/>
        <w:gridCol w:w="60"/>
        <w:gridCol w:w="60"/>
        <w:gridCol w:w="875"/>
        <w:gridCol w:w="155"/>
        <w:gridCol w:w="60"/>
        <w:gridCol w:w="60"/>
        <w:gridCol w:w="755"/>
        <w:gridCol w:w="155"/>
        <w:gridCol w:w="60"/>
        <w:gridCol w:w="60"/>
        <w:gridCol w:w="875"/>
        <w:gridCol w:w="155"/>
        <w:gridCol w:w="60"/>
        <w:gridCol w:w="60"/>
        <w:gridCol w:w="800"/>
        <w:gridCol w:w="155"/>
        <w:gridCol w:w="60"/>
        <w:gridCol w:w="60"/>
        <w:gridCol w:w="755"/>
        <w:gridCol w:w="155"/>
        <w:gridCol w:w="60"/>
        <w:gridCol w:w="60"/>
        <w:gridCol w:w="755"/>
        <w:gridCol w:w="170"/>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30" w:type="dxa"/>
            <w:gridSpan w:val="30"/>
            <w:tcBorders/>
            <w:vAlign w:val="center"/>
          </w:tcPr>
          <w:p>
            <w:pPr>
              <w:pStyle w:val="TableContents"/>
              <w:bidi w:val="0"/>
              <w:spacing w:before="0" w:after="0"/>
              <w:jc w:val="center"/>
              <w:rPr>
                <w:b/>
                <w:spacing w:val="0"/>
              </w:rPr>
            </w:pPr>
            <w:r>
              <w:rPr>
                <w:b/>
                <w:spacing w:val="0"/>
              </w:rPr>
              <w:t>For the year ended December 31,</w:t>
            </w:r>
          </w:p>
        </w:tc>
        <w:tc>
          <w:tcPr>
            <w:tcW w:w="17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Class B</w:t>
            </w:r>
          </w:p>
        </w:tc>
        <w:tc>
          <w:tcPr>
            <w:tcW w:w="17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US$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Numerator: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attributable to EHang Holdings Limited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(204,787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(96,913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(163,038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(66,738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(202,541</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(28,963</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(73,436</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(10,502</w:t>
            </w:r>
          </w:p>
        </w:tc>
        <w:tc>
          <w:tcPr>
            <w:tcW w:w="170" w:type="dxa"/>
            <w:tcBorders/>
            <w:vAlign w:val="center"/>
          </w:tcPr>
          <w:p>
            <w:pPr>
              <w:pStyle w:val="TableContents"/>
              <w:bidi w:val="0"/>
              <w:spacing w:before="0" w:after="283"/>
              <w:jc w:val="left"/>
              <w:rPr/>
            </w:pPr>
            <w:r>
              <w:rPr/>
              <w:t>)</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loss attributable to EHang Holdings Limited’s ordinary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(204,787</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(96,913</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(163,038</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(66,738</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spacing w:val="0"/>
              </w:rPr>
            </w:pPr>
            <w:r>
              <w:rPr>
                <w:spacing w:val="0"/>
              </w:rPr>
              <w:t>(202,541</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spacing w:val="0"/>
              </w:rPr>
            </w:pPr>
            <w:r>
              <w:rPr>
                <w:spacing w:val="0"/>
              </w:rPr>
              <w:t>(28,963</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(73,436</w:t>
            </w:r>
          </w:p>
        </w:tc>
        <w:tc>
          <w:tcPr>
            <w:tcW w:w="155" w:type="dxa"/>
            <w:tcBorders/>
            <w:shd w:fill="CCEEFF" w:val="clear"/>
            <w:vAlign w:val="center"/>
          </w:tcPr>
          <w:p>
            <w:pPr>
              <w:pStyle w:val="TableContents"/>
              <w:bidi w:val="0"/>
              <w:spacing w:before="0" w:after="0"/>
              <w:jc w:val="left"/>
              <w:rPr>
                <w:spacing w:val="0"/>
              </w:rPr>
            </w:pPr>
            <w:r>
              <w:rPr>
                <w:spacing w:val="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spacing w:val="0"/>
              </w:rPr>
            </w:pPr>
            <w:r>
              <w:rPr>
                <w:spacing w:val="0"/>
              </w:rPr>
              <w:t>(10,502</w:t>
            </w:r>
          </w:p>
        </w:tc>
        <w:tc>
          <w:tcPr>
            <w:tcW w:w="170" w:type="dxa"/>
            <w:tcBorders/>
            <w:shd w:fill="CCEEFF" w:val="clear"/>
            <w:vAlign w:val="center"/>
          </w:tcPr>
          <w:p>
            <w:pPr>
              <w:pStyle w:val="TableContents"/>
              <w:bidi w:val="0"/>
              <w:spacing w:before="0" w:after="0"/>
              <w:jc w:val="left"/>
              <w:rPr>
                <w:spacing w:val="0"/>
              </w:rPr>
            </w:pPr>
            <w:r>
              <w:rPr>
                <w:spacing w:val="0"/>
              </w:rPr>
              <w:t>)</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Denominator (in thousands of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Weighted-average number of ordinary shares outstanding – basic and diluted (in thousands of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82,467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39,027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95,340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39,027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75" w:type="dxa"/>
            <w:tcBorders/>
            <w:shd w:fill="CCEEFF" w:val="clear"/>
            <w:vAlign w:val="center"/>
          </w:tcPr>
          <w:p>
            <w:pPr>
              <w:pStyle w:val="TableContents"/>
              <w:bidi w:val="0"/>
              <w:spacing w:before="0" w:after="0"/>
              <w:jc w:val="right"/>
              <w:rPr>
                <w:b/>
                <w:spacing w:val="0"/>
              </w:rPr>
            </w:pPr>
            <w:r>
              <w:rPr>
                <w:b/>
                <w:spacing w:val="0"/>
              </w:rPr>
              <w:t>107,638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800" w:type="dxa"/>
            <w:tcBorders/>
            <w:shd w:fill="CCEEFF" w:val="clear"/>
            <w:vAlign w:val="center"/>
          </w:tcPr>
          <w:p>
            <w:pPr>
              <w:pStyle w:val="TableContents"/>
              <w:bidi w:val="0"/>
              <w:spacing w:before="0" w:after="0"/>
              <w:jc w:val="right"/>
              <w:rPr>
                <w:b/>
                <w:spacing w:val="0"/>
              </w:rPr>
            </w:pPr>
            <w:r>
              <w:rPr>
                <w:b/>
                <w:spacing w:val="0"/>
              </w:rPr>
              <w:t>107,638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39,027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755" w:type="dxa"/>
            <w:tcBorders/>
            <w:shd w:fill="CCEEFF" w:val="clear"/>
            <w:vAlign w:val="center"/>
          </w:tcPr>
          <w:p>
            <w:pPr>
              <w:pStyle w:val="TableContents"/>
              <w:bidi w:val="0"/>
              <w:spacing w:before="0" w:after="0"/>
              <w:jc w:val="right"/>
              <w:rPr>
                <w:b/>
                <w:spacing w:val="0"/>
              </w:rPr>
            </w:pPr>
            <w:r>
              <w:rPr>
                <w:b/>
                <w:spacing w:val="0"/>
              </w:rPr>
              <w:t>39,027</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Loss per share – basic and 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(2.48</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(2.48</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(1.71</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(1.71</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75" w:type="dxa"/>
            <w:tcBorders/>
            <w:vAlign w:val="center"/>
          </w:tcPr>
          <w:p>
            <w:pPr>
              <w:pStyle w:val="TableContents"/>
              <w:bidi w:val="0"/>
              <w:spacing w:before="0" w:after="0"/>
              <w:jc w:val="right"/>
              <w:rPr>
                <w:b/>
                <w:spacing w:val="0"/>
              </w:rPr>
            </w:pPr>
            <w:r>
              <w:rPr>
                <w:b/>
                <w:spacing w:val="0"/>
              </w:rPr>
              <w:t>(1.88</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800" w:type="dxa"/>
            <w:tcBorders/>
            <w:vAlign w:val="center"/>
          </w:tcPr>
          <w:p>
            <w:pPr>
              <w:pStyle w:val="TableContents"/>
              <w:bidi w:val="0"/>
              <w:spacing w:before="0" w:after="0"/>
              <w:jc w:val="right"/>
              <w:rPr>
                <w:b/>
                <w:spacing w:val="0"/>
              </w:rPr>
            </w:pPr>
            <w:r>
              <w:rPr>
                <w:b/>
                <w:spacing w:val="0"/>
              </w:rPr>
              <w:t>(0.27</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(1.88</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55" w:type="dxa"/>
            <w:tcBorders/>
            <w:vAlign w:val="center"/>
          </w:tcPr>
          <w:p>
            <w:pPr>
              <w:pStyle w:val="TableContents"/>
              <w:bidi w:val="0"/>
              <w:spacing w:before="0" w:after="0"/>
              <w:jc w:val="right"/>
              <w:rPr>
                <w:b/>
                <w:spacing w:val="0"/>
              </w:rPr>
            </w:pPr>
            <w:r>
              <w:rPr>
                <w:b/>
                <w:spacing w:val="0"/>
              </w:rPr>
              <w:t>(0.27</w:t>
            </w:r>
          </w:p>
        </w:tc>
        <w:tc>
          <w:tcPr>
            <w:tcW w:w="170" w:type="dxa"/>
            <w:tcBorders/>
            <w:vAlign w:val="center"/>
          </w:tcPr>
          <w:p>
            <w:pPr>
              <w:pStyle w:val="TableContents"/>
              <w:bidi w:val="0"/>
              <w:spacing w:before="0" w:after="0"/>
              <w:jc w:val="left"/>
              <w:rPr>
                <w:b/>
                <w:spacing w:val="0"/>
              </w:rPr>
            </w:pPr>
            <w:r>
              <w:rPr>
                <w:b/>
                <w:spacing w:val="0"/>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F- 6</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335"/>
        <w:gridCol w:w="2390"/>
      </w:tblGrid>
      <w:tr>
        <w:trPr/>
        <w:tc>
          <w:tcPr>
            <w:tcW w:w="335" w:type="dxa"/>
            <w:tcBorders/>
            <w:vAlign w:val="center"/>
          </w:tcPr>
          <w:p>
            <w:pPr>
              <w:pStyle w:val="TableContents"/>
              <w:bidi w:val="0"/>
              <w:spacing w:before="0" w:after="0"/>
              <w:jc w:val="left"/>
              <w:rPr>
                <w:b/>
                <w:spacing w:val="0"/>
              </w:rPr>
            </w:pPr>
            <w:r>
              <w:rPr>
                <w:b/>
                <w:spacing w:val="0"/>
              </w:rPr>
              <w:t>21.</w:t>
            </w:r>
          </w:p>
        </w:tc>
        <w:tc>
          <w:tcPr>
            <w:tcW w:w="23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Loss Per Share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had potential dilutive securities such as unvested RSUs and options granted. As the Group incurred losses for the years ended December 31, 2023, 2024 and 2025, these potential ordinary shares were anti-dilutive and excluded from the calculation of diluted net loss per share of the Company. The weighted-average numbers of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z w:val="20"/>
        </w:rPr>
      </w:pPr>
      <w:r>
        <w:rPr>
          <w:rFonts w:ascii="Times New Roman" w:hAnsi="Times New Roman"/>
          <w:sz w:val="20"/>
        </w:rPr>
        <w:t xml:space="preserve">RSUs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z w:val="20"/>
        </w:rPr>
      </w:pPr>
      <w:r>
        <w:rPr>
          <w:rFonts w:ascii="Times New Roman" w:hAnsi="Times New Roman"/>
          <w:sz w:val="20"/>
        </w:rPr>
        <w:t xml:space="preserve">share options excluded from the calculation of diluted net loss per share of the Company were 2,606,391, 9,771,921 and 8,861,587 as of December 31, 2023, 2024 and 2025, respectively.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335"/>
        <w:gridCol w:w="1820"/>
      </w:tblGrid>
      <w:tr>
        <w:trPr/>
        <w:tc>
          <w:tcPr>
            <w:tcW w:w="335" w:type="dxa"/>
            <w:tcBorders/>
            <w:vAlign w:val="center"/>
          </w:tcPr>
          <w:p>
            <w:pPr>
              <w:pStyle w:val="TableContents"/>
              <w:bidi w:val="0"/>
              <w:spacing w:before="0" w:after="0"/>
              <w:jc w:val="left"/>
              <w:rPr>
                <w:b/>
                <w:spacing w:val="0"/>
              </w:rPr>
            </w:pPr>
            <w:r>
              <w:rPr>
                <w:b/>
                <w:spacing w:val="0"/>
              </w:rPr>
              <w:t>22.</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Net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pay dividends is primarily dependent on the Company receiving distributions of funds from its subsidiary and the VIEs. Relevant PRC statutory laws and regulations permit payments of dividends by the Company’s PRC subsidiaries, the VIEs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subsidiaries and VIEs. </w:t>
      </w:r>
    </w:p>
    <w:p>
      <w:pPr>
        <w:pStyle w:val="TextBody"/>
        <w:bidi w:val="0"/>
        <w:spacing w:before="120" w:after="0"/>
        <w:jc w:val="left"/>
        <w:rPr>
          <w:rFonts w:ascii="Times New Roman" w:hAnsi="Times New Roman"/>
          <w:sz w:val="20"/>
        </w:rPr>
      </w:pPr>
      <w:r>
        <w:rPr>
          <w:rFonts w:ascii="Times New Roman" w:hAnsi="Times New Roman"/>
          <w:sz w:val="20"/>
        </w:rPr>
        <w:t xml:space="preserve">Prior to January 1, 2025, in accordance with the laws applicable to China’s Foreign Investment Enterprises, the Group’s subsidiaries registered as WFOEs have to make appropriations from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 (as determined under the PRC GAAP) to reserve funds including general reserve fund, and staff bonus and welfare fund. The appropriation to the general reserve fund must be at least 10%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calculated in accordance with PRC GAAP. Appropriation is not required if the reserve fund has reached 50% of the registered capital of the company. Appropriation to the staff bonus and welfare fund is made at the discretion of the company. With effect from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January 1, 2025, no appropriations shall </w:t>
      </w:r>
    </w:p>
    <w:p>
      <w:pPr>
        <w:pStyle w:val="TextBody"/>
        <w:bidi w:val="0"/>
        <w:spacing w:before="120" w:after="0"/>
        <w:jc w:val="left"/>
        <w:rPr>
          <w:rFonts w:ascii="Times New Roman" w:hAnsi="Times New Roman"/>
          <w:sz w:val="20"/>
        </w:rPr>
      </w:pPr>
      <w:r>
        <w:rPr>
          <w:rFonts w:ascii="Times New Roman" w:hAnsi="Times New Roman"/>
          <w:sz w:val="20"/>
        </w:rPr>
        <w:t xml:space="preserve">be made to the general reserve fund, the enterprise expansion fund or the staff welfare and bonus fund. Any distribution of profit shall comply with the Company Laws of the PRC. For the years ended December 31, 2023, 2024 and 2025, the WFOEs made appropriations to general reserve fund and statutory surplus fund of nil, nil and RMB1,421 (US$203), respectively. </w:t>
      </w:r>
    </w:p>
    <w:p>
      <w:pPr>
        <w:pStyle w:val="TextBody"/>
        <w:bidi w:val="0"/>
        <w:spacing w:before="120" w:after="0"/>
        <w:jc w:val="left"/>
        <w:rPr>
          <w:rFonts w:ascii="Times New Roman" w:hAnsi="Times New Roman"/>
          <w:sz w:val="20"/>
        </w:rPr>
      </w:pPr>
      <w:r>
        <w:rPr>
          <w:rFonts w:ascii="Times New Roman" w:hAnsi="Times New Roman"/>
          <w:sz w:val="20"/>
        </w:rPr>
        <w:t xml:space="preserve">Additionally, in accordance with the Company Law of the PRC, a domestic enterprise is required to provide statutory surplus fund at least 10% of its annual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after-tax</w:t>
      </w:r>
    </w:p>
    <w:p>
      <w:pPr>
        <w:pStyle w:val="TextBody"/>
        <w:bidi w:val="0"/>
        <w:spacing w:before="120" w:after="0"/>
        <w:jc w:val="left"/>
        <w:rPr>
          <w:rFonts w:ascii="Times New Roman" w:hAnsi="Times New Roman"/>
          <w:sz w:val="20"/>
        </w:rPr>
      </w:pPr>
      <w:r>
        <w:rPr>
          <w:rFonts w:ascii="Times New Roman" w:hAnsi="Times New Roman"/>
          <w:sz w:val="20"/>
        </w:rPr>
        <w:t xml:space="preserve">profits until such statutory surplus fund has reached 50% of its registered capital based on the enterprise’s PRC statutory financial statements. A domestic enterprise is also required to provide discretionary surplus fund, at the discretion of the board of directors, from the net profits reported in the enterprise’s PRC statutory financial statements. The aforementioned reserve funds can only be used for specific purposes and are not distributable as cash dividends. </w:t>
      </w:r>
    </w:p>
    <w:p>
      <w:pPr>
        <w:pStyle w:val="TextBody"/>
        <w:bidi w:val="0"/>
        <w:spacing w:before="120" w:after="0"/>
        <w:jc w:val="left"/>
        <w:rPr>
          <w:rFonts w:ascii="Times New Roman" w:hAnsi="Times New Roman"/>
          <w:sz w:val="20"/>
        </w:rPr>
      </w:pPr>
      <w:r>
        <w:rPr>
          <w:rFonts w:ascii="Times New Roman" w:hAnsi="Times New Roman"/>
          <w:sz w:val="20"/>
        </w:rPr>
        <w:t xml:space="preserve">Foreign exchange and other regulations in the PRC may further restrict the Group’s VIEs from transferring funds to the Company in the form of dividends, loans and advances. Amounts restricted include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and statutory reserves of the Group’s PRC subsidiaries and the equity of the VIEs, as determined pursuant to PRC generally accepted accounting principles. As of December 31, 2025, restricted net assets of the Company’s PRC subsidiaries and the VIEs was RMB201,401 (US$28,800).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2025, the Company performed a test on the restricted net assets of its consolidated subsidiaries and VIEs in accordance with Securities and Exchange Commission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120" w:after="0"/>
        <w:jc w:val="left"/>
        <w:rPr>
          <w:rFonts w:ascii="Times New Roman" w:hAnsi="Times New Roman"/>
          <w:sz w:val="20"/>
        </w:rPr>
      </w:pPr>
      <w:r>
        <w:rPr>
          <w:rFonts w:ascii="Times New Roman" w:hAnsi="Times New Roman"/>
          <w:sz w:val="20"/>
        </w:rPr>
        <w:t xml:space="preserve">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4-08</w:t>
      </w:r>
    </w:p>
    <w:p>
      <w:pPr>
        <w:pStyle w:val="TextBody"/>
        <w:bidi w:val="0"/>
        <w:spacing w:before="120" w:after="0"/>
        <w:jc w:val="left"/>
        <w:rPr>
          <w:rFonts w:ascii="Times New Roman" w:hAnsi="Times New Roman"/>
          <w:sz w:val="20"/>
        </w:rPr>
      </w:pPr>
      <w:r>
        <w:rPr>
          <w:rFonts w:ascii="Times New Roman" w:hAnsi="Times New Roman"/>
          <w:sz w:val="20"/>
        </w:rPr>
        <w:t xml:space="preserve">(e) (3), “General Notes to Financial Statements” and concluded that the restricted net assets do not exceed 25% of the consolidated net assets of the Company as of December 31, 2025 and the condensed financial information of the Company are not required to be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F- 6</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335"/>
        <w:gridCol w:w="2270"/>
      </w:tblGrid>
      <w:tr>
        <w:trPr/>
        <w:tc>
          <w:tcPr>
            <w:tcW w:w="335" w:type="dxa"/>
            <w:tcBorders/>
            <w:vAlign w:val="center"/>
          </w:tcPr>
          <w:p>
            <w:pPr>
              <w:pStyle w:val="TableContents"/>
              <w:bidi w:val="0"/>
              <w:spacing w:before="0" w:after="0"/>
              <w:jc w:val="left"/>
              <w:rPr>
                <w:b/>
                <w:spacing w:val="0"/>
              </w:rPr>
            </w:pPr>
            <w:r>
              <w:rPr>
                <w:b/>
                <w:spacing w:val="0"/>
              </w:rPr>
              <w:t>23.</w:t>
            </w:r>
          </w:p>
        </w:tc>
        <w:tc>
          <w:tcPr>
            <w:tcW w:w="2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on a recurring basis </w:t>
      </w:r>
    </w:p>
    <w:p>
      <w:pPr>
        <w:pStyle w:val="TextBody"/>
        <w:bidi w:val="0"/>
        <w:spacing w:before="120" w:after="0"/>
        <w:jc w:val="left"/>
        <w:rPr>
          <w:rFonts w:ascii="Times New Roman" w:hAnsi="Times New Roman"/>
          <w:sz w:val="20"/>
        </w:rPr>
      </w:pPr>
      <w:r>
        <w:rPr>
          <w:rFonts w:ascii="Times New Roman" w:hAnsi="Times New Roman"/>
          <w:sz w:val="20"/>
        </w:rPr>
        <w:t xml:space="preserve">Assets measured or disclosed at fair value on a recurring basis as of December 31, 2024 and 2025 are summarized below: </w:t>
      </w:r>
    </w:p>
    <w:p>
      <w:pPr>
        <w:pStyle w:val="TextBody"/>
        <w:bidi w:val="0"/>
        <w:spacing w:before="0" w:after="0"/>
        <w:jc w:val="left"/>
        <w:rPr/>
      </w:pPr>
      <w:r>
        <w:rPr/>
        <w:t> </w:t>
      </w:r>
    </w:p>
    <w:tbl>
      <w:tblPr>
        <w:tblW w:w="9787" w:type="dxa"/>
        <w:jc w:val="left"/>
        <w:tblInd w:w="0" w:type="dxa"/>
        <w:tblLayout w:type="fixed"/>
        <w:tblCellMar>
          <w:top w:w="0" w:type="dxa"/>
          <w:left w:w="0" w:type="dxa"/>
          <w:bottom w:w="0" w:type="dxa"/>
          <w:right w:w="0" w:type="dxa"/>
        </w:tblCellMar>
      </w:tblPr>
      <w:tblGrid>
        <w:gridCol w:w="3065"/>
        <w:gridCol w:w="120"/>
        <w:gridCol w:w="112"/>
        <w:gridCol w:w="1498"/>
        <w:gridCol w:w="92"/>
        <w:gridCol w:w="185"/>
        <w:gridCol w:w="92"/>
        <w:gridCol w:w="1236"/>
        <w:gridCol w:w="92"/>
        <w:gridCol w:w="185"/>
        <w:gridCol w:w="138"/>
        <w:gridCol w:w="1292"/>
        <w:gridCol w:w="92"/>
        <w:gridCol w:w="185"/>
        <w:gridCol w:w="92"/>
        <w:gridCol w:w="1236"/>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27"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as of December 31, 2024 using</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 in</w:t>
              <w:br/>
              <w:t>Active Market</w:t>
              <w:br/>
              <w:t>for Identical</w:t>
              <w:br/>
              <w:t>Assets</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Unobservable</w:t>
              <w:br/>
              <w:t>Inputs</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RMB</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0"/>
              <w:jc w:val="center"/>
              <w:rPr>
                <w:b/>
                <w:spacing w:val="0"/>
              </w:rPr>
            </w:pPr>
            <w:r>
              <w:rPr>
                <w:b/>
                <w:spacing w:val="0"/>
              </w:rPr>
              <w:t>RMB</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RMB</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Fair value measurement</w:t>
            </w:r>
          </w:p>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1498"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236"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before="0" w:after="283"/>
              <w:jc w:val="left"/>
              <w:rPr>
                <w:sz w:val="4"/>
                <w:szCs w:val="4"/>
              </w:rPr>
            </w:pPr>
            <w:r>
              <w:rPr>
                <w:sz w:val="4"/>
                <w:szCs w:val="4"/>
              </w:rPr>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sz w:val="4"/>
                <w:szCs w:val="4"/>
              </w:rPr>
            </w:pPr>
            <w:r>
              <w:rPr>
                <w:sz w:val="4"/>
                <w:szCs w:val="4"/>
              </w:rPr>
            </w:r>
          </w:p>
        </w:tc>
        <w:tc>
          <w:tcPr>
            <w:tcW w:w="123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pPr>
            <w:r>
              <w:rPr/>
              <w:t xml:space="preserve">– </w:t>
            </w:r>
            <w:r>
              <w:rPr>
                <w:rFonts w:ascii="Times New Roman" w:hAnsi="Times New Roman"/>
                <w:sz w:val="20"/>
              </w:rPr>
              <w:t>foreign exchange forward contracts</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8</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119,928</w:t>
            </w:r>
          </w:p>
        </w:tc>
        <w:tc>
          <w:tcPr>
            <w:tcW w:w="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393,755</w:t>
            </w:r>
          </w:p>
        </w:tc>
        <w:tc>
          <w:tcPr>
            <w:tcW w:w="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513,683</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security investment</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2,348</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36" w:type="dxa"/>
            <w:tcBorders/>
            <w:vAlign w:val="center"/>
          </w:tcPr>
          <w:p>
            <w:pPr>
              <w:pStyle w:val="TableContents"/>
              <w:bidi w:val="0"/>
              <w:spacing w:before="0" w:after="283"/>
              <w:jc w:val="right"/>
              <w:rPr/>
            </w:pPr>
            <w:r>
              <w:rPr/>
              <w:t>2,348</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498" w:type="dxa"/>
            <w:tcBorders/>
            <w:vAlign w:val="center"/>
          </w:tcPr>
          <w:p>
            <w:pPr>
              <w:pStyle w:val="TableContents"/>
              <w:bidi w:val="0"/>
              <w:spacing w:before="0" w:after="0"/>
              <w:jc w:val="left"/>
              <w:rPr>
                <w:bdr w:val="single" w:sz="2" w:space="1" w:color="000000"/>
              </w:rPr>
            </w:pPr>
            <w:r>
              <w:rPr>
                <w:bdr w:val="single" w:sz="2" w:space="1" w:color="000000"/>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6" w:type="dxa"/>
            <w:tcBorders/>
            <w:vAlign w:val="center"/>
          </w:tcPr>
          <w:p>
            <w:pPr>
              <w:pStyle w:val="TableContents"/>
              <w:bidi w:val="0"/>
              <w:spacing w:before="0" w:after="0"/>
              <w:jc w:val="left"/>
              <w:rPr>
                <w:bdr w:val="single" w:sz="2" w:space="1" w:color="000000"/>
              </w:rPr>
            </w:pPr>
            <w:r>
              <w:rPr>
                <w:bdr w:val="single" w:sz="2" w:space="1" w:color="000000"/>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single" w:sz="2" w:space="1" w:color="000000"/>
              </w:rPr>
            </w:pPr>
            <w:r>
              <w:rPr>
                <w:bdr w:val="single" w:sz="2" w:space="1" w:color="000000"/>
              </w:rPr>
              <w:t> </w:t>
            </w:r>
          </w:p>
        </w:tc>
        <w:tc>
          <w:tcPr>
            <w:tcW w:w="1292" w:type="dxa"/>
            <w:tcBorders/>
            <w:vAlign w:val="center"/>
          </w:tcPr>
          <w:p>
            <w:pPr>
              <w:pStyle w:val="TableContents"/>
              <w:bidi w:val="0"/>
              <w:spacing w:before="0" w:after="0"/>
              <w:jc w:val="left"/>
              <w:rPr>
                <w:bdr w:val="single" w:sz="2" w:space="1" w:color="000000"/>
              </w:rPr>
            </w:pPr>
            <w:r>
              <w:rPr>
                <w:bdr w:val="single" w:sz="2" w:space="1" w:color="000000"/>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single" w:sz="2" w:space="1" w:color="000000"/>
              </w:rPr>
            </w:pPr>
            <w:r>
              <w:rPr>
                <w:bdr w:val="single" w:sz="2" w:space="1" w:color="000000"/>
              </w:rPr>
              <w:t> </w:t>
            </w:r>
          </w:p>
        </w:tc>
        <w:tc>
          <w:tcPr>
            <w:tcW w:w="123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s</w:t>
            </w:r>
          </w:p>
          <w:p>
            <w:pPr>
              <w:pStyle w:val="TableContents"/>
              <w:bidi w:val="0"/>
              <w:spacing w:before="0" w:after="0"/>
              <w:jc w:val="left"/>
              <w:rPr>
                <w:rFonts w:ascii="Times New Roman" w:hAnsi="Times New Roman"/>
                <w:b/>
                <w:sz w:val="20"/>
              </w:rPr>
            </w:pPr>
            <w:r>
              <w:rPr>
                <w:rFonts w:ascii="Times New Roman" w:hAnsi="Times New Roman"/>
                <w:b/>
                <w:sz w:val="20"/>
              </w:rPr>
              <w:t>measured at fair value</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0"/>
              <w:jc w:val="left"/>
              <w:rPr>
                <w:spacing w:val="0"/>
              </w:rPr>
            </w:pPr>
            <w:r>
              <w:rPr>
                <w:spacing w:val="0"/>
              </w:rPr>
              <w:t> </w:t>
            </w:r>
          </w:p>
        </w:tc>
        <w:tc>
          <w:tcPr>
            <w:tcW w:w="1498" w:type="dxa"/>
            <w:tcBorders/>
            <w:shd w:fill="CCEEFF" w:val="clear"/>
            <w:vAlign w:val="center"/>
          </w:tcPr>
          <w:p>
            <w:pPr>
              <w:pStyle w:val="TableContents"/>
              <w:bidi w:val="0"/>
              <w:spacing w:before="0" w:after="0"/>
              <w:jc w:val="right"/>
              <w:rPr>
                <w:b/>
                <w:spacing w:val="0"/>
              </w:rPr>
            </w:pPr>
            <w:r>
              <w:rPr>
                <w:b/>
                <w:spacing w:val="0"/>
              </w:rPr>
              <w:t>119,928</w:t>
            </w:r>
          </w:p>
        </w:tc>
        <w:tc>
          <w:tcPr>
            <w:tcW w:w="92" w:type="dxa"/>
            <w:tcBorders/>
            <w:shd w:fill="CCEEFF" w:val="clear"/>
            <w:vAlign w:val="center"/>
          </w:tcPr>
          <w:p>
            <w:pPr>
              <w:pStyle w:val="TableContents"/>
              <w:bidi w:val="0"/>
              <w:spacing w:before="0" w:after="0"/>
              <w:jc w:val="left"/>
              <w:rPr>
                <w:spacing w:val="0"/>
              </w:rPr>
            </w:pPr>
            <w:r>
              <w:rPr>
                <w:spacing w:val="0"/>
              </w:rPr>
              <w:t> </w:t>
            </w:r>
          </w:p>
        </w:tc>
        <w:tc>
          <w:tcPr>
            <w:tcW w:w="18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0"/>
              <w:jc w:val="left"/>
              <w:rPr>
                <w:spacing w:val="0"/>
              </w:rPr>
            </w:pPr>
            <w:r>
              <w:rPr>
                <w:spacing w:val="0"/>
              </w:rPr>
              <w:t> </w:t>
            </w:r>
          </w:p>
        </w:tc>
        <w:tc>
          <w:tcPr>
            <w:tcW w:w="1236" w:type="dxa"/>
            <w:tcBorders/>
            <w:shd w:fill="CCEEFF" w:val="clear"/>
            <w:vAlign w:val="center"/>
          </w:tcPr>
          <w:p>
            <w:pPr>
              <w:pStyle w:val="TableContents"/>
              <w:bidi w:val="0"/>
              <w:spacing w:before="0" w:after="0"/>
              <w:jc w:val="right"/>
              <w:rPr>
                <w:b/>
                <w:spacing w:val="0"/>
              </w:rPr>
            </w:pPr>
            <w:r>
              <w:rPr>
                <w:b/>
                <w:spacing w:val="0"/>
              </w:rPr>
              <w:t>393,763</w:t>
            </w:r>
          </w:p>
        </w:tc>
        <w:tc>
          <w:tcPr>
            <w:tcW w:w="92" w:type="dxa"/>
            <w:tcBorders/>
            <w:shd w:fill="CCEEFF" w:val="clear"/>
            <w:vAlign w:val="center"/>
          </w:tcPr>
          <w:p>
            <w:pPr>
              <w:pStyle w:val="TableContents"/>
              <w:bidi w:val="0"/>
              <w:spacing w:before="0" w:after="0"/>
              <w:jc w:val="left"/>
              <w:rPr>
                <w:spacing w:val="0"/>
              </w:rPr>
            </w:pPr>
            <w:r>
              <w:rPr>
                <w:spacing w:val="0"/>
              </w:rPr>
              <w:t> </w:t>
            </w:r>
          </w:p>
        </w:tc>
        <w:tc>
          <w:tcPr>
            <w:tcW w:w="18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0"/>
              <w:jc w:val="left"/>
              <w:rPr>
                <w:spacing w:val="0"/>
              </w:rPr>
            </w:pPr>
            <w:r>
              <w:rPr>
                <w:spacing w:val="0"/>
              </w:rPr>
              <w:t> </w:t>
            </w:r>
          </w:p>
        </w:tc>
        <w:tc>
          <w:tcPr>
            <w:tcW w:w="1292" w:type="dxa"/>
            <w:tcBorders/>
            <w:shd w:fill="CCEEFF" w:val="clear"/>
            <w:vAlign w:val="center"/>
          </w:tcPr>
          <w:p>
            <w:pPr>
              <w:pStyle w:val="TableContents"/>
              <w:bidi w:val="0"/>
              <w:spacing w:before="0" w:after="0"/>
              <w:jc w:val="right"/>
              <w:rPr>
                <w:b/>
                <w:spacing w:val="0"/>
              </w:rPr>
            </w:pPr>
            <w:r>
              <w:rPr>
                <w:b/>
                <w:spacing w:val="0"/>
              </w:rPr>
              <w:t>2,348</w:t>
            </w:r>
          </w:p>
        </w:tc>
        <w:tc>
          <w:tcPr>
            <w:tcW w:w="92" w:type="dxa"/>
            <w:tcBorders/>
            <w:shd w:fill="CCEEFF" w:val="clear"/>
            <w:vAlign w:val="center"/>
          </w:tcPr>
          <w:p>
            <w:pPr>
              <w:pStyle w:val="TableContents"/>
              <w:bidi w:val="0"/>
              <w:spacing w:before="0" w:after="0"/>
              <w:jc w:val="left"/>
              <w:rPr>
                <w:spacing w:val="0"/>
              </w:rPr>
            </w:pPr>
            <w:r>
              <w:rPr>
                <w:spacing w:val="0"/>
              </w:rPr>
              <w:t> </w:t>
            </w:r>
          </w:p>
        </w:tc>
        <w:tc>
          <w:tcPr>
            <w:tcW w:w="185"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0"/>
              <w:jc w:val="left"/>
              <w:rPr>
                <w:spacing w:val="0"/>
              </w:rPr>
            </w:pPr>
            <w:r>
              <w:rPr>
                <w:spacing w:val="0"/>
              </w:rPr>
              <w:t> </w:t>
            </w:r>
          </w:p>
        </w:tc>
        <w:tc>
          <w:tcPr>
            <w:tcW w:w="1236" w:type="dxa"/>
            <w:tcBorders/>
            <w:shd w:fill="CCEEFF" w:val="clear"/>
            <w:vAlign w:val="center"/>
          </w:tcPr>
          <w:p>
            <w:pPr>
              <w:pStyle w:val="TableContents"/>
              <w:bidi w:val="0"/>
              <w:spacing w:before="0" w:after="0"/>
              <w:jc w:val="right"/>
              <w:rPr>
                <w:b/>
                <w:spacing w:val="0"/>
              </w:rPr>
            </w:pPr>
            <w:r>
              <w:rPr>
                <w:b/>
                <w:spacing w:val="0"/>
              </w:rPr>
              <w:t>516,039</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double" w:sz="6" w:space="1" w:color="000000"/>
              </w:rPr>
            </w:pPr>
            <w:r>
              <w:rPr>
                <w:bdr w:val="double" w:sz="6" w:space="1" w:color="000000"/>
              </w:rPr>
              <w:t> </w:t>
            </w:r>
          </w:p>
        </w:tc>
        <w:tc>
          <w:tcPr>
            <w:tcW w:w="1498" w:type="dxa"/>
            <w:tcBorders/>
            <w:vAlign w:val="center"/>
          </w:tcPr>
          <w:p>
            <w:pPr>
              <w:pStyle w:val="TableContents"/>
              <w:bidi w:val="0"/>
              <w:spacing w:before="0" w:after="0"/>
              <w:jc w:val="left"/>
              <w:rPr>
                <w:bdr w:val="double" w:sz="6" w:space="1" w:color="000000"/>
              </w:rPr>
            </w:pPr>
            <w:r>
              <w:rPr>
                <w:bdr w:val="double" w:sz="6" w:space="1" w:color="000000"/>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double" w:sz="6" w:space="1" w:color="000000"/>
              </w:rPr>
            </w:pPr>
            <w:r>
              <w:rPr>
                <w:bdr w:val="double" w:sz="6" w:space="1" w:color="000000"/>
              </w:rPr>
              <w:t> </w:t>
            </w:r>
          </w:p>
        </w:tc>
        <w:tc>
          <w:tcPr>
            <w:tcW w:w="1236" w:type="dxa"/>
            <w:tcBorders/>
            <w:vAlign w:val="center"/>
          </w:tcPr>
          <w:p>
            <w:pPr>
              <w:pStyle w:val="TableContents"/>
              <w:bidi w:val="0"/>
              <w:spacing w:before="0" w:after="0"/>
              <w:jc w:val="left"/>
              <w:rPr>
                <w:bdr w:val="double" w:sz="6" w:space="1" w:color="000000"/>
              </w:rPr>
            </w:pPr>
            <w:r>
              <w:rPr>
                <w:bdr w:val="double" w:sz="6" w:space="1" w:color="000000"/>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jc w:val="left"/>
              <w:rPr>
                <w:bdr w:val="double" w:sz="6" w:space="1" w:color="000000"/>
              </w:rPr>
            </w:pPr>
            <w:r>
              <w:rPr>
                <w:bdr w:val="double" w:sz="6" w:space="1" w:color="000000"/>
              </w:rPr>
              <w:t> </w:t>
            </w:r>
          </w:p>
        </w:tc>
        <w:tc>
          <w:tcPr>
            <w:tcW w:w="1292" w:type="dxa"/>
            <w:tcBorders/>
            <w:vAlign w:val="center"/>
          </w:tcPr>
          <w:p>
            <w:pPr>
              <w:pStyle w:val="TableContents"/>
              <w:bidi w:val="0"/>
              <w:spacing w:before="0" w:after="0"/>
              <w:jc w:val="left"/>
              <w:rPr>
                <w:bdr w:val="double" w:sz="6" w:space="1" w:color="000000"/>
              </w:rPr>
            </w:pPr>
            <w:r>
              <w:rPr>
                <w:bdr w:val="double" w:sz="6" w:space="1" w:color="000000"/>
              </w:rPr>
              <w:t> </w:t>
            </w:r>
          </w:p>
        </w:tc>
        <w:tc>
          <w:tcPr>
            <w:tcW w:w="9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0"/>
              <w:jc w:val="left"/>
              <w:rPr>
                <w:bdr w:val="double" w:sz="6" w:space="1" w:color="000000"/>
              </w:rPr>
            </w:pPr>
            <w:r>
              <w:rPr>
                <w:bdr w:val="double" w:sz="6" w:space="1" w:color="000000"/>
              </w:rPr>
              <w:t> </w:t>
            </w:r>
          </w:p>
        </w:tc>
        <w:tc>
          <w:tcPr>
            <w:tcW w:w="123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676" w:type="dxa"/>
        <w:jc w:val="left"/>
        <w:tblInd w:w="0" w:type="dxa"/>
        <w:tblLayout w:type="fixed"/>
        <w:tblCellMar>
          <w:top w:w="0" w:type="dxa"/>
          <w:left w:w="0" w:type="dxa"/>
          <w:bottom w:w="0" w:type="dxa"/>
          <w:right w:w="0" w:type="dxa"/>
        </w:tblCellMar>
      </w:tblPr>
      <w:tblGrid>
        <w:gridCol w:w="3065"/>
        <w:gridCol w:w="120"/>
        <w:gridCol w:w="112"/>
        <w:gridCol w:w="1498"/>
        <w:gridCol w:w="89"/>
        <w:gridCol w:w="179"/>
        <w:gridCol w:w="89"/>
        <w:gridCol w:w="1197"/>
        <w:gridCol w:w="89"/>
        <w:gridCol w:w="179"/>
        <w:gridCol w:w="115"/>
        <w:gridCol w:w="1315"/>
        <w:gridCol w:w="89"/>
        <w:gridCol w:w="179"/>
        <w:gridCol w:w="89"/>
        <w:gridCol w:w="1197"/>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16"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Measurements as of December 31, 2025 using</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 in</w:t>
              <w:br/>
              <w:t>Active Market</w:t>
              <w:br/>
              <w:t>for Identical</w:t>
              <w:br/>
              <w:t>Assets</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Unobservable</w:t>
              <w:br/>
              <w:t>Inputs</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1)</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2)</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(Level 3)</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RMB</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6" w:type="dxa"/>
            <w:gridSpan w:val="2"/>
            <w:tcBorders/>
            <w:vAlign w:val="center"/>
          </w:tcPr>
          <w:p>
            <w:pPr>
              <w:pStyle w:val="TableContents"/>
              <w:bidi w:val="0"/>
              <w:spacing w:before="0" w:after="0"/>
              <w:jc w:val="center"/>
              <w:rPr>
                <w:b/>
                <w:spacing w:val="0"/>
              </w:rPr>
            </w:pPr>
            <w:r>
              <w:rPr>
                <w:b/>
                <w:spacing w:val="0"/>
              </w:rPr>
              <w:t>RMB</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RMB</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286"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Fair value measurement</w:t>
            </w:r>
          </w:p>
          <w:p>
            <w:pPr>
              <w:pStyle w:val="TableContents"/>
              <w:bidi w:val="0"/>
              <w:spacing w:before="0" w:after="0"/>
              <w:jc w:val="left"/>
              <w:rPr>
                <w:rFonts w:ascii="Times New Roman" w:hAnsi="Times New Roman"/>
                <w:b/>
                <w:i/>
                <w:caps w:val="false"/>
                <w:smallCaps w:val="false"/>
                <w:spacing w:val="0"/>
                <w:sz w:val="20"/>
                <w:u w:val="single"/>
              </w:rPr>
            </w:pPr>
            <w:r>
              <w:rPr>
                <w:rFonts w:ascii="Times New Roman" w:hAnsi="Times New Roman"/>
                <w:b/>
                <w:i/>
                <w:caps w:val="false"/>
                <w:smallCaps w:val="false"/>
                <w:spacing w:val="0"/>
                <w:sz w:val="20"/>
                <w:u w:val="single"/>
              </w:rPr>
              <w:t>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1498" w:type="dxa"/>
            <w:tcBorders/>
            <w:shd w:fill="CCEEFF" w:val="clear"/>
            <w:vAlign w:val="center"/>
          </w:tcPr>
          <w:p>
            <w:pPr>
              <w:pStyle w:val="TableContents"/>
              <w:bidi w:val="0"/>
              <w:spacing w:before="0" w:after="283"/>
              <w:jc w:val="left"/>
              <w:rPr>
                <w:sz w:val="4"/>
                <w:szCs w:val="4"/>
              </w:rPr>
            </w:pPr>
            <w:r>
              <w:rPr>
                <w:sz w:val="4"/>
                <w:szCs w:val="4"/>
              </w:rPr>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before="0" w:after="283"/>
              <w:jc w:val="left"/>
              <w:rPr>
                <w:sz w:val="4"/>
                <w:szCs w:val="4"/>
              </w:rPr>
            </w:pPr>
            <w:r>
              <w:rPr>
                <w:sz w:val="4"/>
                <w:szCs w:val="4"/>
              </w:rPr>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79"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1315" w:type="dxa"/>
            <w:tcBorders/>
            <w:shd w:fill="CCEEFF" w:val="clear"/>
            <w:vAlign w:val="center"/>
          </w:tcPr>
          <w:p>
            <w:pPr>
              <w:pStyle w:val="TableContents"/>
              <w:bidi w:val="0"/>
              <w:spacing w:before="0" w:after="283"/>
              <w:jc w:val="left"/>
              <w:rPr>
                <w:sz w:val="4"/>
                <w:szCs w:val="4"/>
              </w:rPr>
            </w:pPr>
            <w:r>
              <w:rPr>
                <w:sz w:val="4"/>
                <w:szCs w:val="4"/>
              </w:rPr>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sz w:val="4"/>
                <w:szCs w:val="4"/>
              </w:rPr>
            </w:pPr>
            <w:r>
              <w:rPr>
                <w:sz w:val="4"/>
                <w:szCs w:val="4"/>
              </w:rPr>
            </w:r>
          </w:p>
        </w:tc>
        <w:tc>
          <w:tcPr>
            <w:tcW w:w="119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assets</w:t>
            </w:r>
          </w:p>
          <w:p>
            <w:pPr>
              <w:pStyle w:val="TableContents"/>
              <w:bidi w:val="0"/>
              <w:spacing w:before="0" w:after="0"/>
              <w:jc w:val="left"/>
              <w:rPr/>
            </w:pPr>
            <w:r>
              <w:rPr/>
              <w:t xml:space="preserve">– </w:t>
            </w:r>
            <w:r>
              <w:rPr>
                <w:rFonts w:ascii="Times New Roman" w:hAnsi="Times New Roman"/>
                <w:sz w:val="20"/>
              </w:rPr>
              <w:t>foreign exchange forward contracts</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314</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314</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224,327</w:t>
            </w:r>
          </w:p>
        </w:tc>
        <w:tc>
          <w:tcPr>
            <w:tcW w:w="8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618,905</w:t>
            </w:r>
          </w:p>
        </w:tc>
        <w:tc>
          <w:tcPr>
            <w:tcW w:w="8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315" w:type="dxa"/>
            <w:tcBorders/>
            <w:shd w:fill="CCEEFF" w:val="clear"/>
            <w:vAlign w:val="center"/>
          </w:tcPr>
          <w:p>
            <w:pPr>
              <w:pStyle w:val="TableContents"/>
              <w:bidi w:val="0"/>
              <w:spacing w:before="0" w:after="283"/>
              <w:jc w:val="right"/>
              <w:rPr/>
            </w:pPr>
            <w:r>
              <w:rPr/>
              <w:t>—</w:t>
            </w:r>
          </w:p>
        </w:tc>
        <w:tc>
          <w:tcPr>
            <w:tcW w:w="89"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843,232</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security investment</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498" w:type="dxa"/>
            <w:tcBorders/>
            <w:vAlign w:val="center"/>
          </w:tcPr>
          <w:p>
            <w:pPr>
              <w:pStyle w:val="TableContents"/>
              <w:bidi w:val="0"/>
              <w:spacing w:before="0" w:after="283"/>
              <w:jc w:val="right"/>
              <w:rPr/>
            </w:pPr>
            <w:r>
              <w:rPr/>
              <w:t>—</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right"/>
              <w:rPr/>
            </w:pPr>
            <w:r>
              <w:rPr/>
              <w:t>14,687</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14,687</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single" w:sz="2" w:space="1" w:color="000000"/>
              </w:rPr>
            </w:pPr>
            <w:r>
              <w:rPr>
                <w:bdr w:val="single" w:sz="2" w:space="1" w:color="000000"/>
              </w:rPr>
              <w:t> </w:t>
            </w:r>
          </w:p>
        </w:tc>
        <w:tc>
          <w:tcPr>
            <w:tcW w:w="1498" w:type="dxa"/>
            <w:tcBorders/>
            <w:vAlign w:val="center"/>
          </w:tcPr>
          <w:p>
            <w:pPr>
              <w:pStyle w:val="TableContents"/>
              <w:bidi w:val="0"/>
              <w:spacing w:before="0" w:after="0"/>
              <w:jc w:val="left"/>
              <w:rPr>
                <w:bdr w:val="single" w:sz="2" w:space="1" w:color="000000"/>
              </w:rPr>
            </w:pPr>
            <w:r>
              <w:rPr>
                <w:bdr w:val="single" w:sz="2" w:space="1" w:color="000000"/>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bdr w:val="single" w:sz="2" w:space="1" w:color="000000"/>
              </w:rPr>
            </w:pPr>
            <w:r>
              <w:rPr>
                <w:bdr w:val="single" w:sz="2" w:space="1" w:color="000000"/>
              </w:rPr>
              <w:t> </w:t>
            </w:r>
          </w:p>
        </w:tc>
        <w:tc>
          <w:tcPr>
            <w:tcW w:w="1315" w:type="dxa"/>
            <w:tcBorders/>
            <w:vAlign w:val="center"/>
          </w:tcPr>
          <w:p>
            <w:pPr>
              <w:pStyle w:val="TableContents"/>
              <w:bidi w:val="0"/>
              <w:spacing w:before="0" w:after="0"/>
              <w:jc w:val="left"/>
              <w:rPr>
                <w:bdr w:val="single" w:sz="2" w:space="1" w:color="000000"/>
              </w:rPr>
            </w:pPr>
            <w:r>
              <w:rPr>
                <w:bdr w:val="single" w:sz="2" w:space="1" w:color="000000"/>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single" w:sz="2" w:space="1" w:color="000000"/>
              </w:rPr>
            </w:pPr>
            <w:r>
              <w:rPr>
                <w:bdr w:val="single" w:sz="2" w:space="1" w:color="000000"/>
              </w:rPr>
              <w:t> </w:t>
            </w:r>
          </w:p>
        </w:tc>
        <w:tc>
          <w:tcPr>
            <w:tcW w:w="1197"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s</w:t>
            </w:r>
          </w:p>
          <w:p>
            <w:pPr>
              <w:pStyle w:val="TableContents"/>
              <w:bidi w:val="0"/>
              <w:spacing w:before="0" w:after="0"/>
              <w:jc w:val="left"/>
              <w:rPr>
                <w:rFonts w:ascii="Times New Roman" w:hAnsi="Times New Roman"/>
                <w:b/>
                <w:sz w:val="20"/>
              </w:rPr>
            </w:pPr>
            <w:r>
              <w:rPr>
                <w:rFonts w:ascii="Times New Roman" w:hAnsi="Times New Roman"/>
                <w:b/>
                <w:sz w:val="20"/>
              </w:rPr>
              <w:t>measured at fair value</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0"/>
              <w:jc w:val="left"/>
              <w:rPr>
                <w:spacing w:val="0"/>
              </w:rPr>
            </w:pPr>
            <w:r>
              <w:rPr>
                <w:spacing w:val="0"/>
              </w:rPr>
              <w:t> </w:t>
            </w:r>
          </w:p>
        </w:tc>
        <w:tc>
          <w:tcPr>
            <w:tcW w:w="1498" w:type="dxa"/>
            <w:tcBorders/>
            <w:shd w:fill="CCEEFF" w:val="clear"/>
            <w:vAlign w:val="center"/>
          </w:tcPr>
          <w:p>
            <w:pPr>
              <w:pStyle w:val="TableContents"/>
              <w:bidi w:val="0"/>
              <w:spacing w:before="0" w:after="0"/>
              <w:jc w:val="right"/>
              <w:rPr>
                <w:b/>
                <w:spacing w:val="0"/>
              </w:rPr>
            </w:pPr>
            <w:r>
              <w:rPr>
                <w:b/>
                <w:spacing w:val="0"/>
              </w:rPr>
              <w:t>224,327</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197" w:type="dxa"/>
            <w:tcBorders/>
            <w:shd w:fill="CCEEFF" w:val="clear"/>
            <w:vAlign w:val="center"/>
          </w:tcPr>
          <w:p>
            <w:pPr>
              <w:pStyle w:val="TableContents"/>
              <w:bidi w:val="0"/>
              <w:spacing w:before="0" w:after="0"/>
              <w:jc w:val="right"/>
              <w:rPr>
                <w:b/>
                <w:spacing w:val="0"/>
              </w:rPr>
            </w:pPr>
            <w:r>
              <w:rPr>
                <w:b/>
                <w:spacing w:val="0"/>
              </w:rPr>
              <w:t>619,219</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79"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0"/>
              <w:jc w:val="left"/>
              <w:rPr>
                <w:spacing w:val="0"/>
              </w:rPr>
            </w:pPr>
            <w:r>
              <w:rPr>
                <w:spacing w:val="0"/>
              </w:rPr>
              <w:t> </w:t>
            </w:r>
          </w:p>
        </w:tc>
        <w:tc>
          <w:tcPr>
            <w:tcW w:w="1315" w:type="dxa"/>
            <w:tcBorders/>
            <w:shd w:fill="CCEEFF" w:val="clear"/>
            <w:vAlign w:val="center"/>
          </w:tcPr>
          <w:p>
            <w:pPr>
              <w:pStyle w:val="TableContents"/>
              <w:bidi w:val="0"/>
              <w:spacing w:before="0" w:after="0"/>
              <w:jc w:val="right"/>
              <w:rPr>
                <w:b/>
                <w:spacing w:val="0"/>
              </w:rPr>
            </w:pPr>
            <w:r>
              <w:rPr>
                <w:b/>
                <w:spacing w:val="0"/>
              </w:rPr>
              <w:t>14,687</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7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0"/>
              <w:jc w:val="left"/>
              <w:rPr>
                <w:spacing w:val="0"/>
              </w:rPr>
            </w:pPr>
            <w:r>
              <w:rPr>
                <w:spacing w:val="0"/>
              </w:rPr>
              <w:t> </w:t>
            </w:r>
          </w:p>
        </w:tc>
        <w:tc>
          <w:tcPr>
            <w:tcW w:w="1197" w:type="dxa"/>
            <w:tcBorders/>
            <w:shd w:fill="CCEEFF" w:val="clear"/>
            <w:vAlign w:val="center"/>
          </w:tcPr>
          <w:p>
            <w:pPr>
              <w:pStyle w:val="TableContents"/>
              <w:bidi w:val="0"/>
              <w:spacing w:before="0" w:after="0"/>
              <w:jc w:val="right"/>
              <w:rPr>
                <w:b/>
                <w:spacing w:val="0"/>
              </w:rPr>
            </w:pPr>
            <w:r>
              <w:rPr>
                <w:b/>
                <w:spacing w:val="0"/>
              </w:rPr>
              <w:t>858,233</w:t>
            </w:r>
          </w:p>
        </w:tc>
        <w:tc>
          <w:tcPr>
            <w:tcW w:w="75" w:type="dxa"/>
            <w:tcBorders/>
            <w:shd w:fill="CCEEFF" w:val="clear"/>
            <w:vAlign w:val="center"/>
          </w:tcPr>
          <w:p>
            <w:pPr>
              <w:pStyle w:val="TableContents"/>
              <w:bidi w:val="0"/>
              <w:spacing w:before="0" w:after="0"/>
              <w:jc w:val="left"/>
              <w:rPr>
                <w:spacing w:val="0"/>
              </w:rPr>
            </w:pPr>
            <w:r>
              <w:rPr>
                <w:spacing w:val="0"/>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0"/>
              <w:jc w:val="left"/>
              <w:rPr>
                <w:bdr w:val="double" w:sz="6" w:space="1" w:color="000000"/>
              </w:rPr>
            </w:pPr>
            <w:r>
              <w:rPr>
                <w:bdr w:val="double" w:sz="6" w:space="1" w:color="000000"/>
              </w:rPr>
              <w:t> </w:t>
            </w:r>
          </w:p>
        </w:tc>
        <w:tc>
          <w:tcPr>
            <w:tcW w:w="1498" w:type="dxa"/>
            <w:tcBorders/>
            <w:vAlign w:val="center"/>
          </w:tcPr>
          <w:p>
            <w:pPr>
              <w:pStyle w:val="TableContents"/>
              <w:bidi w:val="0"/>
              <w:spacing w:before="0" w:after="0"/>
              <w:jc w:val="left"/>
              <w:rPr>
                <w:bdr w:val="double" w:sz="6" w:space="1" w:color="000000"/>
              </w:rPr>
            </w:pPr>
            <w:r>
              <w:rPr>
                <w:bdr w:val="double" w:sz="6" w:space="1" w:color="000000"/>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0"/>
              <w:jc w:val="left"/>
              <w:rPr>
                <w:bdr w:val="double" w:sz="6" w:space="1" w:color="000000"/>
              </w:rPr>
            </w:pPr>
            <w:r>
              <w:rPr>
                <w:bdr w:val="double" w:sz="6" w:space="1" w:color="000000"/>
              </w:rPr>
              <w:t> </w:t>
            </w:r>
          </w:p>
        </w:tc>
        <w:tc>
          <w:tcPr>
            <w:tcW w:w="1315" w:type="dxa"/>
            <w:tcBorders/>
            <w:vAlign w:val="center"/>
          </w:tcPr>
          <w:p>
            <w:pPr>
              <w:pStyle w:val="TableContents"/>
              <w:bidi w:val="0"/>
              <w:spacing w:before="0" w:after="0"/>
              <w:jc w:val="left"/>
              <w:rPr>
                <w:bdr w:val="double" w:sz="6" w:space="1" w:color="000000"/>
              </w:rPr>
            </w:pPr>
            <w:r>
              <w:rPr>
                <w:bdr w:val="double" w:sz="6" w:space="1" w:color="000000"/>
              </w:rPr>
              <w:t> </w:t>
            </w:r>
          </w:p>
        </w:tc>
        <w:tc>
          <w:tcPr>
            <w:tcW w:w="89"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0"/>
              <w:jc w:val="left"/>
              <w:rPr>
                <w:bdr w:val="double" w:sz="6" w:space="1" w:color="000000"/>
              </w:rPr>
            </w:pPr>
            <w:r>
              <w:rPr>
                <w:bdr w:val="double" w:sz="6" w:space="1" w:color="000000"/>
              </w:rPr>
              <w:t> </w:t>
            </w:r>
          </w:p>
        </w:tc>
        <w:tc>
          <w:tcPr>
            <w:tcW w:w="1197"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Group values its derivative instruments using the redemption forward rate by the issuing financial institutions that are not market observable inputs, and accordingly the Group classifies the valuation techniques that use these inputs as Level 2. </w:t>
      </w:r>
    </w:p>
    <w:p>
      <w:pPr>
        <w:pStyle w:val="TextBody"/>
        <w:bidi w:val="0"/>
        <w:spacing w:before="120" w:after="0"/>
        <w:jc w:val="left"/>
        <w:rPr>
          <w:rFonts w:ascii="Times New Roman" w:hAnsi="Times New Roman"/>
          <w:sz w:val="20"/>
        </w:rPr>
      </w:pPr>
      <w:r>
        <w:rPr>
          <w:rFonts w:ascii="Times New Roman" w:hAnsi="Times New Roman"/>
          <w:sz w:val="20"/>
        </w:rPr>
        <w:t xml:space="preserve">The fair value of short-term investments with observable inputs are determined based on unadjusted quoted prices in active market, while the fair value of short-term investments without fully observable quoted price are measured using the market approach, based on quoted prices for identical or similar instrument and other significant inputs derived from or corroborated by observable market data. The Group classifies the valuation techniques that use the unadjusted quoted prices as Level 1 of fair value measurements, and classifies the valuation techniques that use market approach as Level 2. </w:t>
      </w:r>
    </w:p>
    <w:p>
      <w:pPr>
        <w:pStyle w:val="TextBody"/>
        <w:bidi w:val="0"/>
        <w:spacing w:before="120" w:after="0"/>
        <w:jc w:val="left"/>
        <w:rPr>
          <w:rFonts w:ascii="Times New Roman" w:hAnsi="Times New Roman"/>
          <w:sz w:val="20"/>
        </w:rPr>
      </w:pPr>
      <w:r>
        <w:rPr>
          <w:rFonts w:ascii="Times New Roman" w:hAnsi="Times New Roman"/>
          <w:sz w:val="20"/>
        </w:rPr>
        <w:t xml:space="preserve">Debt security investment did not have readily determinable market values and are categorized as Level 3 in the fair value hierarchy. The Group used a combination of valuation methodologies, including the equity allocation model, market and income approaches based on the Group’s best estimate, which were determined by using information including but not limited to the pricing of recent rounds of financing of the investees.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F- 6</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center"/>
        <w:rPr>
          <w:rFonts w:ascii="Times New Roman" w:hAnsi="Times New Roman"/>
          <w:b/>
          <w:sz w:val="20"/>
        </w:rPr>
      </w:pPr>
      <w:r>
        <w:rPr>
          <w:rFonts w:ascii="Times New Roman" w:hAnsi="Times New Roman"/>
          <w:b/>
          <w:sz w:val="20"/>
        </w:rPr>
        <w:t xml:space="preserve">except for number of shares and per share data)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335"/>
        <w:gridCol w:w="3305"/>
      </w:tblGrid>
      <w:tr>
        <w:trPr/>
        <w:tc>
          <w:tcPr>
            <w:tcW w:w="335" w:type="dxa"/>
            <w:tcBorders/>
            <w:vAlign w:val="center"/>
          </w:tcPr>
          <w:p>
            <w:pPr>
              <w:pStyle w:val="TableContents"/>
              <w:bidi w:val="0"/>
              <w:spacing w:before="0" w:after="0"/>
              <w:jc w:val="left"/>
              <w:rPr>
                <w:b/>
                <w:spacing w:val="0"/>
              </w:rPr>
            </w:pPr>
            <w:r>
              <w:rPr>
                <w:b/>
                <w:spacing w:val="0"/>
              </w:rPr>
              <w:t>23.</w:t>
            </w:r>
          </w:p>
        </w:tc>
        <w:tc>
          <w:tcPr>
            <w:tcW w:w="33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measurements on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non-recurring</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w:t>
      </w:r>
    </w:p>
    <w:p>
      <w:pPr>
        <w:pStyle w:val="TextBody"/>
        <w:bidi w:val="0"/>
        <w:spacing w:before="120" w:after="0"/>
        <w:jc w:val="left"/>
        <w:rPr>
          <w:rFonts w:ascii="Times New Roman" w:hAnsi="Times New Roman"/>
          <w:sz w:val="20"/>
        </w:rPr>
      </w:pPr>
      <w:r>
        <w:rPr>
          <w:rFonts w:ascii="Times New Roman" w:hAnsi="Times New Roman"/>
          <w:sz w:val="20"/>
        </w:rPr>
        <w:t xml:space="preserve">The Group measures investments without readily determinable fair values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120" w:after="0"/>
        <w:jc w:val="left"/>
        <w:rPr>
          <w:rFonts w:ascii="Times New Roman" w:hAnsi="Times New Roman"/>
          <w:sz w:val="20"/>
        </w:rPr>
      </w:pPr>
      <w:r>
        <w:rPr>
          <w:rFonts w:ascii="Times New Roman" w:hAnsi="Times New Roman"/>
          <w:sz w:val="20"/>
        </w:rPr>
        <w:t xml:space="preserve">basis when changes in fair value can be determined based on observable and relevant market information. Related adjustments, primarily those related to impairment, are recorded as appropriate based on such observable information. Observable price changes generally result from new financing rounds of the investees. The Group determines whether the securities issued in these new financing rounds are similar to the equity securities it holds by comparing the rights and obligations associated with each. If the securities issued in the new financing rounds are determined to be similar to those held by the Group, it directly uses or adjusts the observable price of the similar security to determine the adjustment amount to be recorded. Investments for which the Group directly applies a qualifying observable price are classified within Level 2. Those measured using a combination of valuation methodologies, including the backsolve method based on an equity allocation, are categorized within Level 3.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2023, 2024 and 2025, the Company recorded investment income of nil, nil and RMB8,624 (US$1,234), respectively, from the fair value gain on investments without readily determinable fair values. No impairment losses were recognized on these investments in any of the presented years. </w:t>
      </w:r>
    </w:p>
    <w:p>
      <w:pPr>
        <w:pStyle w:val="TextBody"/>
        <w:bidi w:val="0"/>
        <w:spacing w:before="120" w:after="0"/>
        <w:jc w:val="left"/>
        <w:rPr>
          <w:rFonts w:ascii="Times New Roman" w:hAnsi="Times New Roman"/>
          <w:sz w:val="20"/>
        </w:rPr>
      </w:pPr>
      <w:r>
        <w:rPr>
          <w:rFonts w:ascii="Times New Roman" w:hAnsi="Times New Roman"/>
          <w:sz w:val="20"/>
        </w:rPr>
        <w:t xml:space="preserve">There were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w:t>
      </w:r>
    </w:p>
    <w:p>
      <w:pPr>
        <w:pStyle w:val="TextBody"/>
        <w:bidi w:val="0"/>
        <w:spacing w:before="120" w:after="0"/>
        <w:jc w:val="left"/>
        <w:rPr>
          <w:rFonts w:ascii="Times New Roman" w:hAnsi="Times New Roman"/>
          <w:sz w:val="20"/>
        </w:rPr>
      </w:pPr>
      <w:r>
        <w:rPr>
          <w:rFonts w:ascii="Times New Roman" w:hAnsi="Times New Roman"/>
          <w:sz w:val="20"/>
        </w:rPr>
        <w:t xml:space="preserve">other assets or liabilities measured at a recurring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120" w:after="0"/>
        <w:jc w:val="left"/>
        <w:rPr>
          <w:rFonts w:ascii="Times New Roman" w:hAnsi="Times New Roman"/>
          <w:sz w:val="20"/>
        </w:rPr>
      </w:pPr>
      <w:r>
        <w:rPr>
          <w:rFonts w:ascii="Times New Roman" w:hAnsi="Times New Roman"/>
          <w:sz w:val="20"/>
        </w:rPr>
        <w:t xml:space="preserve">basis as of December 31, 2024 and 2025. The Group measures certain financial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non-financial</w:t>
      </w:r>
    </w:p>
    <w:p>
      <w:pPr>
        <w:pStyle w:val="TextBody"/>
        <w:bidi w:val="0"/>
        <w:spacing w:before="120" w:after="0"/>
        <w:jc w:val="left"/>
        <w:rPr>
          <w:rFonts w:ascii="Times New Roman" w:hAnsi="Times New Roman"/>
          <w:sz w:val="20"/>
        </w:rPr>
      </w:pPr>
      <w:r>
        <w:rPr>
          <w:rFonts w:ascii="Times New Roman" w:hAnsi="Times New Roman"/>
          <w:sz w:val="20"/>
        </w:rPr>
        <w:t xml:space="preserve">assets, including long-lived assets, at fair value on a non-recurring basis when impairment charges are recognized. </w:t>
      </w:r>
    </w:p>
    <w:p>
      <w:pPr>
        <w:pStyle w:val="TextBody"/>
        <w:bidi w:val="0"/>
        <w:spacing w:before="0" w:after="0"/>
        <w:ind w:left="0" w:right="0" w:hanging="0"/>
        <w:jc w:val="left"/>
        <w:rPr>
          <w:sz w:val="28"/>
        </w:rPr>
      </w:pPr>
      <w:r>
        <w:rPr>
          <w:sz w:val="28"/>
        </w:rPr>
      </w:r>
    </w:p>
    <w:tbl>
      <w:tblPr>
        <w:tblW w:w="3190" w:type="dxa"/>
        <w:jc w:val="left"/>
        <w:tblInd w:w="0" w:type="dxa"/>
        <w:tblLayout w:type="fixed"/>
        <w:tblCellMar>
          <w:top w:w="0" w:type="dxa"/>
          <w:left w:w="0" w:type="dxa"/>
          <w:bottom w:w="0" w:type="dxa"/>
          <w:right w:w="0" w:type="dxa"/>
        </w:tblCellMar>
      </w:tblPr>
      <w:tblGrid>
        <w:gridCol w:w="335"/>
        <w:gridCol w:w="2855"/>
      </w:tblGrid>
      <w:tr>
        <w:trPr/>
        <w:tc>
          <w:tcPr>
            <w:tcW w:w="335" w:type="dxa"/>
            <w:tcBorders/>
            <w:vAlign w:val="center"/>
          </w:tcPr>
          <w:p>
            <w:pPr>
              <w:pStyle w:val="TableContents"/>
              <w:bidi w:val="0"/>
              <w:spacing w:before="0" w:after="0"/>
              <w:jc w:val="left"/>
              <w:rPr>
                <w:b/>
                <w:spacing w:val="0"/>
              </w:rPr>
            </w:pPr>
            <w:r>
              <w:rPr>
                <w:b/>
                <w:spacing w:val="0"/>
              </w:rPr>
              <w:t>24.</w:t>
            </w:r>
          </w:p>
        </w:tc>
        <w:tc>
          <w:tcPr>
            <w:tcW w:w="28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05"/>
        <w:gridCol w:w="189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(a)</w:t>
            </w:r>
          </w:p>
        </w:tc>
        <w:tc>
          <w:tcPr>
            <w:tcW w:w="189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 Commitments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plant and equipment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Group’s capital commitments primarily relate to commitments in connection with the improvement of its office building. Total capital commitments contracted but not yet reflected in the financial statements amounted to RMB10,184 and RMB30,064 (US$4,299) as of December 31, 2024 and 2025, respectively. Almost all of the commitments relating to the improvement of the office building are to be fulfilled within one year. </w:t>
      </w:r>
    </w:p>
    <w:p>
      <w:pPr>
        <w:pStyle w:val="TextBody"/>
        <w:bidi w:val="0"/>
        <w:spacing w:before="28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Group’s investment commitments primarily relate to capital contribution obligations under certain arrangements. The total investment commitments contracted but not yet reflected in the consolidated financial statements amounted to RMB3,150 and RMB29,880 (US$4,273) as of December 31, 2024 and 2025. As of December 31, 2025, capital contribution obligations of RMB20,880 (US$2,986) are to be fulfilled within one year and RMB9,000 (US$1,287) are to be fulfilled over one year. </w:t>
      </w:r>
    </w:p>
    <w:p>
      <w:pPr>
        <w:pStyle w:val="TextBody"/>
        <w:bidi w:val="0"/>
        <w:spacing w:before="0" w:after="0"/>
        <w:ind w:left="0" w:right="0" w:hanging="0"/>
        <w:jc w:val="left"/>
        <w:rPr>
          <w:sz w:val="28"/>
        </w:rPr>
      </w:pPr>
      <w:r>
        <w:rPr>
          <w:sz w:val="28"/>
        </w:rPr>
      </w:r>
    </w:p>
    <w:tbl>
      <w:tblPr>
        <w:tblW w:w="1570" w:type="dxa"/>
        <w:jc w:val="left"/>
        <w:tblInd w:w="0" w:type="dxa"/>
        <w:tblLayout w:type="fixed"/>
        <w:tblCellMar>
          <w:top w:w="0" w:type="dxa"/>
          <w:left w:w="0" w:type="dxa"/>
          <w:bottom w:w="0" w:type="dxa"/>
          <w:right w:w="0" w:type="dxa"/>
        </w:tblCellMar>
      </w:tblPr>
      <w:tblGrid>
        <w:gridCol w:w="305"/>
        <w:gridCol w:w="126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126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Contingencies </w:t>
            </w:r>
          </w:p>
        </w:tc>
      </w:tr>
    </w:tbl>
    <w:p>
      <w:pPr>
        <w:pStyle w:val="TextBody"/>
        <w:bidi w:val="0"/>
        <w:spacing w:before="120" w:after="0"/>
        <w:jc w:val="left"/>
        <w:rPr>
          <w:rFonts w:ascii="Times New Roman" w:hAnsi="Times New Roman"/>
          <w:sz w:val="20"/>
        </w:rPr>
      </w:pPr>
      <w:r>
        <w:rPr>
          <w:rFonts w:ascii="Times New Roman" w:hAnsi="Times New Roman"/>
          <w:sz w:val="20"/>
        </w:rPr>
        <w:t>The Group is subject to legal and regulatory actions that arise from time to time. The assessment as to whether a loss is probable or reasonably possible, and as to whether such loss or a range of such loss is estimable, often involves significant judgment about future events, and the outcome of litigation is inherently uncertain. The Group is currently not in any legal or administrative proceedings that may have a material adverse impact on the financial position, results of operations or cash flows of the Group.</w:t>
      </w:r>
    </w:p>
    <w:p>
      <w:pPr>
        <w:pStyle w:val="TextBody"/>
        <w:bidi w:val="0"/>
        <w:spacing w:before="0" w:after="0"/>
        <w:ind w:left="0" w:right="0" w:hanging="0"/>
        <w:jc w:val="left"/>
        <w:rPr>
          <w:sz w:val="28"/>
        </w:rPr>
      </w:pPr>
      <w:r>
        <w:rPr>
          <w:sz w:val="28"/>
        </w:rPr>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0"/>
              <w:jc w:val="left"/>
              <w:rPr>
                <w:b/>
                <w:spacing w:val="0"/>
              </w:rPr>
            </w:pPr>
            <w:bookmarkStart w:id="40" w:name="fin39307_6a"/>
            <w:bookmarkEnd w:id="40"/>
            <w:r>
              <w:rPr>
                <w:b/>
                <w:spacing w:val="0"/>
              </w:rPr>
              <w:t>25.</w:t>
            </w:r>
          </w:p>
        </w:tc>
        <w:tc>
          <w:tcPr>
            <w:tcW w:w="1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0" w:after="0"/>
        <w:ind w:left="0" w:right="0" w:hanging="0"/>
        <w:jc w:val="left"/>
        <w:rPr>
          <w:spacing w:val="0"/>
        </w:rPr>
      </w:pPr>
      <w:r>
        <w:rPr>
          <w:spacing w:val="0"/>
        </w:rPr>
        <w:t> </w:t>
      </w:r>
    </w:p>
    <w:tbl>
      <w:tblPr>
        <w:tblW w:w="3145" w:type="dxa"/>
        <w:jc w:val="left"/>
        <w:tblInd w:w="0" w:type="dxa"/>
        <w:tblLayout w:type="fixed"/>
        <w:tblCellMar>
          <w:top w:w="0" w:type="dxa"/>
          <w:left w:w="0" w:type="dxa"/>
          <w:bottom w:w="0" w:type="dxa"/>
          <w:right w:w="0" w:type="dxa"/>
        </w:tblCellMar>
      </w:tblPr>
      <w:tblGrid>
        <w:gridCol w:w="305"/>
        <w:gridCol w:w="2840"/>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(a)</w:t>
            </w:r>
          </w:p>
        </w:tc>
        <w:tc>
          <w:tcPr>
            <w:tcW w:w="284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Grant of RSUs and Share Options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March 2026, the Company’s Board of Directors has granted 2,100,000 RSUs and 2,680,000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share options to executives and employees under the 2019 Share Incentive Plan and the 2023 Share Incentive Plan. The fair value of RSUs and share options granted are US$9,587 and US$12,234, respectively. </w:t>
      </w:r>
    </w:p>
    <w:p>
      <w:pPr>
        <w:pStyle w:val="TextBody"/>
        <w:bidi w:val="0"/>
        <w:spacing w:before="0" w:after="0"/>
        <w:ind w:left="0" w:right="0" w:hanging="0"/>
        <w:jc w:val="left"/>
        <w:rPr>
          <w:spacing w:val="0"/>
        </w:rPr>
      </w:pPr>
      <w:r>
        <w:rPr>
          <w:spacing w:val="0"/>
        </w:rPr>
        <w:t> </w:t>
      </w:r>
    </w:p>
    <w:tbl>
      <w:tblPr>
        <w:tblW w:w="3280" w:type="dxa"/>
        <w:jc w:val="left"/>
        <w:tblInd w:w="0" w:type="dxa"/>
        <w:tblLayout w:type="fixed"/>
        <w:tblCellMar>
          <w:top w:w="0" w:type="dxa"/>
          <w:left w:w="0" w:type="dxa"/>
          <w:bottom w:w="0" w:type="dxa"/>
          <w:right w:w="0" w:type="dxa"/>
        </w:tblCellMar>
      </w:tblPr>
      <w:tblGrid>
        <w:gridCol w:w="305"/>
        <w:gridCol w:w="2975"/>
      </w:tblGrid>
      <w:tr>
        <w:trPr/>
        <w:tc>
          <w:tcPr>
            <w:tcW w:w="305" w:type="dxa"/>
            <w:tcBorders/>
            <w:vAlign w:val="center"/>
          </w:tcPr>
          <w:p>
            <w:pPr>
              <w:pStyle w:val="TableContents"/>
              <w:bidi w:val="0"/>
              <w:spacing w:before="0" w:after="0"/>
              <w:jc w:val="left"/>
              <w:rPr>
                <w:b/>
                <w:i/>
                <w:caps w:val="false"/>
                <w:smallCaps w:val="false"/>
                <w:spacing w:val="0"/>
              </w:rPr>
            </w:pPr>
            <w:r>
              <w:rPr>
                <w:b/>
                <w:i/>
                <w:caps w:val="false"/>
                <w:smallCaps w:val="false"/>
                <w:spacing w:val="0"/>
              </w:rPr>
              <w:t>(b)</w:t>
            </w:r>
          </w:p>
        </w:tc>
        <w:tc>
          <w:tcPr>
            <w:tcW w:w="2975"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Investment in a limited partnership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In February 2026, the Group entered into a subscription agreement with a limited partnership to become a general partner and paid total consideration of RMB12,500</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 Management is still in progress assessing the accounting impact for this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F</w:t>
      </w:r>
    </w:p>
    <w:p>
      <w:pPr>
        <w:pStyle w:val="TextBody"/>
        <w:bidi w:val="0"/>
        <w:spacing w:before="0" w:after="0"/>
        <w:jc w:val="center"/>
        <w:rPr>
          <w:rFonts w:ascii="Times New Roman" w:hAnsi="Times New Roman"/>
          <w:spacing w:val="0"/>
          <w:sz w:val="20"/>
        </w:rPr>
      </w:pPr>
      <w:r>
        <w:rPr>
          <w:rFonts w:ascii="Times New Roman" w:hAnsi="Times New Roman"/>
          <w:spacing w:val="0"/>
          <w:sz w:val="20"/>
        </w:rPr>
        <w:t>- 6</w:t>
      </w:r>
    </w:p>
    <w:p>
      <w:pPr>
        <w:pStyle w:val="TextBody"/>
        <w:bidi w:val="0"/>
        <w:jc w:val="center"/>
        <w:rPr>
          <w:rFonts w:ascii="Times New Roman" w:hAnsi="Times New Roman"/>
          <w:spacing w:val="0"/>
          <w:sz w:val="20"/>
        </w:rPr>
      </w:pPr>
      <w:r>
        <w:rPr>
          <w:rFonts w:ascii="Times New Roman" w:hAnsi="Times New Roman"/>
          <w:spacing w:val="0"/>
          <w:sz w:val="20"/>
        </w:rPr>
        <w:t>5</w:t>
      </w:r>
    </w:p>
    <w:p>
      <w:pPr>
        <w:pStyle w:val="TextBody"/>
        <w:bidi w:val="0"/>
        <w:spacing w:before="0" w:after="0"/>
        <w:jc w:val="right"/>
        <w:rPr>
          <w:rFonts w:ascii="Times New Roman" w:hAnsi="Times New Roman"/>
          <w:b/>
          <w:sz w:val="20"/>
        </w:rPr>
      </w:pPr>
      <w:bookmarkStart w:id="41" w:name="d39307dex81.htm"/>
      <w:bookmarkStart w:id="42" w:name="ksd39307dex81"/>
      <w:bookmarkEnd w:id="41"/>
      <w:bookmarkEnd w:id="42"/>
      <w:r>
        <w:rPr>
          <w:rFonts w:ascii="Times New Roman" w:hAnsi="Times New Roman"/>
          <w:b/>
          <w:sz w:val="20"/>
        </w:rPr>
        <w:t xml:space="preserve">Exhibit 8.1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Principal Subsidiaries and Consolidated Affiliated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7"/>
        <w:gridCol w:w="122"/>
        <w:gridCol w:w="4826"/>
      </w:tblGrid>
      <w:tr>
        <w:trPr/>
        <w:tc>
          <w:tcPr>
            <w:tcW w:w="525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26" w:type="dxa"/>
            <w:tcBorders/>
            <w:vAlign w:val="center"/>
          </w:tcPr>
          <w:p>
            <w:pPr>
              <w:pStyle w:val="TableContents"/>
              <w:bidi w:val="0"/>
              <w:spacing w:before="0" w:after="283"/>
              <w:jc w:val="left"/>
              <w:rPr>
                <w:sz w:val="4"/>
                <w:szCs w:val="4"/>
              </w:rPr>
            </w:pPr>
            <w:r>
              <w:rPr>
                <w:sz w:val="4"/>
                <w:szCs w:val="4"/>
              </w:rPr>
            </w:r>
          </w:p>
        </w:tc>
      </w:tr>
      <w:tr>
        <w:trPr/>
        <w:tc>
          <w:tcPr>
            <w:tcW w:w="52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Principal Subsidiaries</w:t>
            </w:r>
          </w:p>
        </w:tc>
        <w:tc>
          <w:tcPr>
            <w:tcW w:w="122" w:type="dxa"/>
            <w:tcBorders/>
            <w:vAlign w:val="bottom"/>
          </w:tcPr>
          <w:p>
            <w:pPr>
              <w:pStyle w:val="TableContents"/>
              <w:bidi w:val="0"/>
              <w:spacing w:before="0" w:after="283"/>
              <w:jc w:val="left"/>
              <w:rPr/>
            </w:pPr>
            <w:r>
              <w:rPr/>
              <w:t>  </w:t>
            </w:r>
          </w:p>
        </w:tc>
        <w:tc>
          <w:tcPr>
            <w:tcW w:w="48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Place of Incorporation</w:t>
            </w:r>
          </w:p>
        </w:tc>
      </w:tr>
      <w:tr>
        <w:trPr/>
        <w:tc>
          <w:tcPr>
            <w:tcW w:w="5257" w:type="dxa"/>
            <w:tcBorders/>
          </w:tcPr>
          <w:p>
            <w:pPr>
              <w:pStyle w:val="TableContents"/>
              <w:bidi w:val="0"/>
              <w:spacing w:before="0" w:after="283"/>
              <w:jc w:val="left"/>
              <w:rPr/>
            </w:pPr>
            <w:r>
              <w:rPr/>
              <w:t>Ehfly Technology Limited</w:t>
            </w:r>
          </w:p>
        </w:tc>
        <w:tc>
          <w:tcPr>
            <w:tcW w:w="122" w:type="dxa"/>
            <w:tcBorders/>
            <w:vAlign w:val="bottom"/>
          </w:tcPr>
          <w:p>
            <w:pPr>
              <w:pStyle w:val="TableContents"/>
              <w:bidi w:val="0"/>
              <w:spacing w:before="0" w:after="283"/>
              <w:jc w:val="left"/>
              <w:rPr/>
            </w:pPr>
            <w:r>
              <w:rPr/>
              <w:t>  </w:t>
            </w:r>
          </w:p>
        </w:tc>
        <w:tc>
          <w:tcPr>
            <w:tcW w:w="4826" w:type="dxa"/>
            <w:tcBorders/>
          </w:tcPr>
          <w:p>
            <w:pPr>
              <w:pStyle w:val="TableContents"/>
              <w:bidi w:val="0"/>
              <w:spacing w:before="0" w:after="283"/>
              <w:jc w:val="left"/>
              <w:rPr/>
            </w:pPr>
            <w:r>
              <w:rPr/>
              <w:t>Hong Kong</w:t>
            </w:r>
          </w:p>
        </w:tc>
      </w:tr>
      <w:tr>
        <w:trPr/>
        <w:tc>
          <w:tcPr>
            <w:tcW w:w="5257" w:type="dxa"/>
            <w:tcBorders/>
          </w:tcPr>
          <w:p>
            <w:pPr>
              <w:pStyle w:val="TableContents"/>
              <w:bidi w:val="0"/>
              <w:spacing w:before="0" w:after="283"/>
              <w:jc w:val="left"/>
              <w:rPr/>
            </w:pPr>
            <w:r>
              <w:rPr/>
              <w:t>EHang Intelligent Equipment Co., Ltd.</w:t>
            </w:r>
          </w:p>
        </w:tc>
        <w:tc>
          <w:tcPr>
            <w:tcW w:w="122" w:type="dxa"/>
            <w:tcBorders/>
            <w:vAlign w:val="bottom"/>
          </w:tcPr>
          <w:p>
            <w:pPr>
              <w:pStyle w:val="TableContents"/>
              <w:bidi w:val="0"/>
              <w:spacing w:before="0" w:after="283"/>
              <w:jc w:val="left"/>
              <w:rPr/>
            </w:pPr>
            <w:r>
              <w:rPr/>
              <w:t>  </w:t>
            </w:r>
          </w:p>
        </w:tc>
        <w:tc>
          <w:tcPr>
            <w:tcW w:w="4826" w:type="dxa"/>
            <w:tcBorders/>
          </w:tcPr>
          <w:p>
            <w:pPr>
              <w:pStyle w:val="TableContents"/>
              <w:bidi w:val="0"/>
              <w:spacing w:before="0" w:after="283"/>
              <w:jc w:val="left"/>
              <w:rPr/>
            </w:pPr>
            <w:r>
              <w:rPr/>
              <w:t>PRC</w:t>
            </w:r>
          </w:p>
        </w:tc>
      </w:tr>
      <w:tr>
        <w:trPr/>
        <w:tc>
          <w:tcPr>
            <w:tcW w:w="5257" w:type="dxa"/>
            <w:tcBorders/>
          </w:tcPr>
          <w:p>
            <w:pPr>
              <w:pStyle w:val="TableContents"/>
              <w:bidi w:val="0"/>
              <w:spacing w:before="0" w:after="283"/>
              <w:jc w:val="left"/>
              <w:rPr/>
            </w:pPr>
            <w:r>
              <w:rPr/>
              <w:t>Yunfu EHang Intelligent Technology Limited</w:t>
            </w:r>
          </w:p>
        </w:tc>
        <w:tc>
          <w:tcPr>
            <w:tcW w:w="122" w:type="dxa"/>
            <w:tcBorders/>
            <w:vAlign w:val="bottom"/>
          </w:tcPr>
          <w:p>
            <w:pPr>
              <w:pStyle w:val="TableContents"/>
              <w:bidi w:val="0"/>
              <w:spacing w:before="0" w:after="283"/>
              <w:jc w:val="left"/>
              <w:rPr/>
            </w:pPr>
            <w:r>
              <w:rPr/>
              <w:t>  </w:t>
            </w:r>
          </w:p>
        </w:tc>
        <w:tc>
          <w:tcPr>
            <w:tcW w:w="4826" w:type="dxa"/>
            <w:tcBorders/>
          </w:tcPr>
          <w:p>
            <w:pPr>
              <w:pStyle w:val="TableContents"/>
              <w:bidi w:val="0"/>
              <w:spacing w:before="0" w:after="283"/>
              <w:jc w:val="left"/>
              <w:rPr/>
            </w:pPr>
            <w:r>
              <w:rPr/>
              <w:t>PRC</w:t>
            </w:r>
          </w:p>
        </w:tc>
      </w:tr>
      <w:tr>
        <w:trPr>
          <w:trHeight w:val="240" w:hRule="atLeast"/>
        </w:trPr>
        <w:tc>
          <w:tcPr>
            <w:tcW w:w="5257" w:type="dxa"/>
            <w:tcBorders/>
            <w:vAlign w:val="center"/>
          </w:tcPr>
          <w:p>
            <w:pPr>
              <w:pStyle w:val="TableContents"/>
              <w:bidi w:val="0"/>
              <w:spacing w:before="0" w:after="283"/>
              <w:jc w:val="left"/>
              <w:rPr>
                <w:sz w:val="4"/>
                <w:szCs w:val="4"/>
              </w:rPr>
            </w:pPr>
            <w:r>
              <w:rPr>
                <w:sz w:val="4"/>
                <w:szCs w:val="4"/>
              </w:rPr>
            </w:r>
          </w:p>
        </w:tc>
        <w:tc>
          <w:tcPr>
            <w:tcW w:w="4948" w:type="dxa"/>
            <w:gridSpan w:val="2"/>
            <w:tcBorders/>
            <w:vAlign w:val="center"/>
          </w:tcPr>
          <w:p>
            <w:pPr>
              <w:pStyle w:val="TableContents"/>
              <w:bidi w:val="0"/>
              <w:spacing w:before="0" w:after="283"/>
              <w:jc w:val="left"/>
              <w:rPr>
                <w:sz w:val="4"/>
                <w:szCs w:val="4"/>
              </w:rPr>
            </w:pPr>
            <w:r>
              <w:rPr>
                <w:sz w:val="4"/>
                <w:szCs w:val="4"/>
              </w:rPr>
            </w:r>
          </w:p>
        </w:tc>
      </w:tr>
      <w:tr>
        <w:trPr/>
        <w:tc>
          <w:tcPr>
            <w:tcW w:w="525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Consolidated Affiliated Entities</w:t>
            </w:r>
          </w:p>
        </w:tc>
        <w:tc>
          <w:tcPr>
            <w:tcW w:w="122" w:type="dxa"/>
            <w:tcBorders/>
            <w:vAlign w:val="bottom"/>
          </w:tcPr>
          <w:p>
            <w:pPr>
              <w:pStyle w:val="TableContents"/>
              <w:bidi w:val="0"/>
              <w:spacing w:before="0" w:after="283"/>
              <w:jc w:val="left"/>
              <w:rPr/>
            </w:pPr>
            <w:r>
              <w:rPr/>
              <w:t>  </w:t>
            </w:r>
          </w:p>
        </w:tc>
        <w:tc>
          <w:tcPr>
            <w:tcW w:w="48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Place of Incorporation</w:t>
            </w:r>
          </w:p>
        </w:tc>
      </w:tr>
      <w:tr>
        <w:trPr/>
        <w:tc>
          <w:tcPr>
            <w:tcW w:w="5257" w:type="dxa"/>
            <w:tcBorders/>
          </w:tcPr>
          <w:p>
            <w:pPr>
              <w:pStyle w:val="TableContents"/>
              <w:bidi w:val="0"/>
              <w:spacing w:before="0" w:after="283"/>
              <w:jc w:val="left"/>
              <w:rPr/>
            </w:pPr>
            <w:r>
              <w:rPr/>
              <w:t>Guangzhou EHang Intelligent Technology Co., Ltd.</w:t>
            </w:r>
          </w:p>
        </w:tc>
        <w:tc>
          <w:tcPr>
            <w:tcW w:w="122" w:type="dxa"/>
            <w:tcBorders/>
            <w:vAlign w:val="bottom"/>
          </w:tcPr>
          <w:p>
            <w:pPr>
              <w:pStyle w:val="TableContents"/>
              <w:bidi w:val="0"/>
              <w:spacing w:before="0" w:after="283"/>
              <w:jc w:val="left"/>
              <w:rPr/>
            </w:pPr>
            <w:r>
              <w:rPr/>
              <w:t>  </w:t>
            </w:r>
          </w:p>
        </w:tc>
        <w:tc>
          <w:tcPr>
            <w:tcW w:w="4826" w:type="dxa"/>
            <w:tcBorders/>
          </w:tcPr>
          <w:p>
            <w:pPr>
              <w:pStyle w:val="TableContents"/>
              <w:bidi w:val="0"/>
              <w:spacing w:before="0" w:after="283"/>
              <w:jc w:val="left"/>
              <w:rPr/>
            </w:pPr>
            <w:r>
              <w:rPr/>
              <w:t>PRC</w:t>
            </w:r>
          </w:p>
        </w:tc>
      </w:tr>
      <w:tr>
        <w:trPr/>
        <w:tc>
          <w:tcPr>
            <w:tcW w:w="5257" w:type="dxa"/>
            <w:tcBorders/>
          </w:tcPr>
          <w:p>
            <w:pPr>
              <w:pStyle w:val="TableContents"/>
              <w:bidi w:val="0"/>
              <w:spacing w:before="0" w:after="283"/>
              <w:jc w:val="left"/>
              <w:rPr/>
            </w:pPr>
            <w:r>
              <w:rPr/>
              <w:t>Guangdong EHang General Aviation Co., Ltd.</w:t>
            </w:r>
          </w:p>
        </w:tc>
        <w:tc>
          <w:tcPr>
            <w:tcW w:w="122" w:type="dxa"/>
            <w:tcBorders/>
            <w:vAlign w:val="bottom"/>
          </w:tcPr>
          <w:p>
            <w:pPr>
              <w:pStyle w:val="TableContents"/>
              <w:bidi w:val="0"/>
              <w:spacing w:before="0" w:after="283"/>
              <w:jc w:val="left"/>
              <w:rPr/>
            </w:pPr>
            <w:r>
              <w:rPr/>
              <w:t>  </w:t>
            </w:r>
          </w:p>
        </w:tc>
        <w:tc>
          <w:tcPr>
            <w:tcW w:w="4826" w:type="dxa"/>
            <w:tcBorders/>
          </w:tcPr>
          <w:p>
            <w:pPr>
              <w:pStyle w:val="TableContents"/>
              <w:bidi w:val="0"/>
              <w:spacing w:before="0" w:after="283"/>
              <w:jc w:val="left"/>
              <w:rPr/>
            </w:pPr>
            <w:r>
              <w:rPr/>
              <w:t>PRC</w:t>
            </w:r>
          </w:p>
        </w:tc>
      </w:tr>
    </w:tbl>
    <w:p>
      <w:pPr>
        <w:pStyle w:val="TextBody"/>
        <w:bidi w:val="0"/>
        <w:spacing w:before="0" w:after="0"/>
        <w:jc w:val="right"/>
        <w:rPr>
          <w:rFonts w:ascii="Times New Roman" w:hAnsi="Times New Roman"/>
          <w:b/>
          <w:sz w:val="20"/>
        </w:rPr>
      </w:pPr>
      <w:bookmarkStart w:id="43" w:name="d39307dex121.htm"/>
      <w:bookmarkStart w:id="44" w:name="ksd39307dex121"/>
      <w:bookmarkEnd w:id="43"/>
      <w:bookmarkEnd w:id="44"/>
      <w:r>
        <w:rPr>
          <w:rFonts w:ascii="Times New Roman" w:hAnsi="Times New Roman"/>
          <w:b/>
          <w:sz w:val="20"/>
        </w:rPr>
        <w:t xml:space="preserve">Exhibit 12.1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ACT RULES 13a-14(a) AND 15d-14(a),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Huazhi Hu,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20-F of EHang Holdings Limited;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before="24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sz w:val="20"/>
        </w:rPr>
      </w:pPr>
      <w:r>
        <w:rPr>
          <w:rFonts w:ascii="Times New Roman" w:hAnsi="Times New Roman"/>
          <w:sz w:val="20"/>
        </w:rPr>
        <w:t xml:space="preserve">(d)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before="24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May 15,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vAlign w:val="bottom"/>
          </w:tcPr>
          <w:p>
            <w:pPr>
              <w:pStyle w:val="TableContents"/>
              <w:bidi w:val="0"/>
              <w:spacing w:before="0" w:after="283"/>
              <w:jc w:val="left"/>
              <w:rPr/>
            </w:pPr>
            <w:r>
              <w:rPr/>
              <w:t>/s/ Huazhi Hu</w:t>
            </w:r>
          </w:p>
        </w:tc>
      </w:tr>
      <w:tr>
        <w:trPr/>
        <w:tc>
          <w:tcPr>
            <w:tcW w:w="705"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Huazhi Hu</w:t>
            </w:r>
          </w:p>
        </w:tc>
      </w:tr>
      <w:tr>
        <w:trPr/>
        <w:tc>
          <w:tcPr>
            <w:tcW w:w="705"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5" w:name="d39307dex122.htm"/>
      <w:bookmarkStart w:id="46" w:name="ksd39307dex122"/>
      <w:bookmarkEnd w:id="45"/>
      <w:bookmarkEnd w:id="46"/>
      <w:r>
        <w:rPr>
          <w:rFonts w:ascii="Times New Roman" w:hAnsi="Times New Roman"/>
          <w:b/>
          <w:sz w:val="20"/>
        </w:rPr>
        <w:t xml:space="preserve">Exhibit 12.2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EXCHANGE ACT RULES 13a-14(a) AND 15d-14(a),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Conor Chia-hung Yang,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20-F of EHang Holdings Limited;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 </w:t>
      </w:r>
    </w:p>
    <w:p>
      <w:pPr>
        <w:pStyle w:val="TextBody"/>
        <w:bidi w:val="0"/>
        <w:spacing w:before="24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(c) 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sz w:val="20"/>
        </w:rPr>
      </w:pPr>
      <w:r>
        <w:rPr>
          <w:rFonts w:ascii="Times New Roman" w:hAnsi="Times New Roman"/>
          <w:sz w:val="20"/>
        </w:rPr>
        <w:t xml:space="preserve">(d)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company’s other certifying officer(s) and I have disclosed, based on our most recent evaluation of internal control over financial reporting, to the company’s auditors and the audit committee of the company’s board of directors (or persons performing the equivalent functions): </w:t>
      </w:r>
    </w:p>
    <w:p>
      <w:pPr>
        <w:pStyle w:val="TextBody"/>
        <w:bidi w:val="0"/>
        <w:spacing w:before="24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company’s ability to record, process, summarize and report financial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Date: May 15,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3"/>
        <w:gridCol w:w="61"/>
        <w:gridCol w:w="3318"/>
      </w:tblGrid>
      <w:tr>
        <w:trPr/>
        <w:tc>
          <w:tcPr>
            <w:tcW w:w="7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7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vAlign w:val="bottom"/>
          </w:tcPr>
          <w:p>
            <w:pPr>
              <w:pStyle w:val="TableContents"/>
              <w:bidi w:val="0"/>
              <w:spacing w:before="0" w:after="283"/>
              <w:jc w:val="left"/>
              <w:rPr/>
            </w:pPr>
            <w:r>
              <w:rPr/>
              <w:t>/s/ Conor Chia-hung Yang</w:t>
            </w:r>
          </w:p>
        </w:tc>
      </w:tr>
      <w:tr>
        <w:trPr/>
        <w:tc>
          <w:tcPr>
            <w:tcW w:w="703"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Conor Chia-hung Yang</w:t>
            </w:r>
          </w:p>
        </w:tc>
      </w:tr>
      <w:tr>
        <w:trPr/>
        <w:tc>
          <w:tcPr>
            <w:tcW w:w="703"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47" w:name="d39307dex131.htm"/>
      <w:bookmarkStart w:id="48" w:name="ksd39307dex131"/>
      <w:bookmarkEnd w:id="47"/>
      <w:bookmarkEnd w:id="48"/>
      <w:r>
        <w:rPr>
          <w:rFonts w:ascii="Times New Roman" w:hAnsi="Times New Roman"/>
          <w:b/>
          <w:sz w:val="20"/>
        </w:rPr>
        <w:t xml:space="preserve">Exhibit 13.1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EHang Holdings Limited (the “Company”) on Form 20-F for the year ended December 31, 2025 as filed with the Securities and Exchange Commission on the date hereof (the “Report”), I, Huazhi Hu, Chief Executive Officer of the Company, certify, pursuant to 18 U.S.C. Section 1350, as adopted pursuant to Section 906 of the Sarbanes-Oxley Act of 2002, that to my knowledge: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 May 15,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vAlign w:val="bottom"/>
          </w:tcPr>
          <w:p>
            <w:pPr>
              <w:pStyle w:val="TableContents"/>
              <w:bidi w:val="0"/>
              <w:spacing w:before="0" w:after="283"/>
              <w:jc w:val="left"/>
              <w:rPr/>
            </w:pPr>
            <w:r>
              <w:rPr/>
              <w:t>/s/ Huazhi Hu</w:t>
            </w:r>
          </w:p>
        </w:tc>
      </w:tr>
      <w:tr>
        <w:trPr/>
        <w:tc>
          <w:tcPr>
            <w:tcW w:w="705"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Huazhi Hu</w:t>
            </w:r>
          </w:p>
        </w:tc>
      </w:tr>
      <w:tr>
        <w:trPr/>
        <w:tc>
          <w:tcPr>
            <w:tcW w:w="705"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9" w:name="d39307dex132.htm"/>
      <w:bookmarkStart w:id="50" w:name="ksd39307dex132"/>
      <w:bookmarkEnd w:id="49"/>
      <w:bookmarkEnd w:id="50"/>
      <w:r>
        <w:rPr>
          <w:rFonts w:ascii="Times New Roman" w:hAnsi="Times New Roman"/>
          <w:b/>
          <w:sz w:val="20"/>
        </w:rPr>
        <w:t xml:space="preserve">Exhibit 13.2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EHang Holdings Limited (the “Company”) on Form 20-F for the year ended December 31, 2025 as filed with the Securities and Exchange Commission on the date hereof (the “Report”), I, Conor Chia-hung Yang, Chief Financial Officer of the Company, certify, pursuant to 18 U.S.C. Section 1350, as adopted pursuant to Section 906 of the Sarbanes-Oxley Act of 2002, that to my knowledge: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Date: May 15,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52"/>
        <w:gridCol w:w="60"/>
        <w:gridCol w:w="3370"/>
      </w:tblGrid>
      <w:tr>
        <w:trPr/>
        <w:tc>
          <w:tcPr>
            <w:tcW w:w="6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0" w:type="dxa"/>
            <w:tcBorders/>
            <w:vAlign w:val="center"/>
          </w:tcPr>
          <w:p>
            <w:pPr>
              <w:pStyle w:val="TableContents"/>
              <w:bidi w:val="0"/>
              <w:spacing w:before="0" w:after="283"/>
              <w:jc w:val="left"/>
              <w:rPr>
                <w:sz w:val="4"/>
                <w:szCs w:val="4"/>
              </w:rPr>
            </w:pPr>
            <w:r>
              <w:rPr>
                <w:sz w:val="4"/>
                <w:szCs w:val="4"/>
              </w:rPr>
            </w:r>
          </w:p>
        </w:tc>
      </w:tr>
      <w:tr>
        <w:trPr/>
        <w:tc>
          <w:tcPr>
            <w:tcW w:w="652"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0" w:type="dxa"/>
            <w:tcBorders>
              <w:bottom w:val="single" w:sz="2" w:space="0" w:color="000000"/>
            </w:tcBorders>
            <w:tcMar>
              <w:bottom w:w="28" w:type="dxa"/>
            </w:tcMar>
            <w:vAlign w:val="bottom"/>
          </w:tcPr>
          <w:p>
            <w:pPr>
              <w:pStyle w:val="TableContents"/>
              <w:bidi w:val="0"/>
              <w:spacing w:before="0" w:after="283"/>
              <w:jc w:val="left"/>
              <w:rPr/>
            </w:pPr>
            <w:r>
              <w:rPr/>
              <w:t>/s/ Conor Chia-hung Yang</w:t>
            </w:r>
          </w:p>
        </w:tc>
      </w:tr>
      <w:tr>
        <w:trPr/>
        <w:tc>
          <w:tcPr>
            <w:tcW w:w="6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Conor Chia-hung Yang</w:t>
            </w:r>
          </w:p>
        </w:tc>
      </w:tr>
      <w:tr>
        <w:trPr/>
        <w:tc>
          <w:tcPr>
            <w:tcW w:w="6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right"/>
        <w:rPr>
          <w:rFonts w:ascii="Times New Roman" w:hAnsi="Times New Roman"/>
          <w:b/>
          <w:sz w:val="20"/>
        </w:rPr>
      </w:pPr>
      <w:bookmarkStart w:id="51" w:name="d39307dex151.htm"/>
      <w:bookmarkStart w:id="52" w:name="ksd39307dex151"/>
      <w:bookmarkEnd w:id="51"/>
      <w:bookmarkEnd w:id="52"/>
      <w:r>
        <w:rPr>
          <w:rFonts w:ascii="Times New Roman" w:hAnsi="Times New Roman"/>
          <w:b/>
          <w:sz w:val="20"/>
        </w:rPr>
        <w:t xml:space="preserve">Exhibit 15.1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Registration Statements on Form S-8 (No. 333-237769 and No. 333-278954) of EHang Holdings Limited of our report dated May 15, 2026 relating to the financial statements and the effectiveness of internal control over financial reporting, which appears in this Form 20-F. </w:t>
      </w:r>
    </w:p>
    <w:p>
      <w:pPr>
        <w:pStyle w:val="TextBody"/>
        <w:bidi w:val="0"/>
        <w:spacing w:before="240" w:after="0"/>
        <w:jc w:val="left"/>
        <w:rPr>
          <w:rFonts w:ascii="Times New Roman" w:hAnsi="Times New Roman"/>
          <w:sz w:val="20"/>
        </w:rPr>
      </w:pPr>
      <w:r>
        <w:rPr>
          <w:rFonts w:ascii="Times New Roman" w:hAnsi="Times New Roman"/>
          <w:sz w:val="20"/>
        </w:rPr>
        <w:t xml:space="preserve">/s/ PricewaterhouseCoopers Zhong Tian LLP </w:t>
      </w:r>
    </w:p>
    <w:p>
      <w:pPr>
        <w:pStyle w:val="TextBody"/>
        <w:bidi w:val="0"/>
        <w:spacing w:before="0" w:after="0"/>
        <w:jc w:val="left"/>
        <w:rPr>
          <w:rFonts w:ascii="Times New Roman" w:hAnsi="Times New Roman"/>
          <w:sz w:val="20"/>
        </w:rPr>
      </w:pPr>
      <w:r>
        <w:rPr>
          <w:rFonts w:ascii="Times New Roman" w:hAnsi="Times New Roman"/>
          <w:sz w:val="20"/>
        </w:rPr>
        <w:t xml:space="preserve">Shenzhen, the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May 15, 2026 </w:t>
      </w:r>
    </w:p>
    <w:p>
      <w:pPr>
        <w:pStyle w:val="TextBody"/>
        <w:bidi w:val="0"/>
        <w:spacing w:before="0" w:after="0"/>
        <w:jc w:val="right"/>
        <w:rPr>
          <w:rFonts w:ascii="Times New Roman" w:hAnsi="Times New Roman"/>
          <w:b/>
          <w:sz w:val="20"/>
        </w:rPr>
      </w:pPr>
      <w:bookmarkStart w:id="53" w:name="d39307dex152.htm"/>
      <w:bookmarkStart w:id="54" w:name="ksd39307dex152"/>
      <w:bookmarkEnd w:id="53"/>
      <w:bookmarkEnd w:id="54"/>
      <w:r>
        <w:rPr>
          <w:rFonts w:ascii="Times New Roman" w:hAnsi="Times New Roman"/>
          <w:b/>
          <w:sz w:val="20"/>
        </w:rPr>
        <w:t xml:space="preserve">Exhibit 15.2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3752850" cy="1228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3752850" cy="12287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CONSENT LETTER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To</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EHang Holdings Limited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No. 118 Dongjiang Avenue, </w:t>
      </w:r>
    </w:p>
    <w:p>
      <w:pPr>
        <w:pStyle w:val="TextBody"/>
        <w:bidi w:val="0"/>
        <w:spacing w:before="0" w:after="0"/>
        <w:jc w:val="left"/>
        <w:rPr>
          <w:rFonts w:ascii="Times New Roman" w:hAnsi="Times New Roman"/>
          <w:sz w:val="20"/>
        </w:rPr>
      </w:pPr>
      <w:r>
        <w:rPr>
          <w:rFonts w:ascii="Times New Roman" w:hAnsi="Times New Roman"/>
          <w:sz w:val="20"/>
        </w:rPr>
        <w:t xml:space="preserve">Huangpu District, Guangzhou, 510730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right"/>
        <w:rPr>
          <w:rFonts w:ascii="Times New Roman" w:hAnsi="Times New Roman"/>
          <w:sz w:val="20"/>
        </w:rPr>
      </w:pPr>
      <w:r>
        <w:rPr>
          <w:rFonts w:ascii="Times New Roman" w:hAnsi="Times New Roman"/>
          <w:sz w:val="20"/>
        </w:rPr>
        <w:t xml:space="preserve">May 15, 2026 </w:t>
      </w:r>
    </w:p>
    <w:p>
      <w:pPr>
        <w:pStyle w:val="TextBody"/>
        <w:bidi w:val="0"/>
        <w:spacing w:before="240" w:after="0"/>
        <w:jc w:val="left"/>
        <w:rPr>
          <w:rFonts w:ascii="Times New Roman" w:hAnsi="Times New Roman"/>
          <w:sz w:val="20"/>
        </w:rPr>
      </w:pPr>
      <w:r>
        <w:rPr>
          <w:rFonts w:ascii="Times New Roman" w:hAnsi="Times New Roman"/>
          <w:sz w:val="20"/>
        </w:rPr>
        <w:t xml:space="preserve">Dear Sir/Madam: </w:t>
      </w:r>
    </w:p>
    <w:p>
      <w:pPr>
        <w:pStyle w:val="TextBody"/>
        <w:bidi w:val="0"/>
        <w:spacing w:before="120" w:after="0"/>
        <w:jc w:val="left"/>
        <w:rPr>
          <w:rFonts w:ascii="Times New Roman" w:hAnsi="Times New Roman"/>
          <w:sz w:val="20"/>
        </w:rPr>
      </w:pPr>
      <w:r>
        <w:rPr>
          <w:rFonts w:ascii="Times New Roman" w:hAnsi="Times New Roman"/>
          <w:sz w:val="20"/>
        </w:rPr>
        <w:t>We hereby consent to the reference of our name under the headings “Item 3. Key Information—Our Corporate Structure and Contractual Arrangements with the VIE and its Shareholders”, “Item 3. Key Information—D. Risk Factors—Risks Relating to Our Corporate Structure”, “Item 4. Information on the Company—C. Organizational Structure”, “Item 4. Information on the Company—B. Business Overview—PRC Regulation” and “Item 10. Additional Information—E. Taxation—PRC Taxation” in EHang Holdings Limited’s Annual Report on 20-F for the year ended December 31, 2025 (the “</w:t>
      </w:r>
      <w:r>
        <w:rPr>
          <w:rFonts w:ascii="Times New Roman" w:hAnsi="Times New Roman"/>
          <w:b/>
          <w:sz w:val="20"/>
        </w:rPr>
        <w:t>Annual Report</w:t>
      </w:r>
      <w:r>
        <w:rPr>
          <w:rFonts w:ascii="Times New Roman" w:hAnsi="Times New Roman"/>
          <w:sz w:val="20"/>
        </w:rPr>
        <w:t>”), which will be filed with the Securities and Exchange Commission (the “</w:t>
      </w:r>
      <w:r>
        <w:rPr>
          <w:rFonts w:ascii="Times New Roman" w:hAnsi="Times New Roman"/>
          <w:b/>
          <w:sz w:val="20"/>
        </w:rPr>
        <w:t>SEC</w:t>
      </w:r>
      <w:r>
        <w:rPr>
          <w:rFonts w:ascii="Times New Roman" w:hAnsi="Times New Roman"/>
          <w:sz w:val="20"/>
        </w:rPr>
        <w:t xml:space="preserve">”) on the date hereof, and further consent to the incorporation by reference of the summary of our opinion under these headings into the Registration Statements on Form S-8 (No. 333-237769 and No. 333-278954) and Form F-3 (No. 333-278830) of EHang Holdings Limited. We also consent to the filing of this consent letter with the SEC as an exhibit to the Annual Report. We also consent to the filing of this consent letter with the SEC as an exhibit to the Annual Report.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thereby admit that we come within the category of persons whose consent is required under Section 7 of the Securities Act of 1933, or under the Securities Exchange Act of 1934, in each case, as amended, or the regulations promulgated thereunder. </w:t>
      </w:r>
    </w:p>
    <w:p>
      <w:pPr>
        <w:pStyle w:val="TextBody"/>
        <w:bidi w:val="0"/>
        <w:spacing w:before="240" w:after="0"/>
        <w:jc w:val="center"/>
        <w:rPr>
          <w:rFonts w:ascii="Times New Roman" w:hAnsi="Times New Roman"/>
          <w:sz w:val="20"/>
        </w:rPr>
      </w:pPr>
      <w:r>
        <w:rPr>
          <w:rFonts w:ascii="Times New Roman" w:hAnsi="Times New Roman"/>
          <w:sz w:val="20"/>
        </w:rPr>
        <w:t xml:space="preserve">[The remainder of this page is intentionally left blank.]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Yours faithfully,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Zhong Lun Law Firm</w:t>
            </w:r>
          </w:p>
        </w:tc>
      </w:tr>
      <w:tr>
        <w:trPr/>
        <w:tc>
          <w:tcPr>
            <w:tcW w:w="4082" w:type="dxa"/>
            <w:tcBorders/>
            <w:vAlign w:val="bottom"/>
          </w:tcPr>
          <w:p>
            <w:pPr>
              <w:pStyle w:val="TableContents"/>
              <w:bidi w:val="0"/>
              <w:spacing w:before="0" w:after="283"/>
              <w:jc w:val="left"/>
              <w:rPr/>
            </w:pPr>
            <w:r>
              <w:rPr/>
              <w:t>Zhong Lun Law Firm</w:t>
            </w:r>
          </w:p>
        </w:tc>
      </w:tr>
    </w:tbl>
    <w:p>
      <w:pPr>
        <w:pStyle w:val="TextBody"/>
        <w:bidi w:val="0"/>
        <w:spacing w:before="0" w:after="0"/>
        <w:jc w:val="right"/>
        <w:rPr>
          <w:rFonts w:ascii="Times New Roman" w:hAnsi="Times New Roman"/>
          <w:b/>
          <w:sz w:val="20"/>
        </w:rPr>
      </w:pPr>
      <w:bookmarkStart w:id="55" w:name="d39307dex153.htm"/>
      <w:bookmarkStart w:id="56" w:name="ksd39307dex153"/>
      <w:bookmarkEnd w:id="55"/>
      <w:bookmarkEnd w:id="56"/>
      <w:r>
        <w:rPr>
          <w:rFonts w:ascii="Times New Roman" w:hAnsi="Times New Roman"/>
          <w:b/>
          <w:sz w:val="20"/>
        </w:rPr>
        <w:t xml:space="preserve">Exhibit 15.3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914400" cy="857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914400" cy="857250"/>
                    </a:xfrm>
                    <a:prstGeom prst="rect">
                      <a:avLst/>
                    </a:prstGeom>
                  </pic:spPr>
                </pic:pic>
              </a:graphicData>
            </a:graphic>
          </wp:inline>
        </w:drawing>
      </w:r>
      <w:r>
        <w:rPr/>
        <w:t xml:space="preserve"> </w:t>
      </w:r>
    </w:p>
    <w:p>
      <w:pPr>
        <w:pStyle w:val="TextBody"/>
        <w:bidi w:val="0"/>
        <w:spacing w:before="480" w:after="0"/>
        <w:jc w:val="left"/>
        <w:rPr>
          <w:rFonts w:ascii="Times New Roman" w:hAnsi="Times New Roman"/>
          <w:sz w:val="20"/>
        </w:rPr>
      </w:pPr>
      <w:r>
        <w:rPr>
          <w:rFonts w:ascii="Times New Roman" w:hAnsi="Times New Roman"/>
          <w:b/>
          <w:sz w:val="20"/>
        </w:rPr>
        <w:t>Our ref</w:t>
      </w:r>
      <w:r>
        <w:rPr>
          <w:rFonts w:ascii="Times New Roman" w:hAnsi="Times New Roman"/>
          <w:sz w:val="20"/>
        </w:rPr>
        <w:t xml:space="preserve">     YCU/752797-000001/31649581v1 </w:t>
      </w:r>
    </w:p>
    <w:p>
      <w:pPr>
        <w:pStyle w:val="TextBody"/>
        <w:bidi w:val="0"/>
        <w:spacing w:before="240" w:after="0"/>
        <w:jc w:val="left"/>
        <w:rPr>
          <w:rFonts w:ascii="Times New Roman" w:hAnsi="Times New Roman"/>
          <w:sz w:val="20"/>
        </w:rPr>
      </w:pPr>
      <w:r>
        <w:rPr>
          <w:rFonts w:ascii="Times New Roman" w:hAnsi="Times New Roman"/>
          <w:sz w:val="20"/>
        </w:rPr>
        <w:t xml:space="preserve">EHang Holdings Limited </w:t>
      </w:r>
    </w:p>
    <w:p>
      <w:pPr>
        <w:pStyle w:val="TextBody"/>
        <w:bidi w:val="0"/>
        <w:spacing w:before="0" w:after="0"/>
        <w:jc w:val="left"/>
        <w:rPr>
          <w:rFonts w:ascii="Times New Roman" w:hAnsi="Times New Roman"/>
          <w:sz w:val="20"/>
        </w:rPr>
      </w:pPr>
      <w:r>
        <w:rPr>
          <w:rFonts w:ascii="Times New Roman" w:hAnsi="Times New Roman"/>
          <w:sz w:val="20"/>
        </w:rPr>
        <w:t xml:space="preserve">11/F Building One, EHang Technology Park </w:t>
      </w:r>
    </w:p>
    <w:p>
      <w:pPr>
        <w:pStyle w:val="TextBody"/>
        <w:bidi w:val="0"/>
        <w:spacing w:before="0" w:after="0"/>
        <w:jc w:val="left"/>
        <w:rPr>
          <w:rFonts w:ascii="Times New Roman" w:hAnsi="Times New Roman"/>
          <w:sz w:val="20"/>
        </w:rPr>
      </w:pPr>
      <w:r>
        <w:rPr>
          <w:rFonts w:ascii="Times New Roman" w:hAnsi="Times New Roman"/>
          <w:sz w:val="20"/>
        </w:rPr>
        <w:t xml:space="preserve">No. 29 Bishan Blvd., Huangpu District </w:t>
      </w:r>
    </w:p>
    <w:p>
      <w:pPr>
        <w:pStyle w:val="TextBody"/>
        <w:bidi w:val="0"/>
        <w:spacing w:before="0" w:after="0"/>
        <w:jc w:val="left"/>
        <w:rPr>
          <w:rFonts w:ascii="Times New Roman" w:hAnsi="Times New Roman"/>
          <w:sz w:val="20"/>
        </w:rPr>
      </w:pPr>
      <w:r>
        <w:rPr>
          <w:rFonts w:ascii="Times New Roman" w:hAnsi="Times New Roman"/>
          <w:sz w:val="20"/>
        </w:rPr>
        <w:t xml:space="preserve">Guangzhou, 510700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May 15, 2026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240" w:after="0"/>
        <w:jc w:val="left"/>
        <w:rPr>
          <w:rFonts w:ascii="Times New Roman" w:hAnsi="Times New Roman"/>
          <w:b/>
          <w:sz w:val="20"/>
        </w:rPr>
      </w:pPr>
      <w:r>
        <w:rPr>
          <w:rFonts w:ascii="Times New Roman" w:hAnsi="Times New Roman"/>
          <w:b/>
          <w:sz w:val="20"/>
        </w:rPr>
        <w:t xml:space="preserve">EHang Holdings Limited </w:t>
      </w:r>
    </w:p>
    <w:p>
      <w:pPr>
        <w:pStyle w:val="TextBody"/>
        <w:bidi w:val="0"/>
        <w:spacing w:before="240" w:after="0"/>
        <w:jc w:val="left"/>
        <w:rPr>
          <w:rFonts w:ascii="Times New Roman" w:hAnsi="Times New Roman"/>
          <w:sz w:val="20"/>
        </w:rPr>
      </w:pPr>
      <w:r>
        <w:rPr>
          <w:rFonts w:ascii="Times New Roman" w:hAnsi="Times New Roman"/>
          <w:sz w:val="20"/>
        </w:rPr>
        <w:t>We have acted as legal advisers as to the laws of the Cayman Islands to EHang Holdings Limited, an exempted company incorporated in the Cayman Islands with limited liability (the “</w:t>
      </w:r>
      <w:r>
        <w:rPr>
          <w:rFonts w:ascii="Times New Roman" w:hAnsi="Times New Roman"/>
          <w:b/>
          <w:sz w:val="20"/>
        </w:rPr>
        <w:t>Company</w:t>
      </w:r>
      <w:r>
        <w:rPr>
          <w:rFonts w:ascii="Times New Roman" w:hAnsi="Times New Roman"/>
          <w:sz w:val="20"/>
        </w:rPr>
        <w:t>”), in connection with the filing by the Company with the United States Securities and Exchange Commission (the “</w:t>
      </w:r>
      <w:r>
        <w:rPr>
          <w:rFonts w:ascii="Times New Roman" w:hAnsi="Times New Roman"/>
          <w:b/>
          <w:sz w:val="20"/>
        </w:rPr>
        <w:t>SEC</w:t>
      </w:r>
      <w:r>
        <w:rPr>
          <w:rFonts w:ascii="Times New Roman" w:hAnsi="Times New Roman"/>
          <w:sz w:val="20"/>
        </w:rPr>
        <w:t>”) of an annual report on Form 20-F for the year ended 31 December 2025 (the “</w:t>
      </w:r>
      <w:r>
        <w:rPr>
          <w:rFonts w:ascii="Times New Roman" w:hAnsi="Times New Roman"/>
          <w:b/>
          <w:sz w:val="20"/>
        </w:rPr>
        <w:t>Annual Report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heading “Item 10. Additional Information—E. Taxation—Cayman Islands Taxation” in the Annual Report, and further consent to the incorporation by reference into the Registration Statement on Form S-8 (File No. 333-237769) filed on 21 April 2020, Form F-3 (File No. 333-278830) filed on 19 April 2024 and Form S-8 (File No. 333-278954) filed on 26 April 2024 of the summary of our opinion under the heading “Item 10. Additional Information—E. Taxation—Cayman Islands Taxation” in the Annual Report.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Maples and Calder (Hong Kong) LLP</w:t>
            </w:r>
          </w:p>
        </w:tc>
      </w:tr>
      <w:tr>
        <w:trPr/>
        <w:tc>
          <w:tcPr>
            <w:tcW w:w="4082" w:type="dxa"/>
            <w:tcBorders/>
          </w:tcPr>
          <w:p>
            <w:pPr>
              <w:pStyle w:val="TableContents"/>
              <w:bidi w:val="0"/>
              <w:spacing w:before="0" w:after="283"/>
              <w:jc w:val="left"/>
              <w:rPr/>
            </w:pPr>
            <w:r>
              <w:rPr/>
              <w:t>Maples and Calder (Hong Kong) LLP</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59783/000119312519280594/d515413dex32.htm" TargetMode="External"/><Relationship Id="rId4" Type="http://schemas.openxmlformats.org/officeDocument/2006/relationships/hyperlink" Target="http://www.sec.gov/Archives/edgar/data/1759783/000119312520113512/d882202dex43.htm" TargetMode="External"/><Relationship Id="rId5" Type="http://schemas.openxmlformats.org/officeDocument/2006/relationships/hyperlink" Target="http://www.sec.gov/Archives/edgar/data/1759783/000119312519280594/d515413dex42.htm" TargetMode="External"/><Relationship Id="rId6" Type="http://schemas.openxmlformats.org/officeDocument/2006/relationships/hyperlink" Target="http://www.sec.gov/Archives/edgar/data/1759783/000119312520113512/d882202dex43.htm" TargetMode="External"/><Relationship Id="rId7" Type="http://schemas.openxmlformats.org/officeDocument/2006/relationships/hyperlink" Target="http://www.sec.gov/Archives/edgar/data/1759783/000119312519280594/d515413dex44.htm" TargetMode="External"/><Relationship Id="rId8" Type="http://schemas.openxmlformats.org/officeDocument/2006/relationships/hyperlink" Target="http://www.sec.gov/Archives/edgar/data/1759783/000119312520112223/d863414dex25.htm" TargetMode="External"/><Relationship Id="rId9" Type="http://schemas.openxmlformats.org/officeDocument/2006/relationships/hyperlink" Target="http://www.sec.gov/Archives/edgar/data/1759783/000119312519280594/d515413dex101.htm" TargetMode="External"/><Relationship Id="rId10" Type="http://schemas.openxmlformats.org/officeDocument/2006/relationships/hyperlink" Target="http://www.sec.gov/Archives/edgar/data/1759783/000119312519280594/d515413dex102.htm" TargetMode="External"/><Relationship Id="rId11" Type="http://schemas.openxmlformats.org/officeDocument/2006/relationships/hyperlink" Target="http://www.sec.gov/Archives/edgar/data/1759783/000119312523302097/d673667dex41.htm" TargetMode="External"/><Relationship Id="rId12" Type="http://schemas.openxmlformats.org/officeDocument/2006/relationships/hyperlink" Target="http://www.sec.gov/Archives/edgar/data/1759783/000119312519280594/d515413dex103.htm" TargetMode="External"/><Relationship Id="rId13" Type="http://schemas.openxmlformats.org/officeDocument/2006/relationships/hyperlink" Target="http://www.sec.gov/Archives/edgar/data/1759783/000119312519280594/d515413dex104.htm" TargetMode="External"/><Relationship Id="rId14" Type="http://schemas.openxmlformats.org/officeDocument/2006/relationships/hyperlink" Target="http://www.sec.gov/Archives/edgar/data/1759783/000119312521190578/d71703dex45.htm" TargetMode="External"/><Relationship Id="rId15" Type="http://schemas.openxmlformats.org/officeDocument/2006/relationships/hyperlink" Target="http://www.sec.gov/Archives/edgar/data/1759783/000119312521190578/d71703dex46.htm" TargetMode="External"/><Relationship Id="rId16" Type="http://schemas.openxmlformats.org/officeDocument/2006/relationships/hyperlink" Target="http://www.sec.gov/Archives/edgar/data/1759783/000119312519280594/d515413dex109.htm" TargetMode="External"/><Relationship Id="rId17" Type="http://schemas.openxmlformats.org/officeDocument/2006/relationships/hyperlink" Target="http://www.sec.gov/Archives/edgar/data/1759783/000119312519280594/d515413dex1010.htm" TargetMode="External"/><Relationship Id="rId18" Type="http://schemas.openxmlformats.org/officeDocument/2006/relationships/hyperlink" Target="http://www.sec.gov/Archives/edgar/data/1759783/000119312521190578/d71703dex49.htm" TargetMode="External"/><Relationship Id="rId19" Type="http://schemas.openxmlformats.org/officeDocument/2006/relationships/hyperlink" Target="http://www.sec.gov/Archives/edgar/data/1759783/000119312519280594/d515413dex1014.htm" TargetMode="External"/><Relationship Id="rId20" Type="http://schemas.openxmlformats.org/officeDocument/2006/relationships/hyperlink" Target="http://www.sec.gov/Archives/edgar/data/1759783/000119312521190578/d71703dex411.htm" TargetMode="External"/><Relationship Id="rId21" Type="http://schemas.openxmlformats.org/officeDocument/2006/relationships/hyperlink" Target="http://www.sec.gov/Archives/edgar/data/1759783/000119312523122090/d404296dex413.htm" TargetMode="External"/><Relationship Id="rId22" Type="http://schemas.openxmlformats.org/officeDocument/2006/relationships/hyperlink" Target="http://www.sec.gov/Archives/edgar/data/0001759783/000119312524095477/d709315dex415.htm" TargetMode="External"/><Relationship Id="rId23" Type="http://schemas.openxmlformats.org/officeDocument/2006/relationships/hyperlink" Target="http://www.sec.gov/Archives/edgar/data/0001759783/000119312524095477/d709315dex416.htm" TargetMode="External"/><Relationship Id="rId24" Type="http://schemas.openxmlformats.org/officeDocument/2006/relationships/hyperlink" Target="http://www.sec.gov/Archives/edgar/data/0001759783/000119312524095477/d709315dex417.htm" TargetMode="External"/><Relationship Id="rId25" Type="http://schemas.openxmlformats.org/officeDocument/2006/relationships/hyperlink" Target="http://www.sec.gov/Archives/edgar/data/1759783/000119312524102861/d759076dex12.htm" TargetMode="External"/><Relationship Id="rId26" Type="http://schemas.openxmlformats.org/officeDocument/2006/relationships/hyperlink" Target="http://www.sec.gov/Archives/edgar/data/1759783/000119312525080649/d848580dex419.htm" TargetMode="External"/><Relationship Id="rId27" Type="http://schemas.openxmlformats.org/officeDocument/2006/relationships/hyperlink" Target="http://www.sec.gov/Archives/edgar/data/1759783/000119312525080649/d848580dex420.htm" TargetMode="External"/><Relationship Id="rId28" Type="http://schemas.openxmlformats.org/officeDocument/2006/relationships/hyperlink" Target="http://www.sec.gov/Archives/edgar/data/1759783/000119312519280594/d515413dex991.htm" TargetMode="External"/><Relationship Id="rId29" Type="http://schemas.openxmlformats.org/officeDocument/2006/relationships/hyperlink" Target="http://www.sec.gov/Archives/edgar/data/1759783/000119312525080649/d848580dex112.htm" TargetMode="External"/><Relationship Id="rId30" Type="http://schemas.openxmlformats.org/officeDocument/2006/relationships/hyperlink" Target="http://www.sec.gov/Archives/edgar/data/0001759783/000119312524095477/d709315dex971.htm" TargetMode="External"/><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182</Pages>
  <Words>141101</Words>
  <Characters>776383</Characters>
  <CharactersWithSpaces>931809</CharactersWithSpaces>
  <Paragraphs>26132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EX-15.3</dc:title>
</cp:coreProperties>
</file>